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52"/>
          <w:szCs w:val="52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52"/>
          <w:szCs w:val="52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zh-CN"/>
        </w:rPr>
      </w:pPr>
      <w:r>
        <w:rPr>
          <w:rFonts w:hint="eastAsia" w:ascii="宋体" w:hAnsi="宋体" w:cs="宋体"/>
          <w:b/>
          <w:bCs/>
          <w:sz w:val="44"/>
          <w:szCs w:val="44"/>
          <w:lang w:val="zh-CN"/>
        </w:rPr>
        <w:t>反光线条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(</w:t>
      </w:r>
      <w:r>
        <w:rPr>
          <w:rFonts w:hint="eastAsia" w:ascii="宋体" w:hAnsi="宋体" w:cs="宋体"/>
          <w:b/>
          <w:bCs/>
          <w:sz w:val="44"/>
          <w:szCs w:val="44"/>
          <w:lang w:val="zh-CN"/>
        </w:rPr>
        <w:t>现场</w:t>
      </w:r>
      <w:bookmarkStart w:id="8" w:name="_GoBack"/>
      <w:bookmarkEnd w:id="8"/>
      <w:r>
        <w:rPr>
          <w:rFonts w:hint="eastAsia" w:ascii="宋体" w:hAnsi="宋体" w:cs="宋体"/>
          <w:b/>
          <w:bCs/>
          <w:sz w:val="44"/>
          <w:szCs w:val="44"/>
          <w:lang w:val="zh-CN"/>
        </w:rPr>
        <w:t>划反光标示线</w:t>
      </w:r>
      <w:r>
        <w:rPr>
          <w:rFonts w:hint="eastAsia" w:ascii="宋体" w:hAnsi="宋体" w:cs="宋体"/>
          <w:b/>
          <w:bCs/>
          <w:sz w:val="44"/>
          <w:szCs w:val="44"/>
          <w:lang w:val="en-US" w:eastAsia="zh-CN"/>
        </w:rPr>
        <w:t>)</w:t>
      </w:r>
      <w:r>
        <w:rPr>
          <w:rFonts w:hint="eastAsia" w:ascii="宋体" w:hAnsi="宋体" w:eastAsia="宋体" w:cs="宋体"/>
          <w:b/>
          <w:bCs/>
          <w:sz w:val="44"/>
          <w:szCs w:val="44"/>
          <w:lang w:val="zh-CN"/>
        </w:rPr>
        <w:t>技术规范书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32"/>
          <w:szCs w:val="32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zh-CN"/>
        </w:rPr>
        <w:t>广西电网有限责任公司钦州供电局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6"/>
          <w:szCs w:val="36"/>
          <w:lang w:val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u w:val="single"/>
          <w:lang w:val="zh-CN"/>
        </w:rPr>
        <w:t>20</w:t>
      </w:r>
      <w:r>
        <w:rPr>
          <w:rFonts w:hint="eastAsia" w:ascii="宋体" w:hAnsi="宋体" w:cs="宋体"/>
          <w:b/>
          <w:bCs/>
          <w:sz w:val="36"/>
          <w:szCs w:val="36"/>
          <w:u w:val="single"/>
          <w:lang w:val="en-US" w:eastAsia="zh-CN"/>
        </w:rPr>
        <w:t>25</w:t>
      </w:r>
      <w:r>
        <w:rPr>
          <w:rFonts w:hint="eastAsia" w:ascii="宋体" w:hAnsi="宋体" w:eastAsia="宋体" w:cs="宋体"/>
          <w:b/>
          <w:bCs/>
          <w:sz w:val="36"/>
          <w:szCs w:val="36"/>
          <w:lang w:val="zh-CN"/>
        </w:rPr>
        <w:t>年</w:t>
      </w:r>
      <w:r>
        <w:rPr>
          <w:rFonts w:hint="eastAsia" w:ascii="宋体" w:hAnsi="宋体" w:eastAsia="宋体" w:cs="宋体"/>
          <w:b/>
          <w:bCs/>
          <w:sz w:val="36"/>
          <w:szCs w:val="36"/>
          <w:u w:val="single"/>
          <w:lang w:val="zh-CN"/>
        </w:rPr>
        <w:t xml:space="preserve"> </w:t>
      </w:r>
      <w:r>
        <w:rPr>
          <w:rFonts w:hint="eastAsia" w:ascii="宋体" w:hAnsi="宋体" w:cs="宋体"/>
          <w:b/>
          <w:bCs/>
          <w:sz w:val="36"/>
          <w:szCs w:val="36"/>
          <w:u w:val="single"/>
          <w:lang w:val="en-US" w:eastAsia="zh-CN"/>
        </w:rPr>
        <w:t>8</w:t>
      </w:r>
      <w:r>
        <w:rPr>
          <w:rFonts w:hint="eastAsia" w:ascii="宋体" w:hAnsi="宋体" w:eastAsia="宋体" w:cs="宋体"/>
          <w:b/>
          <w:bCs/>
          <w:sz w:val="36"/>
          <w:szCs w:val="36"/>
          <w:lang w:val="zh-CN"/>
        </w:rPr>
        <w:t>月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zh-CN"/>
        </w:rPr>
        <w:t>目</w:t>
      </w:r>
      <w:r>
        <w:rPr>
          <w:rFonts w:hint="eastAsia" w:ascii="宋体" w:hAnsi="宋体" w:eastAsia="宋体" w:cs="宋体"/>
          <w:b/>
          <w:bCs/>
          <w:sz w:val="32"/>
          <w:szCs w:val="32"/>
        </w:rPr>
        <w:t xml:space="preserve">     </w:t>
      </w:r>
      <w:r>
        <w:rPr>
          <w:rFonts w:hint="eastAsia" w:ascii="宋体" w:hAnsi="宋体" w:eastAsia="宋体" w:cs="宋体"/>
          <w:b/>
          <w:bCs/>
          <w:sz w:val="32"/>
          <w:szCs w:val="32"/>
          <w:lang w:val="zh-CN"/>
        </w:rPr>
        <w:t>次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8"/>
          <w:szCs w:val="28"/>
        </w:rPr>
      </w:pPr>
    </w:p>
    <w:p>
      <w:pPr>
        <w:pStyle w:val="10"/>
        <w:tabs>
          <w:tab w:val="right" w:leader="dot" w:pos="8646"/>
        </w:tabs>
      </w:pPr>
      <w:r>
        <w:rPr>
          <w:rFonts w:hint="eastAsia" w:ascii="宋体" w:hAnsi="宋体" w:eastAsia="宋体" w:cs="宋体"/>
          <w:b/>
          <w:bCs/>
          <w:szCs w:val="21"/>
        </w:rPr>
        <w:fldChar w:fldCharType="begin"/>
      </w:r>
      <w:r>
        <w:rPr>
          <w:rFonts w:hint="eastAsia" w:ascii="宋体" w:hAnsi="宋体" w:eastAsia="宋体" w:cs="宋体"/>
          <w:b/>
          <w:bCs/>
          <w:szCs w:val="21"/>
        </w:rPr>
        <w:instrText xml:space="preserve"> TOC \o "1-3" \h \z \u </w:instrText>
      </w:r>
      <w:r>
        <w:rPr>
          <w:rFonts w:hint="eastAsia" w:ascii="宋体" w:hAnsi="宋体" w:eastAsia="宋体" w:cs="宋体"/>
          <w:b/>
          <w:bCs/>
          <w:szCs w:val="21"/>
        </w:rPr>
        <w:fldChar w:fldCharType="separate"/>
      </w:r>
      <w:r>
        <w:rPr>
          <w:rFonts w:hint="eastAsia" w:ascii="宋体" w:hAnsi="宋体" w:eastAsia="宋体" w:cs="宋体"/>
          <w:bCs/>
          <w:szCs w:val="21"/>
        </w:rPr>
        <w:fldChar w:fldCharType="begin"/>
      </w:r>
      <w:r>
        <w:rPr>
          <w:rFonts w:hint="eastAsia" w:ascii="宋体" w:hAnsi="宋体" w:eastAsia="宋体" w:cs="宋体"/>
          <w:bCs/>
          <w:szCs w:val="21"/>
        </w:rPr>
        <w:instrText xml:space="preserve"> HYPERLINK \l _Toc32426 </w:instrText>
      </w:r>
      <w:r>
        <w:rPr>
          <w:rFonts w:hint="eastAsia" w:ascii="宋体" w:hAnsi="宋体" w:eastAsia="宋体" w:cs="宋体"/>
          <w:bCs/>
          <w:szCs w:val="21"/>
        </w:rPr>
        <w:fldChar w:fldCharType="separate"/>
      </w:r>
      <w:r>
        <w:rPr>
          <w:rFonts w:hint="eastAsia" w:ascii="宋体" w:hAnsi="宋体" w:eastAsia="宋体" w:cs="宋体"/>
          <w:szCs w:val="24"/>
          <w:lang w:val="zh-CN"/>
        </w:rPr>
        <w:t>1 总则</w:t>
      </w:r>
      <w:r>
        <w:tab/>
      </w:r>
      <w:r>
        <w:fldChar w:fldCharType="begin"/>
      </w:r>
      <w:r>
        <w:instrText xml:space="preserve"> PAGEREF _Toc32426 </w:instrText>
      </w:r>
      <w:r>
        <w:fldChar w:fldCharType="separate"/>
      </w:r>
      <w:r>
        <w:t>3</w:t>
      </w:r>
      <w:r>
        <w:fldChar w:fldCharType="end"/>
      </w:r>
      <w:r>
        <w:rPr>
          <w:rFonts w:hint="eastAsia" w:ascii="宋体" w:hAnsi="宋体" w:eastAsia="宋体" w:cs="宋体"/>
          <w:bCs/>
          <w:szCs w:val="21"/>
        </w:rPr>
        <w:fldChar w:fldCharType="end"/>
      </w:r>
    </w:p>
    <w:p>
      <w:pPr>
        <w:pStyle w:val="10"/>
        <w:tabs>
          <w:tab w:val="right" w:leader="dot" w:pos="8646"/>
        </w:tabs>
      </w:pPr>
      <w:r>
        <w:rPr>
          <w:rFonts w:hint="eastAsia" w:ascii="宋体" w:hAnsi="宋体" w:eastAsia="宋体" w:cs="宋体"/>
          <w:bCs/>
          <w:szCs w:val="21"/>
        </w:rPr>
        <w:fldChar w:fldCharType="begin"/>
      </w:r>
      <w:r>
        <w:rPr>
          <w:rFonts w:hint="eastAsia" w:ascii="宋体" w:hAnsi="宋体" w:eastAsia="宋体" w:cs="宋体"/>
          <w:bCs/>
          <w:szCs w:val="21"/>
        </w:rPr>
        <w:instrText xml:space="preserve"> HYPERLINK \l _Toc25062 </w:instrText>
      </w:r>
      <w:r>
        <w:rPr>
          <w:rFonts w:hint="eastAsia" w:ascii="宋体" w:hAnsi="宋体" w:eastAsia="宋体" w:cs="宋体"/>
          <w:bCs/>
          <w:szCs w:val="21"/>
        </w:rPr>
        <w:fldChar w:fldCharType="separate"/>
      </w:r>
      <w:r>
        <w:rPr>
          <w:rFonts w:hint="eastAsia" w:ascii="宋体" w:hAnsi="宋体" w:eastAsia="宋体" w:cs="宋体"/>
          <w:szCs w:val="24"/>
          <w:lang w:val="zh-CN"/>
        </w:rPr>
        <w:t>2 功能及技术要求</w:t>
      </w:r>
      <w:r>
        <w:tab/>
      </w:r>
      <w:r>
        <w:fldChar w:fldCharType="begin"/>
      </w:r>
      <w:r>
        <w:instrText xml:space="preserve"> PAGEREF _Toc25062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 w:eastAsia="宋体" w:cs="宋体"/>
          <w:bCs/>
          <w:szCs w:val="21"/>
        </w:rPr>
        <w:fldChar w:fldCharType="end"/>
      </w:r>
    </w:p>
    <w:p>
      <w:pPr>
        <w:pStyle w:val="6"/>
        <w:tabs>
          <w:tab w:val="right" w:leader="dot" w:pos="8646"/>
        </w:tabs>
      </w:pPr>
      <w:r>
        <w:rPr>
          <w:rFonts w:hint="eastAsia" w:ascii="宋体" w:hAnsi="宋体" w:eastAsia="宋体" w:cs="宋体"/>
          <w:bCs/>
          <w:szCs w:val="21"/>
        </w:rPr>
        <w:fldChar w:fldCharType="begin"/>
      </w:r>
      <w:r>
        <w:rPr>
          <w:rFonts w:hint="eastAsia" w:ascii="宋体" w:hAnsi="宋体" w:eastAsia="宋体" w:cs="宋体"/>
          <w:bCs/>
          <w:szCs w:val="21"/>
        </w:rPr>
        <w:instrText xml:space="preserve"> HYPERLINK \l _Toc6397 </w:instrText>
      </w:r>
      <w:r>
        <w:rPr>
          <w:rFonts w:hint="eastAsia" w:ascii="宋体" w:hAnsi="宋体" w:eastAsia="宋体" w:cs="宋体"/>
          <w:bCs/>
          <w:szCs w:val="21"/>
        </w:rPr>
        <w:fldChar w:fldCharType="separate"/>
      </w:r>
      <w:r>
        <w:rPr>
          <w:rFonts w:hint="eastAsia" w:ascii="宋体" w:hAnsi="宋体" w:eastAsia="宋体" w:cs="宋体"/>
          <w:szCs w:val="24"/>
        </w:rPr>
        <w:t>货物需求一览表</w:t>
      </w:r>
      <w:r>
        <w:tab/>
      </w:r>
      <w:r>
        <w:fldChar w:fldCharType="begin"/>
      </w:r>
      <w:r>
        <w:instrText xml:space="preserve"> PAGEREF _Toc6397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 w:eastAsia="宋体" w:cs="宋体"/>
          <w:bCs/>
          <w:szCs w:val="21"/>
        </w:rPr>
        <w:fldChar w:fldCharType="end"/>
      </w:r>
    </w:p>
    <w:p>
      <w:pPr>
        <w:pStyle w:val="10"/>
        <w:tabs>
          <w:tab w:val="right" w:leader="dot" w:pos="8646"/>
        </w:tabs>
      </w:pPr>
      <w:r>
        <w:rPr>
          <w:rFonts w:hint="eastAsia" w:ascii="宋体" w:hAnsi="宋体" w:eastAsia="宋体" w:cs="宋体"/>
          <w:bCs/>
          <w:szCs w:val="21"/>
        </w:rPr>
        <w:fldChar w:fldCharType="begin"/>
      </w:r>
      <w:r>
        <w:rPr>
          <w:rFonts w:hint="eastAsia" w:ascii="宋体" w:hAnsi="宋体" w:eastAsia="宋体" w:cs="宋体"/>
          <w:bCs/>
          <w:szCs w:val="21"/>
        </w:rPr>
        <w:instrText xml:space="preserve"> HYPERLINK \l _Toc5698 </w:instrText>
      </w:r>
      <w:r>
        <w:rPr>
          <w:rFonts w:hint="eastAsia" w:ascii="宋体" w:hAnsi="宋体" w:eastAsia="宋体" w:cs="宋体"/>
          <w:bCs/>
          <w:szCs w:val="21"/>
        </w:rPr>
        <w:fldChar w:fldCharType="separate"/>
      </w:r>
      <w:r>
        <w:rPr>
          <w:rFonts w:hint="eastAsia" w:ascii="宋体" w:hAnsi="宋体" w:eastAsia="宋体" w:cs="宋体"/>
          <w:szCs w:val="24"/>
        </w:rPr>
        <w:t>3 交货及安装：</w:t>
      </w:r>
      <w:r>
        <w:tab/>
      </w:r>
      <w:r>
        <w:fldChar w:fldCharType="begin"/>
      </w:r>
      <w:r>
        <w:instrText xml:space="preserve"> PAGEREF _Toc5698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 w:eastAsia="宋体" w:cs="宋体"/>
          <w:bCs/>
          <w:szCs w:val="21"/>
        </w:rPr>
        <w:fldChar w:fldCharType="end"/>
      </w:r>
    </w:p>
    <w:p>
      <w:pPr>
        <w:pStyle w:val="10"/>
        <w:tabs>
          <w:tab w:val="right" w:leader="dot" w:pos="8646"/>
        </w:tabs>
      </w:pPr>
      <w:r>
        <w:rPr>
          <w:rFonts w:hint="eastAsia" w:ascii="宋体" w:hAnsi="宋体" w:eastAsia="宋体" w:cs="宋体"/>
          <w:bCs/>
          <w:szCs w:val="21"/>
        </w:rPr>
        <w:fldChar w:fldCharType="begin"/>
      </w:r>
      <w:r>
        <w:rPr>
          <w:rFonts w:hint="eastAsia" w:ascii="宋体" w:hAnsi="宋体" w:eastAsia="宋体" w:cs="宋体"/>
          <w:bCs/>
          <w:szCs w:val="21"/>
        </w:rPr>
        <w:instrText xml:space="preserve"> HYPERLINK \l _Toc10243 </w:instrText>
      </w:r>
      <w:r>
        <w:rPr>
          <w:rFonts w:hint="eastAsia" w:ascii="宋体" w:hAnsi="宋体" w:eastAsia="宋体" w:cs="宋体"/>
          <w:bCs/>
          <w:szCs w:val="21"/>
        </w:rPr>
        <w:fldChar w:fldCharType="separate"/>
      </w:r>
      <w:r>
        <w:rPr>
          <w:rFonts w:hint="eastAsia" w:ascii="宋体" w:hAnsi="宋体" w:eastAsia="宋体" w:cs="宋体"/>
          <w:bCs/>
        </w:rPr>
        <w:t>4 质量保证、验收及异议</w:t>
      </w:r>
      <w:r>
        <w:tab/>
      </w:r>
      <w:r>
        <w:fldChar w:fldCharType="begin"/>
      </w:r>
      <w:r>
        <w:instrText xml:space="preserve"> PAGEREF _Toc10243 </w:instrText>
      </w:r>
      <w:r>
        <w:fldChar w:fldCharType="separate"/>
      </w:r>
      <w:r>
        <w:t>4</w:t>
      </w:r>
      <w:r>
        <w:fldChar w:fldCharType="end"/>
      </w:r>
      <w:r>
        <w:rPr>
          <w:rFonts w:hint="eastAsia" w:ascii="宋体" w:hAnsi="宋体" w:eastAsia="宋体" w:cs="宋体"/>
          <w:bCs/>
          <w:szCs w:val="21"/>
        </w:rPr>
        <w:fldChar w:fldCharType="end"/>
      </w:r>
    </w:p>
    <w:p>
      <w:pPr>
        <w:pStyle w:val="10"/>
        <w:tabs>
          <w:tab w:val="right" w:leader="dot" w:pos="8646"/>
        </w:tabs>
      </w:pPr>
      <w:r>
        <w:rPr>
          <w:rFonts w:hint="eastAsia" w:ascii="宋体" w:hAnsi="宋体" w:eastAsia="宋体" w:cs="宋体"/>
          <w:bCs/>
          <w:szCs w:val="21"/>
        </w:rPr>
        <w:fldChar w:fldCharType="begin"/>
      </w:r>
      <w:r>
        <w:rPr>
          <w:rFonts w:hint="eastAsia" w:ascii="宋体" w:hAnsi="宋体" w:eastAsia="宋体" w:cs="宋体"/>
          <w:bCs/>
          <w:szCs w:val="21"/>
        </w:rPr>
        <w:instrText xml:space="preserve"> HYPERLINK \l _Toc17023 </w:instrText>
      </w:r>
      <w:r>
        <w:rPr>
          <w:rFonts w:hint="eastAsia" w:ascii="宋体" w:hAnsi="宋体" w:eastAsia="宋体" w:cs="宋体"/>
          <w:bCs/>
          <w:szCs w:val="21"/>
        </w:rPr>
        <w:fldChar w:fldCharType="separate"/>
      </w:r>
      <w:r>
        <w:rPr>
          <w:rFonts w:hint="eastAsia" w:ascii="宋体" w:hAnsi="宋体" w:eastAsia="宋体" w:cs="宋体"/>
          <w:szCs w:val="24"/>
        </w:rPr>
        <w:t>5 包装、运输要求</w:t>
      </w:r>
      <w:r>
        <w:tab/>
      </w:r>
      <w:r>
        <w:fldChar w:fldCharType="begin"/>
      </w:r>
      <w:r>
        <w:instrText xml:space="preserve"> PAGEREF _Toc17023 </w:instrText>
      </w:r>
      <w:r>
        <w:fldChar w:fldCharType="separate"/>
      </w:r>
      <w:r>
        <w:t>5</w:t>
      </w:r>
      <w:r>
        <w:fldChar w:fldCharType="end"/>
      </w:r>
      <w:r>
        <w:rPr>
          <w:rFonts w:hint="eastAsia" w:ascii="宋体" w:hAnsi="宋体" w:eastAsia="宋体" w:cs="宋体"/>
          <w:bCs/>
          <w:szCs w:val="21"/>
        </w:rPr>
        <w:fldChar w:fldCharType="end"/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Cs w:val="21"/>
          <w:lang w:val="zh-CN"/>
        </w:rPr>
      </w:pPr>
      <w:r>
        <w:rPr>
          <w:rFonts w:hint="eastAsia" w:ascii="宋体" w:hAnsi="宋体" w:eastAsia="宋体" w:cs="宋体"/>
          <w:bCs/>
          <w:szCs w:val="21"/>
        </w:rPr>
        <w:fldChar w:fldCharType="end"/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/>
          <w:bCs/>
          <w:sz w:val="30"/>
          <w:szCs w:val="30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textAlignment w:val="auto"/>
        <w:rPr>
          <w:rFonts w:hint="eastAsia" w:ascii="宋体" w:hAnsi="宋体" w:eastAsia="宋体" w:cs="宋体"/>
          <w:b/>
          <w:bCs/>
          <w:sz w:val="24"/>
          <w:lang w:val="zh-CN"/>
        </w:rPr>
      </w:pP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zh-CN"/>
        </w:rPr>
      </w:pPr>
      <w:bookmarkStart w:id="0" w:name="_Toc32426"/>
      <w:r>
        <w:rPr>
          <w:rFonts w:hint="eastAsia" w:ascii="宋体" w:hAnsi="宋体" w:eastAsia="宋体" w:cs="宋体"/>
          <w:sz w:val="24"/>
          <w:szCs w:val="24"/>
          <w:lang w:val="zh-CN"/>
        </w:rPr>
        <w:t>1 总则</w:t>
      </w:r>
      <w:bookmarkEnd w:id="0"/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-42" w:firstLine="482"/>
        <w:textAlignment w:val="auto"/>
        <w:rPr>
          <w:rFonts w:hint="eastAsia" w:ascii="宋体" w:hAnsi="宋体" w:eastAsia="宋体" w:cs="宋体"/>
          <w:sz w:val="24"/>
          <w:lang w:val="zh-CN"/>
        </w:rPr>
      </w:pPr>
      <w:r>
        <w:rPr>
          <w:rFonts w:hint="eastAsia" w:ascii="宋体" w:hAnsi="宋体" w:eastAsia="宋体" w:cs="宋体"/>
          <w:sz w:val="24"/>
          <w:lang w:val="zh-CN"/>
        </w:rPr>
        <w:t>1.1 本技术规范书适用于2024年南方电网广西钦州周转仓日常修理项目，它提出</w:t>
      </w:r>
      <w:r>
        <w:rPr>
          <w:rFonts w:hint="eastAsia" w:ascii="宋体" w:hAnsi="宋体" w:cs="宋体"/>
          <w:sz w:val="24"/>
          <w:lang w:val="zh-CN"/>
        </w:rPr>
        <w:t>反观线条（现场划反光标示线）</w:t>
      </w:r>
      <w:r>
        <w:rPr>
          <w:rFonts w:hint="eastAsia" w:ascii="宋体" w:hAnsi="宋体" w:eastAsia="宋体" w:cs="宋体"/>
          <w:sz w:val="24"/>
          <w:lang w:val="zh-CN"/>
        </w:rPr>
        <w:t>的技术参数、配置、安装等方面的技术要求。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2"/>
        <w:textAlignment w:val="auto"/>
        <w:rPr>
          <w:rFonts w:hint="eastAsia" w:ascii="宋体" w:hAnsi="宋体" w:eastAsia="宋体" w:cs="宋体"/>
          <w:sz w:val="24"/>
          <w:lang w:val="zh-CN"/>
        </w:rPr>
      </w:pPr>
      <w:r>
        <w:rPr>
          <w:rFonts w:hint="eastAsia" w:ascii="宋体" w:hAnsi="宋体" w:eastAsia="宋体" w:cs="宋体"/>
          <w:sz w:val="24"/>
          <w:lang w:val="zh-CN"/>
        </w:rPr>
        <w:t>1.2 需方在本技术规范书中提出了最低限度的技术要求，并未规定所有的技术要求和适用的标准，未对一切技术细则作出规定，也未充分引述有关标准和规范的条文，供方应提供一套满足本规范书和现行有关标准要求的</w:t>
      </w:r>
      <w:r>
        <w:rPr>
          <w:rFonts w:hint="eastAsia" w:ascii="宋体" w:hAnsi="宋体" w:eastAsia="宋体" w:cs="宋体"/>
          <w:color w:val="000000"/>
          <w:sz w:val="24"/>
        </w:rPr>
        <w:t>高质量(可靠性高、损耗低、运行维护方便)的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成品</w:t>
      </w:r>
      <w:r>
        <w:rPr>
          <w:rFonts w:hint="eastAsia" w:ascii="宋体" w:hAnsi="宋体" w:eastAsia="宋体" w:cs="宋体"/>
          <w:color w:val="000000"/>
          <w:sz w:val="24"/>
        </w:rPr>
        <w:t>来满足规范书中设计及工艺的标准要求。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2"/>
        <w:textAlignment w:val="auto"/>
        <w:rPr>
          <w:rFonts w:hint="eastAsia" w:ascii="宋体" w:hAnsi="宋体" w:eastAsia="宋体" w:cs="宋体"/>
          <w:sz w:val="24"/>
          <w:lang w:val="zh-CN"/>
        </w:rPr>
      </w:pPr>
      <w:r>
        <w:rPr>
          <w:rFonts w:hint="eastAsia" w:ascii="宋体" w:hAnsi="宋体" w:eastAsia="宋体" w:cs="宋体"/>
          <w:sz w:val="24"/>
          <w:lang w:val="zh-CN"/>
        </w:rPr>
        <w:t>1.3如果供方没有以书面形式对本规范书的条款提出异议，则意味着供方提供的设备完全满足本规范书的要求。如有异议，都应在投标书“偏离表”中加以详细差异描述，对低于本规范书技术要求的差异一律不予接受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2"/>
        <w:textAlignment w:val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1.4 本技术规范书所使用的标准如与卖方所执行的标准有偏差时，按技术要求较高的标准执行。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2"/>
        <w:textAlignment w:val="auto"/>
        <w:rPr>
          <w:rFonts w:hint="eastAsia" w:ascii="宋体" w:hAnsi="宋体" w:eastAsia="宋体" w:cs="宋体"/>
          <w:sz w:val="24"/>
          <w:lang w:val="zh-CN"/>
        </w:rPr>
      </w:pPr>
      <w:r>
        <w:rPr>
          <w:rFonts w:hint="eastAsia" w:ascii="宋体" w:hAnsi="宋体" w:eastAsia="宋体" w:cs="宋体"/>
          <w:sz w:val="24"/>
          <w:lang w:val="zh-CN"/>
        </w:rPr>
        <w:t>1.5 本技术规范书经需供双方确认后作为订货合同的技术附件，与合同正文具有同等的法律效力。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2"/>
        <w:textAlignment w:val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1.6 本技术规范书未尽事宜，由买卖双方协商确定。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right="9" w:firstLine="482"/>
        <w:textAlignment w:val="auto"/>
        <w:rPr>
          <w:rFonts w:hint="eastAsia" w:ascii="宋体" w:hAnsi="宋体" w:eastAsia="宋体" w:cs="宋体"/>
          <w:color w:val="000000"/>
          <w:sz w:val="24"/>
        </w:rPr>
      </w:pPr>
      <w:r>
        <w:rPr>
          <w:rFonts w:hint="eastAsia" w:ascii="宋体" w:hAnsi="宋体" w:eastAsia="宋体" w:cs="宋体"/>
          <w:color w:val="000000"/>
          <w:sz w:val="24"/>
        </w:rPr>
        <w:t>1.7 标准。本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技术</w:t>
      </w:r>
      <w:r>
        <w:rPr>
          <w:rFonts w:hint="eastAsia" w:ascii="宋体" w:hAnsi="宋体" w:eastAsia="宋体" w:cs="宋体"/>
          <w:color w:val="000000"/>
          <w:sz w:val="24"/>
        </w:rPr>
        <w:t>规范书提出了最低限度的技术要求，并未规定所有的技术要求和适用的标准，对国家有关的强制性标准，必须满足其要求。</w:t>
      </w:r>
      <w:r>
        <w:rPr>
          <w:rFonts w:hint="eastAsia" w:ascii="宋体" w:hAnsi="宋体" w:eastAsia="宋体" w:cs="宋体"/>
          <w:sz w:val="24"/>
        </w:rPr>
        <w:t>下列标准所包含的条文，通过在本技术规范中引用而构成为本技术规范的条文。</w:t>
      </w:r>
      <w:r>
        <w:rPr>
          <w:rFonts w:hint="eastAsia" w:ascii="宋体" w:hAnsi="宋体" w:eastAsia="宋体" w:cs="宋体"/>
          <w:color w:val="000000"/>
          <w:sz w:val="24"/>
        </w:rPr>
        <w:t>本</w:t>
      </w:r>
      <w:r>
        <w:rPr>
          <w:rFonts w:hint="eastAsia" w:ascii="宋体" w:hAnsi="宋体" w:eastAsia="宋体" w:cs="宋体"/>
          <w:color w:val="000000"/>
          <w:sz w:val="24"/>
          <w:lang w:eastAsia="zh-CN"/>
        </w:rPr>
        <w:t>技术</w:t>
      </w:r>
      <w:r>
        <w:rPr>
          <w:rFonts w:hint="eastAsia" w:ascii="宋体" w:hAnsi="宋体" w:eastAsia="宋体" w:cs="宋体"/>
          <w:color w:val="000000"/>
          <w:sz w:val="24"/>
        </w:rPr>
        <w:t>规范书中除规定的技术要求和参数外，其余均应遵照最新版的GB、标准及和CCC认证标准、规程要求。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2"/>
        <w:textAlignment w:val="auto"/>
        <w:rPr>
          <w:rFonts w:hint="eastAsia" w:ascii="宋体" w:hAnsi="宋体" w:eastAsia="宋体" w:cs="宋体"/>
          <w:sz w:val="24"/>
          <w:lang w:val="zh-CN"/>
        </w:rPr>
      </w:pP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sz w:val="24"/>
          <w:szCs w:val="24"/>
          <w:lang w:val="zh-CN"/>
        </w:rPr>
      </w:pPr>
      <w:bookmarkStart w:id="1" w:name="_Toc25062"/>
      <w:r>
        <w:rPr>
          <w:rFonts w:hint="eastAsia" w:ascii="宋体" w:hAnsi="宋体" w:eastAsia="宋体" w:cs="宋体"/>
          <w:sz w:val="24"/>
          <w:szCs w:val="24"/>
          <w:lang w:val="zh-CN"/>
        </w:rPr>
        <w:t>2 功能及技术要求</w:t>
      </w:r>
      <w:bookmarkEnd w:id="1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right="25" w:rightChars="12" w:firstLine="601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2.1技术服务及要求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right="25" w:rightChars="12" w:firstLine="601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2.1.1 质量保质期要求为：</w:t>
      </w:r>
      <w:r>
        <w:rPr>
          <w:rFonts w:hint="eastAsia" w:ascii="宋体" w:hAnsi="宋体" w:cs="宋体"/>
          <w:sz w:val="24"/>
          <w:lang w:eastAsia="zh-CN"/>
        </w:rPr>
        <w:t>非设备刮损，室外（半年）室内（</w:t>
      </w:r>
      <w:r>
        <w:rPr>
          <w:rFonts w:hint="eastAsia" w:ascii="宋体" w:hAnsi="宋体" w:eastAsia="宋体" w:cs="宋体"/>
          <w:sz w:val="24"/>
        </w:rPr>
        <w:t>壹年</w:t>
      </w:r>
      <w:r>
        <w:rPr>
          <w:rFonts w:hint="eastAsia" w:ascii="宋体" w:hAnsi="宋体" w:cs="宋体"/>
          <w:sz w:val="24"/>
          <w:lang w:eastAsia="zh-CN"/>
        </w:rPr>
        <w:t>）。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360" w:lineRule="auto"/>
        <w:jc w:val="center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2" w:name="_Toc6397"/>
      <w:r>
        <w:rPr>
          <w:rFonts w:hint="eastAsia" w:ascii="宋体" w:hAnsi="宋体" w:eastAsia="宋体" w:cs="宋体"/>
          <w:sz w:val="24"/>
          <w:szCs w:val="24"/>
        </w:rPr>
        <w:t>货物需求一览表</w:t>
      </w:r>
      <w:bookmarkEnd w:id="2"/>
    </w:p>
    <w:tbl>
      <w:tblPr>
        <w:tblStyle w:val="13"/>
        <w:tblW w:w="8931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8"/>
        <w:gridCol w:w="1167"/>
        <w:gridCol w:w="3876"/>
        <w:gridCol w:w="912"/>
        <w:gridCol w:w="840"/>
        <w:gridCol w:w="156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568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序号</w:t>
            </w:r>
          </w:p>
        </w:tc>
        <w:tc>
          <w:tcPr>
            <w:tcW w:w="1167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名称</w:t>
            </w:r>
          </w:p>
        </w:tc>
        <w:tc>
          <w:tcPr>
            <w:tcW w:w="3876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技术参数（配置）要求</w:t>
            </w:r>
          </w:p>
        </w:tc>
        <w:tc>
          <w:tcPr>
            <w:tcW w:w="912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单位</w:t>
            </w:r>
          </w:p>
        </w:tc>
        <w:tc>
          <w:tcPr>
            <w:tcW w:w="840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szCs w:val="21"/>
              </w:rPr>
              <w:t>数量</w:t>
            </w:r>
          </w:p>
        </w:tc>
        <w:tc>
          <w:tcPr>
            <w:tcW w:w="1568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szCs w:val="21"/>
                <w:lang w:eastAsia="zh-CN"/>
              </w:rPr>
              <w:t>备注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9" w:hRule="atLeast"/>
        </w:trPr>
        <w:tc>
          <w:tcPr>
            <w:tcW w:w="568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1</w:t>
            </w:r>
          </w:p>
        </w:tc>
        <w:tc>
          <w:tcPr>
            <w:tcW w:w="1167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eastAsia="宋体" w:cs="宋体"/>
                <w:szCs w:val="21"/>
              </w:rPr>
              <w:t>反光线条,宽100mm(防阻塞线、定置线)</w:t>
            </w:r>
          </w:p>
        </w:tc>
        <w:tc>
          <w:tcPr>
            <w:tcW w:w="3876" w:type="dxa"/>
            <w:vAlign w:val="center"/>
          </w:tcPr>
          <w:p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1.尺寸：</w:t>
            </w:r>
            <w:r>
              <w:rPr>
                <w:rFonts w:hint="eastAsia" w:ascii="宋体" w:hAnsi="宋体"/>
              </w:rPr>
              <w:t>线宽1</w:t>
            </w:r>
            <w:r>
              <w:rPr>
                <w:rFonts w:hint="eastAsia" w:ascii="宋体" w:hAnsi="宋体"/>
                <w:lang w:val="en-US" w:eastAsia="zh-CN"/>
              </w:rPr>
              <w:t>0</w:t>
            </w:r>
            <w:r>
              <w:rPr>
                <w:rFonts w:hint="eastAsia" w:ascii="宋体" w:hAnsi="宋体"/>
              </w:rPr>
              <w:t>0mm</w:t>
            </w:r>
            <w:r>
              <w:rPr>
                <w:rFonts w:hint="eastAsia" w:ascii="宋体" w:hAnsi="宋体"/>
                <w:szCs w:val="21"/>
              </w:rPr>
              <w:t>。</w:t>
            </w:r>
          </w:p>
          <w:p>
            <w:pPr>
              <w:spacing w:line="360" w:lineRule="auto"/>
              <w:jc w:val="left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2.材质及工艺要求：黄色反光不干胶线条、反光涂料制作。</w:t>
            </w:r>
          </w:p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3.</w:t>
            </w:r>
            <w:r>
              <w:rPr>
                <w:rFonts w:hint="eastAsia" w:ascii="宋体" w:hAnsi="宋体" w:eastAsia="宋体" w:cs="宋体"/>
                <w:szCs w:val="21"/>
              </w:rPr>
              <w:t>标识内颜色须符合南网色号要求。</w:t>
            </w:r>
          </w:p>
        </w:tc>
        <w:tc>
          <w:tcPr>
            <w:tcW w:w="912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米</w:t>
            </w:r>
          </w:p>
        </w:tc>
        <w:tc>
          <w:tcPr>
            <w:tcW w:w="840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3000</w:t>
            </w:r>
          </w:p>
        </w:tc>
        <w:tc>
          <w:tcPr>
            <w:tcW w:w="1568" w:type="dxa"/>
            <w:vAlign w:val="center"/>
          </w:tcPr>
          <w:p>
            <w:pPr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/>
              <w:spacing w:line="360" w:lineRule="auto"/>
              <w:jc w:val="left"/>
              <w:textAlignment w:val="auto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现场划反光标示线。</w:t>
            </w:r>
          </w:p>
        </w:tc>
      </w:tr>
    </w:tbl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center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szCs w:val="21"/>
          <w:lang w:val="en-US" w:eastAsia="zh-CN"/>
        </w:rPr>
        <w:t xml:space="preserve">   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</w:rPr>
      </w:pP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3" w:name="_Toc5698"/>
      <w:r>
        <w:rPr>
          <w:rFonts w:hint="eastAsia" w:ascii="宋体" w:hAnsi="宋体" w:eastAsia="宋体" w:cs="宋体"/>
          <w:sz w:val="24"/>
          <w:szCs w:val="24"/>
        </w:rPr>
        <w:t>3 交货及安装：</w:t>
      </w:r>
      <w:bookmarkEnd w:id="3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right="25" w:rightChars="12" w:firstLine="6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3.1 交货、安装时间：按需方要求签订合同后30日内；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right="25" w:rightChars="12" w:firstLine="600"/>
        <w:textAlignment w:val="auto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3.2</w:t>
      </w:r>
      <w:r>
        <w:rPr>
          <w:rFonts w:hint="eastAsia" w:ascii="宋体" w:hAnsi="宋体" w:eastAsia="宋体" w:cs="宋体"/>
          <w:sz w:val="24"/>
        </w:rPr>
        <w:t xml:space="preserve"> 交货地点：</w:t>
      </w:r>
      <w:bookmarkStart w:id="4" w:name="_Toc366159106"/>
      <w:bookmarkStart w:id="5" w:name="_Toc293327879"/>
      <w:r>
        <w:rPr>
          <w:rFonts w:hint="eastAsia" w:ascii="宋体" w:hAnsi="宋体" w:cs="宋体"/>
          <w:sz w:val="24"/>
          <w:lang w:eastAsia="zh-CN"/>
        </w:rPr>
        <w:t>南方电网广西钦州周转仓及其它库区</w:t>
      </w:r>
      <w:r>
        <w:rPr>
          <w:rFonts w:hint="eastAsia" w:ascii="宋体" w:hAnsi="宋体" w:eastAsia="宋体" w:cs="宋体"/>
          <w:sz w:val="24"/>
        </w:rPr>
        <w:t>；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right="25" w:rightChars="12" w:firstLine="600"/>
        <w:textAlignment w:val="auto"/>
        <w:rPr>
          <w:rFonts w:hint="eastAsia" w:ascii="宋体" w:hAnsi="宋体" w:eastAsia="宋体" w:cs="宋体"/>
          <w:sz w:val="24"/>
          <w:lang w:eastAsia="zh-CN"/>
        </w:rPr>
      </w:pPr>
      <w:r>
        <w:rPr>
          <w:rFonts w:hint="eastAsia" w:ascii="宋体" w:hAnsi="宋体" w:eastAsia="宋体" w:cs="宋体"/>
        </w:rPr>
        <w:t>3.3</w:t>
      </w:r>
      <w:r>
        <w:rPr>
          <w:rFonts w:hint="eastAsia" w:ascii="宋体" w:hAnsi="宋体" w:eastAsia="宋体" w:cs="宋体"/>
          <w:sz w:val="24"/>
        </w:rPr>
        <w:t xml:space="preserve"> 安装地点：</w:t>
      </w:r>
      <w:bookmarkEnd w:id="4"/>
      <w:bookmarkEnd w:id="5"/>
      <w:r>
        <w:rPr>
          <w:rFonts w:hint="eastAsia" w:ascii="宋体" w:hAnsi="宋体" w:cs="宋体"/>
          <w:sz w:val="24"/>
          <w:lang w:eastAsia="zh-CN"/>
        </w:rPr>
        <w:t>南方电网广西钦州周转仓及其它库区</w:t>
      </w:r>
      <w:r>
        <w:rPr>
          <w:rFonts w:hint="eastAsia" w:ascii="宋体" w:hAnsi="宋体" w:eastAsia="宋体" w:cs="宋体"/>
          <w:sz w:val="24"/>
          <w:lang w:eastAsia="zh-CN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right="25" w:rightChars="12" w:firstLine="600"/>
        <w:textAlignment w:val="auto"/>
        <w:rPr>
          <w:rFonts w:hint="eastAsia" w:ascii="宋体" w:hAnsi="宋体" w:eastAsia="宋体" w:cs="宋体"/>
          <w:sz w:val="24"/>
          <w:lang w:eastAsia="zh-CN"/>
        </w:rPr>
      </w:pP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both"/>
        <w:textAlignment w:val="auto"/>
        <w:rPr>
          <w:rFonts w:hint="eastAsia" w:ascii="宋体" w:hAnsi="宋体" w:eastAsia="宋体" w:cs="宋体"/>
          <w:bCs/>
          <w:sz w:val="24"/>
        </w:rPr>
      </w:pPr>
      <w:bookmarkStart w:id="6" w:name="_Toc10243"/>
      <w:r>
        <w:rPr>
          <w:rFonts w:hint="eastAsia" w:ascii="宋体" w:hAnsi="宋体" w:eastAsia="宋体" w:cs="宋体"/>
          <w:bCs/>
          <w:sz w:val="24"/>
        </w:rPr>
        <w:t>4 质量保证、验收及异议</w:t>
      </w:r>
      <w:bookmarkEnd w:id="6"/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4"/>
        </w:rPr>
        <w:t>4.1质量保证：</w:t>
      </w:r>
      <w:r>
        <w:rPr>
          <w:rFonts w:hint="eastAsia" w:ascii="宋体" w:hAnsi="宋体" w:eastAsia="宋体" w:cs="宋体"/>
          <w:sz w:val="24"/>
          <w:lang w:eastAsia="zh-CN"/>
        </w:rPr>
        <w:t>供方提供的各类</w:t>
      </w:r>
      <w:r>
        <w:rPr>
          <w:rFonts w:hint="eastAsia" w:ascii="宋体" w:hAnsi="宋体" w:cs="宋体"/>
          <w:sz w:val="24"/>
          <w:lang w:eastAsia="zh-CN"/>
        </w:rPr>
        <w:t>反光线条</w:t>
      </w:r>
      <w:r>
        <w:rPr>
          <w:rFonts w:hint="eastAsia" w:ascii="宋体" w:hAnsi="宋体" w:cs="宋体"/>
          <w:sz w:val="24"/>
          <w:lang w:val="zh-CN"/>
        </w:rPr>
        <w:t>现场划</w:t>
      </w:r>
      <w:r>
        <w:rPr>
          <w:rFonts w:hint="eastAsia" w:ascii="宋体" w:hAnsi="宋体" w:cs="宋体"/>
          <w:sz w:val="24"/>
          <w:lang w:val="en-US" w:eastAsia="zh-CN"/>
        </w:rPr>
        <w:t>(</w:t>
      </w:r>
      <w:r>
        <w:rPr>
          <w:rFonts w:hint="eastAsia" w:ascii="宋体" w:hAnsi="宋体" w:cs="宋体"/>
          <w:sz w:val="24"/>
          <w:lang w:val="zh-CN"/>
        </w:rPr>
        <w:t>反光标示线</w:t>
      </w:r>
      <w:r>
        <w:rPr>
          <w:rFonts w:hint="eastAsia" w:ascii="宋体" w:hAnsi="宋体" w:cs="宋体"/>
          <w:sz w:val="24"/>
          <w:lang w:val="en-US" w:eastAsia="zh-CN"/>
        </w:rPr>
        <w:t>)</w:t>
      </w:r>
      <w:r>
        <w:rPr>
          <w:rFonts w:hint="eastAsia" w:ascii="宋体" w:hAnsi="宋体" w:eastAsia="宋体" w:cs="宋体"/>
          <w:sz w:val="24"/>
          <w:lang w:eastAsia="zh-CN"/>
        </w:rPr>
        <w:t>需保证室内</w:t>
      </w:r>
      <w:r>
        <w:rPr>
          <w:rFonts w:hint="eastAsia" w:ascii="宋体" w:hAnsi="宋体" w:cs="宋体"/>
          <w:sz w:val="24"/>
          <w:lang w:eastAsia="zh-CN"/>
        </w:rPr>
        <w:t>（</w:t>
      </w:r>
      <w:r>
        <w:rPr>
          <w:rFonts w:hint="eastAsia" w:ascii="宋体" w:hAnsi="宋体" w:eastAsia="宋体" w:cs="宋体"/>
          <w:sz w:val="24"/>
        </w:rPr>
        <w:t>壹年</w:t>
      </w:r>
      <w:r>
        <w:rPr>
          <w:rFonts w:hint="eastAsia" w:ascii="宋体" w:hAnsi="宋体" w:cs="宋体"/>
          <w:sz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lang w:eastAsia="zh-CN"/>
        </w:rPr>
        <w:t>的正常使用，并不发生褪色、老化等现象；</w:t>
      </w:r>
      <w:r>
        <w:rPr>
          <w:rFonts w:hint="eastAsia" w:ascii="宋体" w:hAnsi="宋体" w:eastAsia="宋体" w:cs="宋体"/>
          <w:sz w:val="24"/>
        </w:rPr>
        <w:t>供方</w:t>
      </w:r>
      <w:r>
        <w:rPr>
          <w:rFonts w:hint="eastAsia" w:ascii="宋体" w:hAnsi="宋体" w:eastAsia="宋体" w:cs="宋体"/>
          <w:sz w:val="24"/>
          <w:lang w:eastAsia="zh-CN"/>
        </w:rPr>
        <w:t>需</w:t>
      </w:r>
      <w:r>
        <w:rPr>
          <w:rFonts w:hint="eastAsia" w:ascii="宋体" w:hAnsi="宋体" w:eastAsia="宋体" w:cs="宋体"/>
          <w:sz w:val="24"/>
        </w:rPr>
        <w:t>严格按照招标文件要求和国家标准（或部颁标准、或行业标准）履行合同；供方保证提供全新及合格产品，产品制作材料符合国家环保标准（包括备品备件）</w:t>
      </w:r>
      <w:r>
        <w:rPr>
          <w:rFonts w:hint="eastAsia" w:ascii="宋体" w:hAnsi="宋体" w:eastAsia="宋体" w:cs="宋体"/>
          <w:sz w:val="28"/>
          <w:szCs w:val="28"/>
        </w:rPr>
        <w:t>。</w:t>
      </w:r>
      <w:r>
        <w:rPr>
          <w:rFonts w:hint="eastAsia" w:ascii="宋体" w:hAnsi="宋体" w:eastAsia="宋体" w:cs="宋体"/>
          <w:sz w:val="24"/>
        </w:rPr>
        <w:t>并且符合国家有关检测标准、行业标准以及产品的出厂标准。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right="25" w:rightChars="12" w:firstLine="480" w:firstLineChars="20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4.2 验收：需方收到货物时，主要从型号、规格、数量、质量性能、外观、内装饰及备品备件等方面进行验收</w:t>
      </w:r>
      <w:r>
        <w:rPr>
          <w:rFonts w:hint="eastAsia" w:ascii="宋体" w:hAnsi="宋体" w:eastAsia="宋体" w:cs="宋体"/>
          <w:kern w:val="0"/>
          <w:sz w:val="24"/>
        </w:rPr>
        <w:t>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4.3 异议：需方在验收中，如发现有与合同规定不符的，应在</w:t>
      </w:r>
      <w:r>
        <w:rPr>
          <w:rFonts w:hint="eastAsia" w:ascii="宋体" w:hAnsi="宋体" w:eastAsia="宋体" w:cs="宋体"/>
          <w:sz w:val="24"/>
          <w:u w:val="single"/>
        </w:rPr>
        <w:t xml:space="preserve"> 7 </w:t>
      </w:r>
      <w:r>
        <w:rPr>
          <w:rFonts w:hint="eastAsia" w:ascii="宋体" w:hAnsi="宋体" w:eastAsia="宋体" w:cs="宋体"/>
          <w:sz w:val="24"/>
        </w:rPr>
        <w:t>天内向供方提出书面异议；供方在接到需方书面异议后，应在</w:t>
      </w:r>
      <w:r>
        <w:rPr>
          <w:rFonts w:hint="eastAsia" w:ascii="宋体" w:hAnsi="宋体" w:eastAsia="宋体" w:cs="宋体"/>
          <w:sz w:val="24"/>
          <w:u w:val="single"/>
        </w:rPr>
        <w:t xml:space="preserve"> 30 </w:t>
      </w:r>
      <w:r>
        <w:rPr>
          <w:rFonts w:hint="eastAsia" w:ascii="宋体" w:hAnsi="宋体" w:eastAsia="宋体" w:cs="宋体"/>
          <w:sz w:val="24"/>
        </w:rPr>
        <w:t>天内予以解决妥当。</w:t>
      </w:r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firstLine="480"/>
        <w:textAlignment w:val="auto"/>
        <w:rPr>
          <w:rFonts w:hint="eastAsia" w:ascii="宋体" w:hAnsi="宋体" w:eastAsia="宋体" w:cs="宋体"/>
          <w:sz w:val="24"/>
        </w:rPr>
      </w:pPr>
    </w:p>
    <w:p>
      <w:pPr>
        <w:pStyle w:val="2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bookmarkStart w:id="7" w:name="_Toc17023"/>
      <w:r>
        <w:rPr>
          <w:rFonts w:hint="eastAsia" w:ascii="宋体" w:hAnsi="宋体" w:eastAsia="宋体" w:cs="宋体"/>
          <w:sz w:val="24"/>
          <w:szCs w:val="24"/>
        </w:rPr>
        <w:t>5 包装、运输要求</w:t>
      </w:r>
      <w:bookmarkEnd w:id="7"/>
    </w:p>
    <w:p>
      <w:pPr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line="360" w:lineRule="auto"/>
        <w:ind w:left="31" w:firstLine="48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lang w:val="zh-CN"/>
        </w:rPr>
        <w:t>所有设备的包装，应保证产品、组件及零部件在运输和储存期间不能损坏和松动，并采取有效的防震防潮措施。</w:t>
      </w:r>
    </w:p>
    <w:p>
      <w:pPr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</w:p>
    <w:sectPr>
      <w:footerReference r:id="rId3" w:type="default"/>
      <w:footerReference r:id="rId4" w:type="even"/>
      <w:pgSz w:w="12240" w:h="15840"/>
      <w:pgMar w:top="1440" w:right="1797" w:bottom="1440" w:left="1797" w:header="720" w:footer="72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center" w:y="1"/>
      <w:rPr>
        <w:rStyle w:val="17"/>
      </w:rPr>
    </w:pPr>
    <w:r>
      <w:fldChar w:fldCharType="begin"/>
    </w:r>
    <w:r>
      <w:rPr>
        <w:rStyle w:val="17"/>
      </w:rPr>
      <w:instrText xml:space="preserve">PAGE  </w:instrText>
    </w:r>
    <w:r>
      <w:fldChar w:fldCharType="separate"/>
    </w:r>
    <w:r>
      <w:rPr>
        <w:rStyle w:val="17"/>
      </w:rPr>
      <w:t>4</w:t>
    </w:r>
    <w:r>
      <w:fldChar w:fldCharType="end"/>
    </w:r>
  </w:p>
  <w:p>
    <w:pPr>
      <w:pStyle w:val="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framePr w:wrap="around" w:vAnchor="text" w:hAnchor="margin" w:xAlign="center" w:y="1"/>
      <w:rPr>
        <w:rStyle w:val="17"/>
      </w:rPr>
    </w:pPr>
    <w:r>
      <w:fldChar w:fldCharType="begin"/>
    </w:r>
    <w:r>
      <w:rPr>
        <w:rStyle w:val="17"/>
      </w:rPr>
      <w:instrText xml:space="preserve">PAGE  </w:instrText>
    </w:r>
    <w:r>
      <w:fldChar w:fldCharType="end"/>
    </w:r>
  </w:p>
  <w:p>
    <w:pPr>
      <w:pStyle w:val="8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2"/>
    <w:multiLevelType w:val="multilevel"/>
    <w:tmpl w:val="00000002"/>
    <w:lvl w:ilvl="0" w:tentative="0">
      <w:start w:val="1"/>
      <w:numFmt w:val="decimal"/>
      <w:pStyle w:val="11"/>
      <w:lvlText w:val="%1."/>
      <w:lvlJc w:val="left"/>
      <w:pPr>
        <w:tabs>
          <w:tab w:val="left" w:pos="425"/>
        </w:tabs>
        <w:ind w:left="425" w:hanging="425"/>
      </w:pPr>
      <w:rPr>
        <w:rFonts w:hint="eastAsia"/>
        <w:b/>
        <w:sz w:val="28"/>
        <w:szCs w:val="28"/>
      </w:r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</w:lvl>
    <w:lvl w:ilvl="2" w:tentative="0">
      <w:start w:val="1"/>
      <w:numFmt w:val="decimal"/>
      <w:lvlText w:val="%1.%2.%3."/>
      <w:lvlJc w:val="left"/>
      <w:pPr>
        <w:tabs>
          <w:tab w:val="left" w:pos="709"/>
        </w:tabs>
        <w:ind w:left="709" w:hanging="709"/>
      </w:p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</w:lvl>
    <w:lvl w:ilvl="4" w:tentative="0">
      <w:start w:val="0"/>
      <w:numFmt w:val="none"/>
      <w:lvlText w:val=""/>
      <w:lvlJc w:val="left"/>
      <w:pPr>
        <w:tabs>
          <w:tab w:val="left" w:pos="360"/>
        </w:tabs>
      </w:pPr>
    </w:lvl>
    <w:lvl w:ilvl="5" w:tentative="0">
      <w:start w:val="0"/>
      <w:numFmt w:val="none"/>
      <w:lvlText w:val=""/>
      <w:lvlJc w:val="left"/>
      <w:pPr>
        <w:tabs>
          <w:tab w:val="left" w:pos="360"/>
        </w:tabs>
      </w:pPr>
    </w:lvl>
    <w:lvl w:ilvl="6" w:tentative="0">
      <w:start w:val="0"/>
      <w:numFmt w:val="none"/>
      <w:lvlText w:val=""/>
      <w:lvlJc w:val="left"/>
      <w:pPr>
        <w:tabs>
          <w:tab w:val="left" w:pos="360"/>
        </w:tabs>
      </w:pPr>
    </w:lvl>
    <w:lvl w:ilvl="7" w:tentative="0">
      <w:start w:val="0"/>
      <w:numFmt w:val="none"/>
      <w:lvlText w:val=""/>
      <w:lvlJc w:val="left"/>
      <w:pPr>
        <w:tabs>
          <w:tab w:val="left" w:pos="360"/>
        </w:tabs>
      </w:pPr>
    </w:lvl>
    <w:lvl w:ilvl="8" w:tentative="0">
      <w:start w:val="0"/>
      <w:numFmt w:val="none"/>
      <w:lvlText w:val=""/>
      <w:lvlJc w:val="left"/>
      <w:pPr>
        <w:tabs>
          <w:tab w:val="left" w:pos="360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21804"/>
    <w:rsid w:val="0003100C"/>
    <w:rsid w:val="00034D78"/>
    <w:rsid w:val="00066655"/>
    <w:rsid w:val="00081EB7"/>
    <w:rsid w:val="000B1A25"/>
    <w:rsid w:val="000E30E5"/>
    <w:rsid w:val="001039C1"/>
    <w:rsid w:val="00110208"/>
    <w:rsid w:val="00110F3B"/>
    <w:rsid w:val="001626A7"/>
    <w:rsid w:val="00172A27"/>
    <w:rsid w:val="001D334D"/>
    <w:rsid w:val="001E5E6E"/>
    <w:rsid w:val="00281D68"/>
    <w:rsid w:val="00286584"/>
    <w:rsid w:val="002B1DD1"/>
    <w:rsid w:val="002F338A"/>
    <w:rsid w:val="003503EC"/>
    <w:rsid w:val="004657B1"/>
    <w:rsid w:val="004701B3"/>
    <w:rsid w:val="004E2725"/>
    <w:rsid w:val="00510874"/>
    <w:rsid w:val="005441D5"/>
    <w:rsid w:val="005B531D"/>
    <w:rsid w:val="006529CF"/>
    <w:rsid w:val="006610AB"/>
    <w:rsid w:val="006C67FF"/>
    <w:rsid w:val="00731AAC"/>
    <w:rsid w:val="00764B6C"/>
    <w:rsid w:val="00775440"/>
    <w:rsid w:val="007D0CA4"/>
    <w:rsid w:val="007D60A1"/>
    <w:rsid w:val="00860D9D"/>
    <w:rsid w:val="008861E8"/>
    <w:rsid w:val="008E1EE3"/>
    <w:rsid w:val="00960748"/>
    <w:rsid w:val="00963208"/>
    <w:rsid w:val="00991094"/>
    <w:rsid w:val="009D53F1"/>
    <w:rsid w:val="00A80A5D"/>
    <w:rsid w:val="00AA4377"/>
    <w:rsid w:val="00AF357C"/>
    <w:rsid w:val="00BA56D0"/>
    <w:rsid w:val="00BF07E5"/>
    <w:rsid w:val="00BF2D88"/>
    <w:rsid w:val="00C56D77"/>
    <w:rsid w:val="00CB2DFE"/>
    <w:rsid w:val="00CB5072"/>
    <w:rsid w:val="00CF7A9F"/>
    <w:rsid w:val="00D8244B"/>
    <w:rsid w:val="00DB666E"/>
    <w:rsid w:val="00E47036"/>
    <w:rsid w:val="00E917DA"/>
    <w:rsid w:val="00F24C72"/>
    <w:rsid w:val="00F53476"/>
    <w:rsid w:val="00F73659"/>
    <w:rsid w:val="021E6547"/>
    <w:rsid w:val="0FA657AE"/>
    <w:rsid w:val="11BA1C78"/>
    <w:rsid w:val="12275A2B"/>
    <w:rsid w:val="12282B8C"/>
    <w:rsid w:val="196E3513"/>
    <w:rsid w:val="1BF80A1C"/>
    <w:rsid w:val="212A1514"/>
    <w:rsid w:val="21D46C9D"/>
    <w:rsid w:val="25A81EE4"/>
    <w:rsid w:val="297D01AF"/>
    <w:rsid w:val="2BC30DFD"/>
    <w:rsid w:val="2C3D19D1"/>
    <w:rsid w:val="2DBB1914"/>
    <w:rsid w:val="34442EC4"/>
    <w:rsid w:val="35890F6E"/>
    <w:rsid w:val="37235FE4"/>
    <w:rsid w:val="39C01AE1"/>
    <w:rsid w:val="3CD659F2"/>
    <w:rsid w:val="3E5D4E61"/>
    <w:rsid w:val="4107572A"/>
    <w:rsid w:val="480609FB"/>
    <w:rsid w:val="4A7F30A4"/>
    <w:rsid w:val="4CA30761"/>
    <w:rsid w:val="4FAA2AE3"/>
    <w:rsid w:val="51C74617"/>
    <w:rsid w:val="53FA1ACE"/>
    <w:rsid w:val="55854AD9"/>
    <w:rsid w:val="59FC5798"/>
    <w:rsid w:val="5BBC1E2B"/>
    <w:rsid w:val="66D457C1"/>
    <w:rsid w:val="6B9E0B0F"/>
    <w:rsid w:val="6D850CE0"/>
    <w:rsid w:val="753D245A"/>
    <w:rsid w:val="76494A78"/>
    <w:rsid w:val="76854759"/>
    <w:rsid w:val="7C624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22"/>
    <w:qFormat/>
    <w:uiPriority w:val="0"/>
    <w:pPr>
      <w:keepNext/>
      <w:spacing w:line="360" w:lineRule="auto"/>
      <w:jc w:val="center"/>
      <w:outlineLvl w:val="0"/>
    </w:pPr>
    <w:rPr>
      <w:b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5">
    <w:name w:val="Default Paragraph Font"/>
    <w:unhideWhenUsed/>
    <w:qFormat/>
    <w:uiPriority w:val="1"/>
  </w:style>
  <w:style w:type="table" w:default="1" w:styleId="13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 Indent"/>
    <w:basedOn w:val="1"/>
    <w:qFormat/>
    <w:uiPriority w:val="0"/>
    <w:pPr>
      <w:spacing w:line="330" w:lineRule="exact"/>
      <w:ind w:firstLine="412" w:firstLineChars="196"/>
    </w:pPr>
    <w:rPr>
      <w:rFonts w:ascii="宋体" w:hAnsi="宋体"/>
      <w:szCs w:val="18"/>
    </w:rPr>
  </w:style>
  <w:style w:type="paragraph" w:styleId="6">
    <w:name w:val="toc 3"/>
    <w:basedOn w:val="1"/>
    <w:next w:val="1"/>
    <w:qFormat/>
    <w:uiPriority w:val="39"/>
    <w:pPr>
      <w:ind w:left="840" w:leftChars="400"/>
    </w:pPr>
  </w:style>
  <w:style w:type="paragraph" w:styleId="7">
    <w:name w:val="Balloon Text"/>
    <w:basedOn w:val="1"/>
    <w:qFormat/>
    <w:uiPriority w:val="0"/>
    <w:rPr>
      <w:sz w:val="18"/>
      <w:szCs w:val="18"/>
    </w:rPr>
  </w:style>
  <w:style w:type="paragraph" w:styleId="8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List Number 5"/>
    <w:basedOn w:val="1"/>
    <w:qFormat/>
    <w:uiPriority w:val="0"/>
    <w:pPr>
      <w:numPr>
        <w:ilvl w:val="0"/>
        <w:numId w:val="1"/>
      </w:numPr>
      <w:tabs>
        <w:tab w:val="left" w:pos="2040"/>
        <w:tab w:val="clear" w:pos="425"/>
      </w:tabs>
    </w:pPr>
    <w:rPr>
      <w:szCs w:val="20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table" w:styleId="14">
    <w:name w:val="Table Grid"/>
    <w:basedOn w:val="13"/>
    <w:unhideWhenUsed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Strong"/>
    <w:qFormat/>
    <w:uiPriority w:val="0"/>
    <w:rPr>
      <w:b/>
      <w:bCs/>
    </w:rPr>
  </w:style>
  <w:style w:type="character" w:styleId="17">
    <w:name w:val="page number"/>
    <w:basedOn w:val="15"/>
    <w:qFormat/>
    <w:uiPriority w:val="0"/>
  </w:style>
  <w:style w:type="character" w:styleId="18">
    <w:name w:val="Hyperlink"/>
    <w:qFormat/>
    <w:uiPriority w:val="99"/>
    <w:rPr>
      <w:color w:val="0449BE"/>
      <w:u w:val="none"/>
    </w:rPr>
  </w:style>
  <w:style w:type="character" w:customStyle="1" w:styleId="19">
    <w:name w:val="articlebody3"/>
    <w:qFormat/>
    <w:uiPriority w:val="0"/>
    <w:rPr>
      <w:sz w:val="21"/>
      <w:szCs w:val="21"/>
    </w:rPr>
  </w:style>
  <w:style w:type="character" w:customStyle="1" w:styleId="20">
    <w:name w:val="正文1 Char"/>
    <w:link w:val="21"/>
    <w:qFormat/>
    <w:uiPriority w:val="0"/>
    <w:rPr>
      <w:sz w:val="24"/>
    </w:rPr>
  </w:style>
  <w:style w:type="paragraph" w:customStyle="1" w:styleId="21">
    <w:name w:val="正文1"/>
    <w:basedOn w:val="1"/>
    <w:link w:val="20"/>
    <w:qFormat/>
    <w:uiPriority w:val="0"/>
    <w:pPr>
      <w:autoSpaceDE w:val="0"/>
      <w:spacing w:line="276" w:lineRule="auto"/>
      <w:ind w:firstLine="480" w:firstLineChars="200"/>
    </w:pPr>
    <w:rPr>
      <w:kern w:val="0"/>
      <w:sz w:val="24"/>
      <w:szCs w:val="20"/>
    </w:rPr>
  </w:style>
  <w:style w:type="character" w:customStyle="1" w:styleId="22">
    <w:name w:val="标题 1 Char"/>
    <w:link w:val="2"/>
    <w:qFormat/>
    <w:uiPriority w:val="0"/>
    <w:rPr>
      <w:rFonts w:eastAsia="宋体"/>
      <w:b/>
      <w:kern w:val="2"/>
      <w:sz w:val="21"/>
      <w:lang w:val="en-US" w:eastAsia="zh-CN" w:bidi="ar-SA"/>
    </w:rPr>
  </w:style>
  <w:style w:type="character" w:customStyle="1" w:styleId="23">
    <w:name w:val="paramname3"/>
    <w:qFormat/>
    <w:uiPriority w:val="0"/>
    <w:rPr>
      <w:color w:val="999999"/>
    </w:rPr>
  </w:style>
  <w:style w:type="character" w:customStyle="1" w:styleId="24">
    <w:name w:val="页眉 Char"/>
    <w:link w:val="9"/>
    <w:qFormat/>
    <w:uiPriority w:val="99"/>
    <w:rPr>
      <w:kern w:val="2"/>
      <w:sz w:val="18"/>
      <w:szCs w:val="18"/>
    </w:rPr>
  </w:style>
  <w:style w:type="paragraph" w:customStyle="1" w:styleId="25">
    <w:name w:val="Char"/>
    <w:basedOn w:val="1"/>
    <w:qFormat/>
    <w:uiPriority w:val="0"/>
    <w:pPr>
      <w:widowControl/>
      <w:spacing w:after="160" w:line="240" w:lineRule="exact"/>
      <w:jc w:val="left"/>
    </w:pPr>
  </w:style>
  <w:style w:type="paragraph" w:customStyle="1" w:styleId="26">
    <w:name w:val="Char11"/>
    <w:basedOn w:val="1"/>
    <w:qFormat/>
    <w:uiPriority w:val="0"/>
  </w:style>
  <w:style w:type="paragraph" w:customStyle="1" w:styleId="27">
    <w:name w:val="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2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379</Words>
  <Characters>2165</Characters>
  <Lines>18</Lines>
  <Paragraphs>5</Paragraphs>
  <TotalTime>1</TotalTime>
  <ScaleCrop>false</ScaleCrop>
  <LinksUpToDate>false</LinksUpToDate>
  <CharactersWithSpaces>2539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2016-02-24T01:04:00Z</dcterms:created>
  <dc:creator>王薇</dc:creator>
  <cp:lastModifiedBy>刘源</cp:lastModifiedBy>
  <cp:lastPrinted>2010-10-21T02:33:00Z</cp:lastPrinted>
  <dcterms:modified xsi:type="dcterms:W3CDTF">2025-08-26T01:52:08Z</dcterms:modified>
  <dc:title>办公设备</dc:title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FE64CB49BF3E46A0BDA9ED6483159C73</vt:lpwstr>
  </property>
</Properties>
</file>