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6"/>
        <w:rPr>
          <w:rFonts w:hint="eastAsia"/>
          <w:color w:val="auto"/>
          <w:lang w:eastAsia="zh-CN"/>
        </w:rPr>
      </w:pPr>
    </w:p>
    <w:p>
      <w:pPr>
        <w:pStyle w:val="7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7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2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6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2854"/>
        <w:gridCol w:w="3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服务内容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</w:t>
            </w: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报价</w:t>
            </w:r>
            <w:r>
              <w:rPr>
                <w:rFonts w:hint="eastAsia" w:hAnsi="宋体" w:cs="宋体"/>
                <w:b/>
                <w:color w:val="auto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对输电管理所无人机巡检及视频在线监测配置的48张无线数据卡进行采购。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</w:rPr>
        <w:t>人评审和判别价格完整性和合理性的主要基础。本表的价格数据对投标人具有约束力。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FF0000"/>
          <w:szCs w:val="21"/>
        </w:rPr>
      </w:pPr>
      <w:r>
        <w:rPr>
          <w:rFonts w:hint="eastAsia" w:ascii="宋体" w:hAnsi="宋体" w:cs="宋体"/>
          <w:color w:val="FF0000"/>
          <w:szCs w:val="21"/>
        </w:rPr>
        <w:t>4.总价报价低于或等于最高限价的为有效报价，总价报价低于最高限价的</w:t>
      </w:r>
      <w:r>
        <w:rPr>
          <w:rFonts w:hint="eastAsia" w:ascii="宋体" w:hAnsi="宋体" w:cs="宋体"/>
          <w:color w:val="FF0000"/>
          <w:szCs w:val="21"/>
          <w:lang w:val="en-US" w:eastAsia="zh-CN"/>
        </w:rPr>
        <w:t>85</w:t>
      </w:r>
      <w:bookmarkStart w:id="1" w:name="_GoBack"/>
      <w:bookmarkEnd w:id="1"/>
      <w:r>
        <w:rPr>
          <w:rFonts w:hint="eastAsia" w:ascii="宋体" w:hAnsi="宋体" w:cs="宋体"/>
          <w:color w:val="FF0000"/>
          <w:szCs w:val="21"/>
        </w:rPr>
        <w:t>%，必须在投标文件中附成本分析报告，成本分析报告需充分说明单价和费用的组成、降低成本的合理措施，否则视为实质上不响应招标文件要求，作否决投标处理。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52420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0774F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56C53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751</Words>
  <Characters>839</Characters>
  <Lines>0</Lines>
  <Paragraphs>0</Paragraphs>
  <TotalTime>38</TotalTime>
  <ScaleCrop>false</ScaleCrop>
  <LinksUpToDate>false</LinksUpToDate>
  <CharactersWithSpaces>1306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庞世论</cp:lastModifiedBy>
  <dcterms:modified xsi:type="dcterms:W3CDTF">2025-11-04T03:15:14Z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8313C2318A1044919C5087DADDCDB82C</vt:lpwstr>
  </property>
</Properties>
</file>