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</w:rPr>
        <w:t>格子储物柜</w:t>
      </w:r>
      <w:r>
        <w:rPr>
          <w:rFonts w:hint="eastAsia"/>
          <w:b/>
          <w:bCs/>
          <w:sz w:val="36"/>
          <w:szCs w:val="44"/>
          <w:lang w:val="en-US" w:eastAsia="zh-CN"/>
        </w:rPr>
        <w:t>的采购要求</w:t>
      </w:r>
    </w:p>
    <w:p>
      <w:pPr>
        <w:spacing w:line="480" w:lineRule="auto"/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spacing w:line="48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一、核心采购要求</w:t>
      </w:r>
    </w:p>
    <w:p>
      <w:pPr>
        <w:spacing w:line="48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（一）安全性能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锁具系统：支持密码+指纹双重认证（优先选防破解算法），具备错码锁定、超时未操作自动上锁功能，可选配应急钥匙备用。可使用APP远程进行开锁。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材质工艺：柜体采用≥1.2mm冷轧钢板，柜门加厚加固，边角防撬设计，表面防锈防腐处理（喷塑/电泳工艺）。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 防护设计：配备防钻、防撬、防撬动报警功能，确保物理防护与电子防护双重达标。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（二）规格适配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尺寸容量：根据存储需求选择（参考尺寸：高80cm×宽80cm×深40cm），内部可分层调节，预留足够存放空间。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 场景适配：办公区域使用需兼顾占地面积，选择16门款，移动需求可选带静音万向轮款式。配置网络口及电源口。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（三）售后</w:t>
      </w:r>
    </w:p>
    <w:p>
      <w:pPr>
        <w:spacing w:line="360" w:lineRule="auto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 售后保障：支持≥1年免费维修，提供上门安装、调试服务，具备快速故障响应机制（24-48小时内处理），并配置3年远程控制网络权限。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0534"/>
    <w:rsid w:val="11CC61C6"/>
    <w:rsid w:val="13172C50"/>
    <w:rsid w:val="19CD7C7A"/>
    <w:rsid w:val="1D954D97"/>
    <w:rsid w:val="510703FD"/>
    <w:rsid w:val="52385FDB"/>
    <w:rsid w:val="52A336A2"/>
    <w:rsid w:val="66781E28"/>
    <w:rsid w:val="68A61DF8"/>
    <w:rsid w:val="6C25217A"/>
    <w:rsid w:val="7DAE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2025-11-07T00:51:00Z</dcterms:created>
  <dc:creator>wx-guoshaoting</dc:creator>
  <cp:lastModifiedBy>郭郭</cp:lastModifiedBy>
  <dcterms:modified xsi:type="dcterms:W3CDTF">2025-11-17T06:46:05Z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F0233026E59446FF82AE4D4742125CA0</vt:lpwstr>
  </property>
</Properties>
</file>