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tabs>
          <w:tab w:val="left" w:pos="532"/>
        </w:tabs>
        <w:kinsoku/>
        <w:wordWrap/>
        <w:overflowPunct/>
        <w:topLinePunct w:val="0"/>
        <w:autoSpaceDE/>
        <w:autoSpaceDN/>
        <w:bidi w:val="0"/>
        <w:adjustRightInd/>
        <w:snapToGrid/>
        <w:spacing w:line="240" w:lineRule="auto"/>
        <w:ind w:left="1325" w:leftChars="0" w:right="0" w:rightChars="0" w:hanging="1325" w:hangingChars="300"/>
        <w:jc w:val="left"/>
        <w:textAlignment w:val="auto"/>
        <w:outlineLvl w:val="9"/>
        <w:rPr>
          <w:rFonts w:hint="eastAsia" w:ascii="宋体" w:hAnsi="宋体" w:eastAsia="宋体" w:cs="宋体"/>
          <w:b/>
          <w:bCs/>
          <w:sz w:val="44"/>
          <w:szCs w:val="44"/>
          <w:lang w:val="en-US" w:eastAsia="zh-CN"/>
        </w:rPr>
      </w:pPr>
      <w:r>
        <w:rPr>
          <w:rFonts w:ascii="宋体" w:hAnsi="宋体" w:eastAsia="宋体" w:cs="宋体"/>
          <w:b/>
          <w:bCs/>
          <w:sz w:val="44"/>
          <w:szCs w:val="44"/>
        </w:rPr>
        <w:t>鼎和财产保险股份有限公司柳州中心支</w:t>
      </w:r>
      <w:r>
        <w:rPr>
          <w:rFonts w:hint="eastAsia" w:ascii="宋体" w:hAnsi="宋体" w:eastAsia="宋体" w:cs="宋体"/>
          <w:b/>
          <w:bCs/>
          <w:sz w:val="44"/>
          <w:szCs w:val="44"/>
          <w:lang w:val="en-US" w:eastAsia="zh-CN"/>
        </w:rPr>
        <w:t>公</w:t>
      </w:r>
    </w:p>
    <w:p>
      <w:pPr>
        <w:keepNext w:val="0"/>
        <w:keepLines w:val="0"/>
        <w:pageBreakBefore w:val="0"/>
        <w:widowControl w:val="0"/>
        <w:numPr>
          <w:ilvl w:val="0"/>
          <w:numId w:val="0"/>
        </w:numPr>
        <w:tabs>
          <w:tab w:val="left" w:pos="532"/>
        </w:tabs>
        <w:kinsoku/>
        <w:wordWrap/>
        <w:overflowPunct/>
        <w:topLinePunct w:val="0"/>
        <w:autoSpaceDE/>
        <w:autoSpaceDN/>
        <w:bidi w:val="0"/>
        <w:adjustRightInd/>
        <w:snapToGrid/>
        <w:spacing w:line="240" w:lineRule="auto"/>
        <w:ind w:right="0" w:rightChars="0" w:firstLine="883" w:firstLineChars="200"/>
        <w:jc w:val="left"/>
        <w:textAlignment w:val="auto"/>
        <w:outlineLvl w:val="9"/>
        <w:rPr>
          <w:rFonts w:ascii="宋体" w:hAnsi="宋体" w:eastAsia="宋体" w:cs="宋体"/>
          <w:b/>
          <w:bCs/>
          <w:sz w:val="44"/>
          <w:szCs w:val="44"/>
        </w:rPr>
      </w:pPr>
      <w:r>
        <w:rPr>
          <w:rFonts w:hint="eastAsia" w:ascii="宋体" w:hAnsi="宋体" w:eastAsia="宋体" w:cs="宋体"/>
          <w:b/>
          <w:bCs/>
          <w:sz w:val="44"/>
          <w:szCs w:val="44"/>
          <w:lang w:val="en-US" w:eastAsia="zh-CN"/>
        </w:rPr>
        <w:t>司</w:t>
      </w:r>
      <w:r>
        <w:rPr>
          <w:rFonts w:ascii="宋体" w:hAnsi="宋体" w:eastAsia="宋体" w:cs="宋体"/>
          <w:b/>
          <w:bCs/>
          <w:sz w:val="44"/>
          <w:szCs w:val="44"/>
        </w:rPr>
        <w:t>风险减量服务项目服务要求</w:t>
      </w:r>
    </w:p>
    <w:p>
      <w:pPr>
        <w:keepNext w:val="0"/>
        <w:keepLines w:val="0"/>
        <w:pageBreakBefore w:val="0"/>
        <w:widowControl w:val="0"/>
        <w:numPr>
          <w:ilvl w:val="0"/>
          <w:numId w:val="0"/>
        </w:numPr>
        <w:tabs>
          <w:tab w:val="left" w:pos="532"/>
        </w:tabs>
        <w:kinsoku/>
        <w:wordWrap/>
        <w:overflowPunct/>
        <w:topLinePunct w:val="0"/>
        <w:autoSpaceDE/>
        <w:autoSpaceDN/>
        <w:bidi w:val="0"/>
        <w:adjustRightInd/>
        <w:snapToGrid/>
        <w:spacing w:line="240" w:lineRule="auto"/>
        <w:ind w:right="0" w:rightChars="0" w:firstLine="883" w:firstLineChars="200"/>
        <w:jc w:val="left"/>
        <w:textAlignment w:val="auto"/>
        <w:outlineLvl w:val="9"/>
        <w:rPr>
          <w:rFonts w:ascii="宋体" w:hAnsi="宋体" w:eastAsia="宋体" w:cs="宋体"/>
          <w:b/>
          <w:bCs/>
          <w:sz w:val="44"/>
          <w:szCs w:val="44"/>
        </w:rPr>
      </w:pPr>
    </w:p>
    <w:p>
      <w:pPr>
        <w:keepNext w:val="0"/>
        <w:keepLines w:val="0"/>
        <w:pageBreakBefore w:val="0"/>
        <w:widowControl w:val="0"/>
        <w:numPr>
          <w:ilvl w:val="0"/>
          <w:numId w:val="0"/>
        </w:numPr>
        <w:tabs>
          <w:tab w:val="left" w:pos="532"/>
        </w:tabs>
        <w:kinsoku/>
        <w:wordWrap/>
        <w:overflowPunct/>
        <w:topLinePunct w:val="0"/>
        <w:autoSpaceDE/>
        <w:autoSpaceDN/>
        <w:bidi w:val="0"/>
        <w:adjustRightInd/>
        <w:snapToGrid/>
        <w:spacing w:line="240" w:lineRule="auto"/>
        <w:ind w:leftChars="200" w:right="0" w:rightChars="0"/>
        <w:jc w:val="left"/>
        <w:textAlignment w:val="auto"/>
        <w:outlineLvl w:val="9"/>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一、风险减量</w:t>
      </w:r>
      <w:r>
        <w:rPr>
          <w:rFonts w:hint="eastAsia" w:ascii="仿宋" w:hAnsi="仿宋" w:eastAsia="仿宋" w:cs="仿宋"/>
          <w:b/>
          <w:bCs/>
          <w:color w:val="auto"/>
          <w:sz w:val="32"/>
          <w:szCs w:val="32"/>
          <w:highlight w:val="none"/>
          <w:lang w:eastAsia="zh-CN"/>
        </w:rPr>
        <w:t>服务要求</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 w:hAnsi="仿宋" w:eastAsia="仿宋" w:cs="仿宋"/>
          <w:b w:val="0"/>
          <w:bCs w:val="0"/>
          <w:color w:val="auto"/>
          <w:sz w:val="32"/>
          <w:szCs w:val="32"/>
          <w:highlight w:val="none"/>
          <w:lang w:eastAsia="zh-CN"/>
        </w:rPr>
      </w:pPr>
      <w:r>
        <w:rPr>
          <w:rFonts w:hint="eastAsia" w:ascii="仿宋" w:hAnsi="仿宋" w:eastAsia="仿宋" w:cs="仿宋"/>
          <w:b w:val="0"/>
          <w:bCs w:val="0"/>
          <w:color w:val="auto"/>
          <w:sz w:val="32"/>
          <w:szCs w:val="32"/>
          <w:highlight w:val="none"/>
          <w:lang w:eastAsia="zh-CN"/>
        </w:rPr>
        <w:t>供方</w:t>
      </w:r>
      <w:r>
        <w:rPr>
          <w:rFonts w:hint="eastAsia" w:ascii="仿宋" w:hAnsi="仿宋" w:eastAsia="仿宋" w:cs="仿宋"/>
          <w:b w:val="0"/>
          <w:bCs w:val="0"/>
          <w:color w:val="auto"/>
          <w:sz w:val="32"/>
          <w:szCs w:val="32"/>
          <w:highlight w:val="none"/>
          <w:lang w:val="en-US" w:eastAsia="zh-CN"/>
        </w:rPr>
        <w:t>具有防灾、防损或风险评估、风险管理咨询服务相关资质，教学经验丰富，</w:t>
      </w:r>
      <w:r>
        <w:rPr>
          <w:rFonts w:hint="eastAsia" w:ascii="仿宋" w:hAnsi="仿宋" w:eastAsia="仿宋" w:cs="仿宋"/>
          <w:b w:val="0"/>
          <w:bCs w:val="0"/>
          <w:color w:val="auto"/>
          <w:sz w:val="32"/>
          <w:szCs w:val="32"/>
          <w:highlight w:val="none"/>
          <w:lang w:eastAsia="zh-CN"/>
        </w:rPr>
        <w:t>严格按照相关规定开展</w:t>
      </w:r>
      <w:r>
        <w:rPr>
          <w:rFonts w:hint="eastAsia" w:ascii="仿宋" w:hAnsi="仿宋" w:eastAsia="仿宋" w:cs="仿宋"/>
          <w:b w:val="0"/>
          <w:bCs w:val="0"/>
          <w:color w:val="auto"/>
          <w:sz w:val="32"/>
          <w:szCs w:val="32"/>
          <w:highlight w:val="none"/>
          <w:lang w:val="en-US" w:eastAsia="zh-CN"/>
        </w:rPr>
        <w:t>风险减量安全生产事故预防服务</w:t>
      </w:r>
      <w:r>
        <w:rPr>
          <w:rFonts w:hint="eastAsia" w:ascii="仿宋" w:hAnsi="仿宋" w:eastAsia="仿宋" w:cs="仿宋"/>
          <w:b w:val="0"/>
          <w:bCs w:val="0"/>
          <w:color w:val="auto"/>
          <w:sz w:val="32"/>
          <w:szCs w:val="32"/>
          <w:highlight w:val="none"/>
          <w:lang w:eastAsia="zh-CN"/>
        </w:rPr>
        <w:t>工作，</w:t>
      </w:r>
      <w:r>
        <w:rPr>
          <w:rFonts w:hint="eastAsia" w:ascii="仿宋" w:hAnsi="仿宋" w:eastAsia="仿宋" w:cs="仿宋"/>
          <w:b w:val="0"/>
          <w:bCs w:val="0"/>
          <w:color w:val="auto"/>
          <w:sz w:val="32"/>
          <w:szCs w:val="32"/>
          <w:highlight w:val="none"/>
          <w:lang w:val="en-US" w:eastAsia="zh-CN"/>
        </w:rPr>
        <w:t>服务</w:t>
      </w:r>
      <w:r>
        <w:rPr>
          <w:rFonts w:hint="eastAsia" w:ascii="仿宋" w:hAnsi="仿宋" w:eastAsia="仿宋" w:cs="仿宋"/>
          <w:b w:val="0"/>
          <w:bCs w:val="0"/>
          <w:color w:val="auto"/>
          <w:sz w:val="32"/>
          <w:szCs w:val="32"/>
          <w:highlight w:val="none"/>
          <w:lang w:eastAsia="zh-CN"/>
        </w:rPr>
        <w:t>内容详见“附件：</w:t>
      </w:r>
      <w:r>
        <w:rPr>
          <w:rFonts w:hint="eastAsia" w:ascii="仿宋" w:hAnsi="仿宋" w:eastAsia="仿宋" w:cs="仿宋"/>
          <w:sz w:val="32"/>
          <w:szCs w:val="32"/>
          <w:lang w:val="en-US" w:eastAsia="zh-CN"/>
        </w:rPr>
        <w:t>安全生产事故预防</w:t>
      </w:r>
      <w:r>
        <w:rPr>
          <w:rFonts w:hint="eastAsia" w:ascii="仿宋" w:hAnsi="仿宋" w:eastAsia="仿宋" w:cs="仿宋"/>
          <w:b w:val="0"/>
          <w:bCs w:val="0"/>
          <w:color w:val="auto"/>
          <w:sz w:val="32"/>
          <w:szCs w:val="32"/>
          <w:highlight w:val="none"/>
          <w:lang w:val="en-US" w:eastAsia="zh-CN"/>
        </w:rPr>
        <w:t>服务</w:t>
      </w:r>
      <w:r>
        <w:rPr>
          <w:rFonts w:hint="eastAsia" w:ascii="仿宋" w:hAnsi="仿宋" w:eastAsia="仿宋" w:cs="仿宋"/>
          <w:b w:val="0"/>
          <w:bCs w:val="0"/>
          <w:color w:val="auto"/>
          <w:sz w:val="32"/>
          <w:szCs w:val="32"/>
          <w:highlight w:val="none"/>
          <w:lang w:eastAsia="zh-CN"/>
        </w:rPr>
        <w:t>大纲”。</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eastAsia="zh-CN"/>
        </w:rPr>
        <w:t>供方提供</w:t>
      </w:r>
      <w:r>
        <w:rPr>
          <w:rFonts w:hint="eastAsia" w:ascii="仿宋" w:hAnsi="仿宋" w:eastAsia="仿宋" w:cs="仿宋"/>
          <w:b w:val="0"/>
          <w:bCs w:val="0"/>
          <w:color w:val="auto"/>
          <w:sz w:val="32"/>
          <w:szCs w:val="32"/>
          <w:highlight w:val="none"/>
          <w:lang w:val="en-US" w:eastAsia="zh-CN"/>
        </w:rPr>
        <w:t>风险减量服务</w:t>
      </w:r>
      <w:r>
        <w:rPr>
          <w:rFonts w:hint="eastAsia" w:ascii="仿宋" w:hAnsi="仿宋" w:eastAsia="仿宋" w:cs="仿宋"/>
          <w:b w:val="0"/>
          <w:bCs w:val="0"/>
          <w:color w:val="auto"/>
          <w:sz w:val="32"/>
          <w:szCs w:val="32"/>
          <w:highlight w:val="none"/>
          <w:lang w:eastAsia="zh-CN"/>
        </w:rPr>
        <w:t>所用的培训教材和教学设备</w:t>
      </w:r>
      <w:r>
        <w:rPr>
          <w:rFonts w:hint="eastAsia" w:ascii="仿宋" w:hAnsi="仿宋" w:eastAsia="仿宋" w:cs="仿宋"/>
          <w:b w:val="0"/>
          <w:bCs w:val="0"/>
          <w:color w:val="auto"/>
          <w:sz w:val="32"/>
          <w:szCs w:val="32"/>
          <w:highlight w:val="none"/>
          <w:lang w:val="en-US" w:eastAsia="zh-CN"/>
        </w:rPr>
        <w:t>等</w:t>
      </w:r>
      <w:r>
        <w:rPr>
          <w:rFonts w:hint="eastAsia" w:ascii="仿宋" w:hAnsi="仿宋" w:eastAsia="仿宋" w:cs="仿宋"/>
          <w:b w:val="0"/>
          <w:bCs w:val="0"/>
          <w:color w:val="auto"/>
          <w:sz w:val="32"/>
          <w:szCs w:val="32"/>
          <w:highlight w:val="none"/>
          <w:lang w:eastAsia="zh-CN"/>
        </w:rPr>
        <w:t>，</w:t>
      </w:r>
      <w:r>
        <w:rPr>
          <w:rFonts w:hint="eastAsia" w:ascii="仿宋" w:hAnsi="仿宋" w:eastAsia="仿宋" w:cs="仿宋"/>
          <w:b w:val="0"/>
          <w:bCs w:val="0"/>
          <w:color w:val="auto"/>
          <w:sz w:val="32"/>
          <w:szCs w:val="32"/>
          <w:highlight w:val="none"/>
          <w:lang w:val="en-US" w:eastAsia="zh-CN"/>
        </w:rPr>
        <w:t>未经双方协商一致，不得以拒绝提供培训或安排考试为由，强制学员有偿购买学习资料或其他有偿服务。</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授课师资数量根据培训学员人数及培训项目类型确定，必须满足学员培训需求及现场安全管理需要。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4、供方有义务给予因各种原因而无法参加的受训学员一次免费参加培训的机会；如所属单位的培训班结束后，仍无法参加的受训学员，可经过沟通后免费参加其它单位开展的培训班。补学有效期为自培训之日起60天</w:t>
      </w:r>
      <w:bookmarkStart w:id="3" w:name="_GoBack"/>
      <w:bookmarkEnd w:id="3"/>
      <w:r>
        <w:rPr>
          <w:rFonts w:hint="eastAsia" w:ascii="仿宋" w:hAnsi="仿宋" w:eastAsia="仿宋" w:cs="仿宋"/>
          <w:b w:val="0"/>
          <w:bCs w:val="0"/>
          <w:color w:val="auto"/>
          <w:sz w:val="32"/>
          <w:szCs w:val="32"/>
          <w:highlight w:val="none"/>
          <w:lang w:val="en-US" w:eastAsia="zh-CN"/>
        </w:rPr>
        <w:t>内有效。</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5、</w:t>
      </w:r>
      <w:r>
        <w:rPr>
          <w:rFonts w:hint="eastAsia" w:ascii="仿宋" w:hAnsi="仿宋" w:eastAsia="仿宋" w:cs="仿宋"/>
          <w:b w:val="0"/>
          <w:bCs w:val="0"/>
          <w:color w:val="auto"/>
          <w:sz w:val="32"/>
          <w:szCs w:val="32"/>
          <w:highlight w:val="none"/>
          <w:lang w:eastAsia="zh-CN"/>
        </w:rPr>
        <w:t>服务期限：自签订合同之日起</w:t>
      </w:r>
      <w:r>
        <w:rPr>
          <w:rFonts w:hint="eastAsia" w:ascii="仿宋" w:hAnsi="仿宋" w:eastAsia="仿宋" w:cs="仿宋"/>
          <w:b w:val="0"/>
          <w:bCs w:val="0"/>
          <w:color w:val="auto"/>
          <w:sz w:val="32"/>
          <w:szCs w:val="32"/>
          <w:highlight w:val="none"/>
          <w:lang w:val="en-US" w:eastAsia="zh-CN"/>
        </w:rPr>
        <w:t>60天内。</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3" w:firstLineChars="200"/>
        <w:jc w:val="left"/>
        <w:textAlignment w:val="auto"/>
        <w:outlineLvl w:val="9"/>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二、培训服务安排</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1、供方委派讲师在需方提供的培训场所对需方人员进行</w:t>
      </w:r>
      <w:r>
        <w:rPr>
          <w:rFonts w:hint="eastAsia" w:ascii="仿宋" w:hAnsi="仿宋" w:eastAsia="仿宋" w:cs="仿宋"/>
          <w:sz w:val="32"/>
          <w:szCs w:val="32"/>
          <w:lang w:val="en-US" w:eastAsia="zh-CN"/>
        </w:rPr>
        <w:t>安全生产宣传教育培训</w:t>
      </w:r>
      <w:r>
        <w:rPr>
          <w:rFonts w:hint="eastAsia" w:ascii="仿宋" w:hAnsi="仿宋" w:eastAsia="仿宋" w:cs="仿宋"/>
          <w:b w:val="0"/>
          <w:bCs w:val="0"/>
          <w:color w:val="auto"/>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2、计划培训人数30人，分4期开展培训，在60天内完成培训，每次培训时间为一天。</w:t>
      </w:r>
    </w:p>
    <w:p>
      <w:pPr>
        <w:spacing w:line="480" w:lineRule="exact"/>
        <w:jc w:val="both"/>
        <w:rPr>
          <w:rFonts w:hint="eastAsia" w:asciiTheme="minorEastAsia" w:hAnsiTheme="minorEastAsia" w:eastAsiaTheme="minorEastAsia" w:cstheme="minorEastAsia"/>
          <w:b/>
          <w:bCs/>
          <w:color w:val="auto"/>
          <w:sz w:val="44"/>
          <w:szCs w:val="44"/>
          <w:highlight w:val="none"/>
          <w:lang w:eastAsia="zh-CN"/>
        </w:rPr>
      </w:pPr>
      <w:bookmarkStart w:id="0" w:name="bookmark41"/>
      <w:bookmarkStart w:id="1" w:name="bookmark42"/>
      <w:bookmarkStart w:id="2" w:name="bookmark43"/>
      <w:r>
        <w:rPr>
          <w:rFonts w:hint="eastAsia" w:asciiTheme="minorEastAsia" w:hAnsiTheme="minorEastAsia" w:cstheme="minorEastAsia"/>
          <w:b/>
          <w:bCs/>
          <w:color w:val="auto"/>
          <w:sz w:val="44"/>
          <w:szCs w:val="44"/>
          <w:highlight w:val="none"/>
          <w:lang w:eastAsia="zh-CN"/>
        </w:rPr>
        <w:t>附件：</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2209" w:firstLineChars="500"/>
        <w:jc w:val="left"/>
        <w:textAlignment w:val="auto"/>
        <w:outlineLvl w:val="9"/>
        <w:rPr>
          <w:rFonts w:hint="eastAsia"/>
          <w:b w:val="0"/>
          <w:bCs w:val="0"/>
          <w:color w:val="auto"/>
          <w:sz w:val="32"/>
          <w:szCs w:val="32"/>
          <w:highlight w:val="none"/>
          <w:lang w:val="en-US" w:eastAsia="zh-CN"/>
        </w:rPr>
      </w:pPr>
      <w:r>
        <w:rPr>
          <w:rFonts w:hint="eastAsia" w:asciiTheme="minorEastAsia" w:hAnsiTheme="minorEastAsia" w:eastAsiaTheme="minorEastAsia" w:cstheme="minorEastAsia"/>
          <w:b/>
          <w:bCs/>
          <w:sz w:val="44"/>
          <w:szCs w:val="44"/>
          <w:lang w:val="en-US" w:eastAsia="zh-CN"/>
        </w:rPr>
        <w:t>安全生产事故预防服务</w:t>
      </w:r>
      <w:r>
        <w:rPr>
          <w:rFonts w:hint="eastAsia" w:asciiTheme="minorEastAsia" w:hAnsiTheme="minorEastAsia" w:eastAsiaTheme="minorEastAsia" w:cstheme="minorEastAsia"/>
          <w:b/>
          <w:bCs/>
          <w:color w:val="auto"/>
          <w:sz w:val="44"/>
          <w:szCs w:val="44"/>
          <w:highlight w:val="none"/>
        </w:rPr>
        <w:t>大纲</w:t>
      </w:r>
      <w:bookmarkEnd w:id="0"/>
      <w:bookmarkEnd w:id="1"/>
      <w:bookmarkEnd w:id="2"/>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b w:val="0"/>
          <w:bCs w:val="0"/>
          <w:color w:val="auto"/>
          <w:sz w:val="32"/>
          <w:szCs w:val="32"/>
          <w:highlight w:val="none"/>
          <w:lang w:val="en-US" w:eastAsia="zh-CN"/>
        </w:rPr>
      </w:pPr>
    </w:p>
    <w:tbl>
      <w:tblPr>
        <w:tblStyle w:val="5"/>
        <w:tblW w:w="9481"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1485"/>
        <w:gridCol w:w="4621"/>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5"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bCs/>
                <w:color w:val="auto"/>
                <w:sz w:val="28"/>
                <w:szCs w:val="28"/>
                <w:highlight w:val="none"/>
                <w:vertAlign w:val="baseline"/>
                <w:lang w:val="en-US" w:eastAsia="zh-CN"/>
              </w:rPr>
            </w:pPr>
            <w:r>
              <w:rPr>
                <w:rFonts w:hint="eastAsia" w:asciiTheme="minorEastAsia" w:hAnsiTheme="minorEastAsia" w:eastAsiaTheme="minorEastAsia" w:cstheme="minorEastAsia"/>
                <w:b/>
                <w:bCs/>
                <w:color w:val="auto"/>
                <w:sz w:val="28"/>
                <w:szCs w:val="28"/>
                <w:highlight w:val="none"/>
                <w:vertAlign w:val="baseline"/>
                <w:lang w:val="en-US" w:eastAsia="zh-CN"/>
              </w:rPr>
              <w:t>时间</w:t>
            </w:r>
          </w:p>
        </w:tc>
        <w:tc>
          <w:tcPr>
            <w:tcW w:w="1485"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bCs/>
                <w:color w:val="auto"/>
                <w:sz w:val="28"/>
                <w:szCs w:val="28"/>
                <w:highlight w:val="none"/>
                <w:vertAlign w:val="baseline"/>
                <w:lang w:val="en-US" w:eastAsia="zh-CN"/>
              </w:rPr>
            </w:pPr>
            <w:r>
              <w:rPr>
                <w:rFonts w:hint="eastAsia" w:asciiTheme="minorEastAsia" w:hAnsiTheme="minorEastAsia" w:eastAsiaTheme="minorEastAsia" w:cstheme="minorEastAsia"/>
                <w:b/>
                <w:bCs/>
                <w:color w:val="auto"/>
                <w:sz w:val="28"/>
                <w:szCs w:val="28"/>
                <w:highlight w:val="none"/>
                <w:vertAlign w:val="baseline"/>
                <w:lang w:val="en-US" w:eastAsia="zh-CN"/>
              </w:rPr>
              <w:t>模块</w:t>
            </w:r>
          </w:p>
        </w:tc>
        <w:tc>
          <w:tcPr>
            <w:tcW w:w="4621"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bCs/>
                <w:color w:val="auto"/>
                <w:sz w:val="28"/>
                <w:szCs w:val="28"/>
                <w:highlight w:val="none"/>
                <w:vertAlign w:val="baseline"/>
                <w:lang w:val="en-US" w:eastAsia="zh-CN"/>
              </w:rPr>
            </w:pPr>
            <w:r>
              <w:rPr>
                <w:rFonts w:hint="eastAsia" w:asciiTheme="minorEastAsia" w:hAnsiTheme="minorEastAsia" w:eastAsiaTheme="minorEastAsia" w:cstheme="minorEastAsia"/>
                <w:b/>
                <w:bCs/>
                <w:color w:val="auto"/>
                <w:sz w:val="28"/>
                <w:szCs w:val="28"/>
                <w:highlight w:val="none"/>
                <w:vertAlign w:val="baseline"/>
                <w:lang w:val="en-US" w:eastAsia="zh-CN"/>
              </w:rPr>
              <w:t>内容</w:t>
            </w:r>
          </w:p>
        </w:tc>
        <w:tc>
          <w:tcPr>
            <w:tcW w:w="1980"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bCs/>
                <w:color w:val="auto"/>
                <w:sz w:val="28"/>
                <w:szCs w:val="28"/>
                <w:highlight w:val="none"/>
                <w:vertAlign w:val="baseline"/>
                <w:lang w:val="en-US" w:eastAsia="zh-CN"/>
              </w:rPr>
            </w:pPr>
            <w:r>
              <w:rPr>
                <w:rFonts w:hint="eastAsia" w:asciiTheme="minorEastAsia" w:hAnsiTheme="minorEastAsia" w:eastAsiaTheme="minorEastAsia" w:cstheme="minorEastAsia"/>
                <w:b/>
                <w:bCs/>
                <w:color w:val="auto"/>
                <w:sz w:val="28"/>
                <w:szCs w:val="28"/>
                <w:highlight w:val="none"/>
                <w:vertAlign w:val="baseline"/>
                <w:lang w:val="en-US" w:eastAsia="zh-CN"/>
              </w:rPr>
              <w:t>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501"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第一期</w:t>
            </w:r>
          </w:p>
        </w:tc>
        <w:tc>
          <w:tcPr>
            <w:tcW w:w="1980" w:type="dxa"/>
            <w:vMerge w:val="restart"/>
            <w:vAlign w:val="top"/>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b w:val="0"/>
                <w:bCs w:val="0"/>
                <w:i w:val="0"/>
                <w:iCs w:val="0"/>
                <w:caps w:val="0"/>
                <w:spacing w:val="0"/>
                <w:sz w:val="22"/>
                <w:szCs w:val="22"/>
                <w:shd w:val="clear" w:fill="FFFFFF"/>
                <w:lang w:val="en-US" w:eastAsia="zh-CN"/>
              </w:rPr>
            </w:pPr>
            <w:r>
              <w:rPr>
                <w:rStyle w:val="7"/>
                <w:rFonts w:hint="eastAsia" w:ascii="宋体" w:hAnsi="宋体" w:eastAsia="宋体" w:cs="宋体"/>
                <w:b w:val="0"/>
                <w:bCs w:val="0"/>
                <w:i w:val="0"/>
                <w:iCs w:val="0"/>
                <w:caps w:val="0"/>
                <w:spacing w:val="0"/>
                <w:sz w:val="22"/>
                <w:szCs w:val="22"/>
                <w:u w:val="none"/>
              </w:rPr>
              <w:t>安全操作能力</w:t>
            </w:r>
            <w:r>
              <w:rPr>
                <w:rStyle w:val="7"/>
                <w:rFonts w:hint="eastAsia" w:ascii="宋体" w:hAnsi="宋体" w:eastAsia="宋体" w:cs="宋体"/>
                <w:b w:val="0"/>
                <w:bCs w:val="0"/>
                <w:i w:val="0"/>
                <w:iCs w:val="0"/>
                <w:caps w:val="0"/>
                <w:spacing w:val="0"/>
                <w:sz w:val="22"/>
                <w:szCs w:val="22"/>
                <w:u w:val="none"/>
                <w:lang w:eastAsia="zh-CN"/>
              </w:rPr>
              <w:t>：</w:t>
            </w:r>
            <w:r>
              <w:rPr>
                <w:rStyle w:val="7"/>
                <w:rFonts w:hint="eastAsia" w:ascii="宋体" w:hAnsi="宋体" w:eastAsia="宋体" w:cs="宋体"/>
                <w:b w:val="0"/>
                <w:bCs w:val="0"/>
                <w:i w:val="0"/>
                <w:iCs w:val="0"/>
                <w:caps w:val="0"/>
                <w:spacing w:val="0"/>
                <w:sz w:val="22"/>
                <w:szCs w:val="22"/>
                <w:u w:val="none"/>
                <w:lang w:val="en-US" w:eastAsia="zh-CN"/>
              </w:rPr>
              <w:t>百分之百</w:t>
            </w:r>
            <w:r>
              <w:rPr>
                <w:rFonts w:hint="eastAsia" w:ascii="宋体" w:hAnsi="宋体" w:eastAsia="宋体" w:cs="宋体"/>
                <w:b w:val="0"/>
                <w:bCs w:val="0"/>
                <w:i w:val="0"/>
                <w:iCs w:val="0"/>
                <w:caps w:val="0"/>
                <w:spacing w:val="0"/>
                <w:sz w:val="22"/>
                <w:szCs w:val="22"/>
                <w:shd w:val="clear" w:fill="FFFFFF"/>
              </w:rPr>
              <w:t>掌握低压电器规范操作</w:t>
            </w:r>
            <w:r>
              <w:rPr>
                <w:rFonts w:hint="eastAsia" w:ascii="宋体" w:hAnsi="宋体" w:eastAsia="宋体" w:cs="宋体"/>
                <w:b w:val="0"/>
                <w:bCs w:val="0"/>
                <w:i w:val="0"/>
                <w:iCs w:val="0"/>
                <w:caps w:val="0"/>
                <w:spacing w:val="0"/>
                <w:sz w:val="22"/>
                <w:szCs w:val="22"/>
                <w:shd w:val="clear" w:fill="FFFFFF"/>
                <w:lang w:eastAsia="zh-CN"/>
              </w:rPr>
              <w:t>，</w:t>
            </w:r>
            <w:r>
              <w:rPr>
                <w:rFonts w:hint="eastAsia" w:ascii="宋体" w:hAnsi="宋体" w:eastAsia="宋体" w:cs="宋体"/>
                <w:b w:val="0"/>
                <w:bCs w:val="0"/>
                <w:i w:val="0"/>
                <w:iCs w:val="0"/>
                <w:caps w:val="0"/>
                <w:spacing w:val="0"/>
                <w:sz w:val="22"/>
                <w:szCs w:val="22"/>
                <w:shd w:val="clear" w:fill="FFFFFF"/>
              </w:rPr>
              <w:t>熟练使用仪表检测设备</w:t>
            </w:r>
            <w:r>
              <w:rPr>
                <w:rFonts w:hint="eastAsia" w:ascii="宋体" w:hAnsi="宋体" w:eastAsia="宋体" w:cs="宋体"/>
                <w:b w:val="0"/>
                <w:bCs w:val="0"/>
                <w:i w:val="0"/>
                <w:iCs w:val="0"/>
                <w:caps w:val="0"/>
                <w:spacing w:val="0"/>
                <w:sz w:val="22"/>
                <w:szCs w:val="22"/>
                <w:shd w:val="clear" w:fill="FFFFFF"/>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b w:val="0"/>
                <w:bCs w:val="0"/>
                <w:i w:val="0"/>
                <w:iCs w:val="0"/>
                <w:caps w:val="0"/>
                <w:spacing w:val="0"/>
                <w:sz w:val="22"/>
                <w:szCs w:val="22"/>
                <w:shd w:val="clear" w:fill="FFFFFF"/>
                <w:lang w:val="en-US" w:eastAsia="zh-CN"/>
              </w:rPr>
            </w:pPr>
            <w:r>
              <w:rPr>
                <w:rStyle w:val="7"/>
                <w:rFonts w:hint="eastAsia" w:ascii="宋体" w:hAnsi="宋体" w:eastAsia="宋体" w:cs="宋体"/>
                <w:b w:val="0"/>
                <w:bCs w:val="0"/>
                <w:i w:val="0"/>
                <w:iCs w:val="0"/>
                <w:caps w:val="0"/>
                <w:spacing w:val="0"/>
                <w:sz w:val="22"/>
                <w:szCs w:val="22"/>
                <w:u w:val="none"/>
                <w:shd w:val="clear" w:fill="FFFFFF"/>
              </w:rPr>
              <w:t>风险识别与应急能力</w:t>
            </w:r>
            <w:r>
              <w:rPr>
                <w:rStyle w:val="7"/>
                <w:rFonts w:hint="eastAsia" w:ascii="宋体" w:hAnsi="宋体" w:eastAsia="宋体" w:cs="宋体"/>
                <w:b w:val="0"/>
                <w:bCs w:val="0"/>
                <w:i w:val="0"/>
                <w:iCs w:val="0"/>
                <w:caps w:val="0"/>
                <w:spacing w:val="0"/>
                <w:sz w:val="22"/>
                <w:szCs w:val="22"/>
                <w:u w:val="none"/>
                <w:shd w:val="clear" w:fill="FFFFFF"/>
                <w:lang w:eastAsia="zh-CN"/>
              </w:rPr>
              <w:t>：</w:t>
            </w:r>
            <w:r>
              <w:rPr>
                <w:rFonts w:hint="eastAsia" w:ascii="宋体" w:hAnsi="宋体" w:eastAsia="宋体" w:cs="宋体"/>
                <w:b w:val="0"/>
                <w:bCs w:val="0"/>
                <w:i w:val="0"/>
                <w:iCs w:val="0"/>
                <w:caps w:val="0"/>
                <w:spacing w:val="0"/>
                <w:sz w:val="22"/>
                <w:szCs w:val="22"/>
                <w:shd w:val="clear" w:fill="FFFFFF"/>
              </w:rPr>
              <w:t>准确辨识现场隐患</w:t>
            </w:r>
            <w:r>
              <w:rPr>
                <w:rFonts w:hint="eastAsia" w:ascii="宋体" w:hAnsi="宋体" w:eastAsia="宋体" w:cs="宋体"/>
                <w:b w:val="0"/>
                <w:bCs w:val="0"/>
                <w:i w:val="0"/>
                <w:iCs w:val="0"/>
                <w:caps w:val="0"/>
                <w:spacing w:val="0"/>
                <w:sz w:val="22"/>
                <w:szCs w:val="22"/>
                <w:shd w:val="clear" w:fill="FFFFFF"/>
                <w:lang w:eastAsia="zh-CN"/>
              </w:rPr>
              <w:t>，</w:t>
            </w:r>
            <w:r>
              <w:rPr>
                <w:rFonts w:hint="eastAsia" w:ascii="宋体" w:hAnsi="宋体" w:eastAsia="宋体" w:cs="宋体"/>
                <w:b w:val="0"/>
                <w:bCs w:val="0"/>
                <w:i w:val="0"/>
                <w:iCs w:val="0"/>
                <w:caps w:val="0"/>
                <w:spacing w:val="0"/>
                <w:sz w:val="22"/>
                <w:szCs w:val="22"/>
                <w:shd w:val="clear" w:fill="FFFFFF"/>
              </w:rPr>
              <w:t>触电急救</w:t>
            </w:r>
            <w:r>
              <w:rPr>
                <w:rFonts w:hint="eastAsia" w:ascii="宋体" w:hAnsi="宋体" w:eastAsia="宋体" w:cs="宋体"/>
                <w:b w:val="0"/>
                <w:bCs w:val="0"/>
                <w:i w:val="0"/>
                <w:iCs w:val="0"/>
                <w:caps w:val="0"/>
                <w:spacing w:val="0"/>
                <w:sz w:val="22"/>
                <w:szCs w:val="22"/>
                <w:shd w:val="clear" w:fill="FFFFFF"/>
                <w:lang w:eastAsia="zh-CN"/>
              </w:rPr>
              <w:t>，</w:t>
            </w:r>
            <w:r>
              <w:rPr>
                <w:rFonts w:hint="eastAsia"/>
              </w:rPr>
              <w:t>火灾现场判断和火灾事故处理措施</w:t>
            </w:r>
            <w:r>
              <w:rPr>
                <w:rFonts w:hint="eastAsia"/>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b w:val="0"/>
                <w:bCs w:val="0"/>
                <w:i w:val="0"/>
                <w:iCs w:val="0"/>
                <w:caps w:val="0"/>
                <w:spacing w:val="0"/>
                <w:sz w:val="22"/>
                <w:szCs w:val="22"/>
                <w:shd w:val="clear" w:fill="FFFFFF"/>
                <w:lang w:val="en-US" w:eastAsia="zh-CN"/>
              </w:rPr>
            </w:pPr>
            <w:r>
              <w:rPr>
                <w:rStyle w:val="7"/>
                <w:rFonts w:hint="eastAsia" w:ascii="宋体" w:hAnsi="宋体" w:eastAsia="宋体" w:cs="宋体"/>
                <w:b w:val="0"/>
                <w:bCs w:val="0"/>
                <w:i w:val="0"/>
                <w:iCs w:val="0"/>
                <w:caps w:val="0"/>
                <w:spacing w:val="0"/>
                <w:sz w:val="22"/>
                <w:szCs w:val="22"/>
                <w:u w:val="none"/>
                <w:shd w:val="clear" w:fill="FFFFFF"/>
              </w:rPr>
              <w:t>行为规范与合规性</w:t>
            </w:r>
            <w:r>
              <w:rPr>
                <w:rStyle w:val="7"/>
                <w:rFonts w:hint="eastAsia" w:ascii="宋体" w:hAnsi="宋体" w:eastAsia="宋体" w:cs="宋体"/>
                <w:b w:val="0"/>
                <w:bCs w:val="0"/>
                <w:i w:val="0"/>
                <w:iCs w:val="0"/>
                <w:caps w:val="0"/>
                <w:spacing w:val="0"/>
                <w:sz w:val="22"/>
                <w:szCs w:val="22"/>
                <w:u w:val="none"/>
                <w:shd w:val="clear" w:fill="FFFFFF"/>
                <w:lang w:eastAsia="zh-CN"/>
              </w:rPr>
              <w:t>：</w:t>
            </w:r>
            <w:r>
              <w:rPr>
                <w:rFonts w:hint="eastAsia" w:ascii="宋体" w:hAnsi="宋体" w:eastAsia="宋体" w:cs="宋体"/>
                <w:b w:val="0"/>
                <w:bCs w:val="0"/>
                <w:i w:val="0"/>
                <w:iCs w:val="0"/>
                <w:caps w:val="0"/>
                <w:spacing w:val="0"/>
                <w:sz w:val="22"/>
                <w:szCs w:val="22"/>
                <w:shd w:val="clear" w:fill="FFFFFF"/>
              </w:rPr>
              <w:t>作业前检查防护装备</w:t>
            </w:r>
            <w:r>
              <w:rPr>
                <w:rFonts w:hint="eastAsia" w:ascii="宋体" w:hAnsi="宋体" w:eastAsia="宋体" w:cs="宋体"/>
                <w:b w:val="0"/>
                <w:bCs w:val="0"/>
                <w:i w:val="0"/>
                <w:iCs w:val="0"/>
                <w:caps w:val="0"/>
                <w:spacing w:val="0"/>
                <w:sz w:val="22"/>
                <w:szCs w:val="22"/>
                <w:shd w:val="clear" w:fill="FFFFFF"/>
                <w:lang w:eastAsia="zh-CN"/>
              </w:rPr>
              <w:t>，</w:t>
            </w:r>
            <w:r>
              <w:rPr>
                <w:rFonts w:hint="eastAsia" w:ascii="宋体" w:hAnsi="宋体" w:eastAsia="宋体" w:cs="宋体"/>
                <w:b w:val="0"/>
                <w:bCs w:val="0"/>
                <w:i w:val="0"/>
                <w:iCs w:val="0"/>
                <w:caps w:val="0"/>
                <w:spacing w:val="0"/>
                <w:sz w:val="22"/>
                <w:szCs w:val="22"/>
                <w:shd w:val="clear" w:fill="FFFFFF"/>
              </w:rPr>
              <w:t>严格遵守“一机一闸一漏保”</w:t>
            </w:r>
            <w:r>
              <w:rPr>
                <w:rFonts w:hint="eastAsia" w:ascii="宋体" w:hAnsi="宋体" w:eastAsia="宋体" w:cs="宋体"/>
                <w:b w:val="0"/>
                <w:bCs w:val="0"/>
                <w:i w:val="0"/>
                <w:iCs w:val="0"/>
                <w:caps w:val="0"/>
                <w:spacing w:val="0"/>
                <w:sz w:val="22"/>
                <w:szCs w:val="22"/>
                <w:shd w:val="clear" w:fill="FFFFFF"/>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b w:val="0"/>
                <w:bCs w:val="0"/>
                <w:i w:val="0"/>
                <w:iCs w:val="0"/>
                <w:caps w:val="0"/>
                <w:spacing w:val="0"/>
                <w:sz w:val="22"/>
                <w:szCs w:val="22"/>
                <w:shd w:val="clear" w:fill="FFFFFF"/>
                <w:lang w:val="en-US" w:eastAsia="zh-CN"/>
              </w:rPr>
            </w:pPr>
            <w:r>
              <w:rPr>
                <w:rFonts w:hint="eastAsia" w:ascii="宋体" w:hAnsi="宋体" w:eastAsia="宋体" w:cs="宋体"/>
                <w:b w:val="0"/>
                <w:bCs w:val="0"/>
                <w:i w:val="0"/>
                <w:iCs w:val="0"/>
                <w:caps w:val="0"/>
                <w:spacing w:val="0"/>
                <w:sz w:val="22"/>
                <w:szCs w:val="22"/>
                <w:shd w:val="clear" w:fill="FFFFFF"/>
              </w:rPr>
              <w:t>培训后，施工人员将具备独立处理低压电器操作、快速响应用电风险的能力，显著降低触电及电气火灾事故率</w:t>
            </w:r>
          </w:p>
          <w:p>
            <w:pPr>
              <w:pStyle w:val="3"/>
              <w:keepNext w:val="0"/>
              <w:keepLines w:val="0"/>
              <w:widowControl/>
              <w:suppressLineNumbers w:val="0"/>
              <w:spacing w:before="0" w:beforeAutospacing="0" w:after="0" w:afterAutospacing="0"/>
              <w:ind w:left="720" w:right="720"/>
              <w:jc w:val="both"/>
              <w:rPr>
                <w:rFonts w:hint="eastAsia" w:ascii="Segoe UI" w:hAnsi="Segoe UI" w:eastAsia="宋体" w:cs="Segoe UI"/>
                <w:i w:val="0"/>
                <w:iCs w:val="0"/>
                <w:caps w:val="0"/>
                <w:spacing w:val="0"/>
                <w:sz w:val="24"/>
                <w:szCs w:val="24"/>
                <w:shd w:val="clear"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5"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8:30-11:30</w:t>
            </w:r>
          </w:p>
        </w:tc>
        <w:tc>
          <w:tcPr>
            <w:tcW w:w="1485" w:type="dxa"/>
          </w:tcPr>
          <w:p>
            <w:pPr>
              <w:keepNext w:val="0"/>
              <w:keepLines w:val="0"/>
              <w:widowControl/>
              <w:suppressLineNumbers w:val="0"/>
              <w:jc w:val="both"/>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000000"/>
                <w:kern w:val="0"/>
                <w:sz w:val="21"/>
                <w:szCs w:val="21"/>
                <w:lang w:val="en-US" w:eastAsia="zh-CN" w:bidi="ar"/>
              </w:rPr>
              <w:t>安全生产法律法规；电工安全操作规程</w:t>
            </w:r>
          </w:p>
        </w:tc>
        <w:tc>
          <w:tcPr>
            <w:tcW w:w="4621"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1、解读安全生产责任相关法律、政策等</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2、解读电工施工安全操作规程等</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ajorEastAsia" w:hAnsiTheme="majorEastAsia" w:eastAsiaTheme="majorEastAsia" w:cstheme="maj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5"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1</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0-1</w:t>
            </w:r>
            <w:r>
              <w:rPr>
                <w:rFonts w:hint="eastAsia" w:asciiTheme="minorEastAsia" w:hAnsiTheme="minorEastAsia" w:cstheme="minorEastAsia"/>
                <w:b w:val="0"/>
                <w:bCs w:val="0"/>
                <w:color w:val="auto"/>
                <w:sz w:val="21"/>
                <w:szCs w:val="21"/>
                <w:highlight w:val="none"/>
                <w:vertAlign w:val="baseline"/>
                <w:lang w:val="en-US" w:eastAsia="zh-CN"/>
              </w:rPr>
              <w:t>6</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w:t>
            </w:r>
          </w:p>
        </w:tc>
        <w:tc>
          <w:tcPr>
            <w:tcW w:w="1485" w:type="dxa"/>
          </w:tcPr>
          <w:p>
            <w:pPr>
              <w:keepNext w:val="0"/>
              <w:keepLines w:val="0"/>
              <w:widowControl/>
              <w:suppressLineNumbers w:val="0"/>
              <w:jc w:val="both"/>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宋体" w:hAnsi="宋体" w:eastAsia="宋体" w:cs="宋体"/>
                <w:color w:val="000000"/>
                <w:kern w:val="0"/>
                <w:sz w:val="22"/>
                <w:szCs w:val="22"/>
                <w:lang w:val="en-US" w:eastAsia="zh-CN" w:bidi="ar"/>
              </w:rPr>
              <w:t>安全用电理论知识、接地与接零保护</w:t>
            </w:r>
          </w:p>
        </w:tc>
        <w:tc>
          <w:tcPr>
            <w:tcW w:w="462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asciiTheme="minorEastAsia" w:hAnsiTheme="minorEastAsia" w:cstheme="minorEastAsia"/>
                <w:b w:val="0"/>
                <w:bCs w:val="0"/>
                <w:color w:val="auto"/>
                <w:sz w:val="21"/>
                <w:szCs w:val="21"/>
                <w:highlight w:val="none"/>
                <w:vertAlign w:val="baseline"/>
                <w:lang w:val="en-US" w:eastAsia="zh-CN"/>
              </w:rPr>
            </w:pPr>
            <w:r>
              <w:rPr>
                <w:rFonts w:hint="eastAsia" w:asciiTheme="minorEastAsia" w:hAnsiTheme="minorEastAsia" w:cstheme="minorEastAsia"/>
                <w:b w:val="0"/>
                <w:bCs w:val="0"/>
                <w:color w:val="auto"/>
                <w:sz w:val="21"/>
                <w:szCs w:val="21"/>
                <w:highlight w:val="none"/>
                <w:vertAlign w:val="baseline"/>
                <w:lang w:val="en-US" w:eastAsia="zh-CN"/>
              </w:rPr>
              <w:t>1、熟悉安全用电理论知识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default" w:asciiTheme="minorEastAsia" w:hAnsiTheme="minorEastAsia" w:cstheme="minorEastAsia"/>
                <w:b w:val="0"/>
                <w:bCs w:val="0"/>
                <w:color w:val="auto"/>
                <w:sz w:val="21"/>
                <w:szCs w:val="21"/>
                <w:highlight w:val="none"/>
                <w:vertAlign w:val="baseline"/>
                <w:lang w:val="en-US" w:eastAsia="zh-CN"/>
              </w:rPr>
            </w:pPr>
            <w:r>
              <w:rPr>
                <w:rFonts w:hint="eastAsia" w:asciiTheme="minorEastAsia" w:hAnsiTheme="minorEastAsia" w:cstheme="minorEastAsia"/>
                <w:b w:val="0"/>
                <w:bCs w:val="0"/>
                <w:color w:val="auto"/>
                <w:sz w:val="21"/>
                <w:szCs w:val="21"/>
                <w:highlight w:val="none"/>
                <w:vertAlign w:val="baseline"/>
                <w:lang w:val="en-US" w:eastAsia="zh-CN"/>
              </w:rPr>
              <w:t>2、接地与接零实操演示</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501" w:type="dxa"/>
            <w:gridSpan w:val="3"/>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cstheme="minorEastAsia"/>
                <w:b w:val="0"/>
                <w:bCs w:val="0"/>
                <w:color w:val="auto"/>
                <w:sz w:val="21"/>
                <w:szCs w:val="21"/>
                <w:highlight w:val="none"/>
                <w:vertAlign w:val="baseline"/>
                <w:lang w:val="en-US" w:eastAsia="zh-CN"/>
              </w:rPr>
            </w:pPr>
            <w:r>
              <w:rPr>
                <w:rFonts w:hint="eastAsia" w:asciiTheme="minorEastAsia" w:hAnsiTheme="minorEastAsia" w:cstheme="minorEastAsia"/>
                <w:b/>
                <w:bCs/>
                <w:color w:val="auto"/>
                <w:sz w:val="21"/>
                <w:szCs w:val="21"/>
                <w:highlight w:val="none"/>
                <w:vertAlign w:val="baseline"/>
                <w:lang w:val="en-US" w:eastAsia="zh-CN"/>
              </w:rPr>
              <w:t>第二期</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1395"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cstheme="minorEastAsia"/>
                <w:b w:val="0"/>
                <w:bCs w:val="0"/>
                <w:color w:val="auto"/>
                <w:sz w:val="21"/>
                <w:szCs w:val="21"/>
                <w:highlight w:val="none"/>
                <w:vertAlign w:val="baseline"/>
                <w:lang w:val="en-US" w:eastAsia="zh-CN"/>
              </w:rPr>
              <w:t>8</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0-1</w:t>
            </w:r>
            <w:r>
              <w:rPr>
                <w:rFonts w:hint="eastAsia" w:asciiTheme="minorEastAsia" w:hAnsiTheme="minorEastAsia" w:cstheme="minorEastAsia"/>
                <w:b w:val="0"/>
                <w:bCs w:val="0"/>
                <w:color w:val="auto"/>
                <w:sz w:val="21"/>
                <w:szCs w:val="21"/>
                <w:highlight w:val="none"/>
                <w:vertAlign w:val="baseline"/>
                <w:lang w:val="en-US" w:eastAsia="zh-CN"/>
              </w:rPr>
              <w:t>1</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w:t>
            </w:r>
          </w:p>
        </w:tc>
        <w:tc>
          <w:tcPr>
            <w:tcW w:w="1485"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rPr>
              <w:t>安全用具使用</w:t>
            </w:r>
          </w:p>
        </w:tc>
        <w:tc>
          <w:tcPr>
            <w:tcW w:w="4621" w:type="dxa"/>
          </w:tcPr>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right="0" w:rightChars="0"/>
              <w:jc w:val="both"/>
              <w:textAlignment w:val="auto"/>
              <w:outlineLvl w:val="9"/>
              <w:rPr>
                <w:rFonts w:hint="eastAsia"/>
              </w:rPr>
            </w:pPr>
            <w:r>
              <w:rPr>
                <w:rFonts w:hint="eastAsia"/>
              </w:rPr>
              <w:t>电工仪表安全使用</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right="0" w:rightChars="0"/>
              <w:jc w:val="both"/>
              <w:textAlignment w:val="auto"/>
              <w:outlineLvl w:val="9"/>
              <w:rPr>
                <w:rFonts w:hint="default"/>
                <w:lang w:val="en-US" w:eastAsia="zh-CN"/>
              </w:rPr>
            </w:pPr>
            <w:r>
              <w:rPr>
                <w:rFonts w:hint="eastAsia"/>
              </w:rPr>
              <w:t>电工安全用具使用</w:t>
            </w:r>
          </w:p>
          <w:p>
            <w:pPr>
              <w:keepNext w:val="0"/>
              <w:keepLines w:val="0"/>
              <w:widowControl/>
              <w:suppressLineNumbers w:val="0"/>
              <w:jc w:val="left"/>
              <w:rPr>
                <w:rFonts w:hint="default"/>
                <w:lang w:val="en-US" w:eastAsia="zh-CN"/>
              </w:rPr>
            </w:pPr>
            <w:r>
              <w:rPr>
                <w:rFonts w:hint="eastAsia" w:ascii="宋体" w:hAnsi="宋体" w:eastAsia="宋体" w:cs="宋体"/>
                <w:color w:val="000000"/>
                <w:kern w:val="0"/>
                <w:sz w:val="22"/>
                <w:szCs w:val="22"/>
                <w:lang w:val="en-US" w:eastAsia="zh-CN" w:bidi="ar"/>
              </w:rPr>
              <w:t>3、万用表的使用与测量</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1395"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1</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0-1</w:t>
            </w:r>
            <w:r>
              <w:rPr>
                <w:rFonts w:hint="eastAsia" w:asciiTheme="minorEastAsia" w:hAnsiTheme="minorEastAsia" w:cstheme="minorEastAsia"/>
                <w:b w:val="0"/>
                <w:bCs w:val="0"/>
                <w:color w:val="auto"/>
                <w:sz w:val="21"/>
                <w:szCs w:val="21"/>
                <w:highlight w:val="none"/>
                <w:vertAlign w:val="baseline"/>
                <w:lang w:val="en-US" w:eastAsia="zh-CN"/>
              </w:rPr>
              <w:t>6</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w:t>
            </w:r>
          </w:p>
        </w:tc>
        <w:tc>
          <w:tcPr>
            <w:tcW w:w="1485" w:type="dxa"/>
          </w:tcPr>
          <w:p>
            <w:pPr>
              <w:keepNext w:val="0"/>
              <w:keepLines w:val="0"/>
              <w:widowControl/>
              <w:suppressLineNumbers w:val="0"/>
              <w:jc w:val="left"/>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宋体" w:hAnsi="宋体" w:eastAsia="宋体" w:cs="宋体"/>
                <w:color w:val="000000"/>
                <w:kern w:val="0"/>
                <w:sz w:val="22"/>
                <w:szCs w:val="22"/>
                <w:lang w:val="en-US" w:eastAsia="zh-CN" w:bidi="ar"/>
              </w:rPr>
              <w:t>常用的低压电器的结构、原理及检测、安全警示标志的辨识</w:t>
            </w:r>
          </w:p>
        </w:tc>
        <w:tc>
          <w:tcPr>
            <w:tcW w:w="4621" w:type="dxa"/>
          </w:tcPr>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color w:val="000000"/>
                <w:kern w:val="0"/>
                <w:sz w:val="22"/>
                <w:szCs w:val="22"/>
                <w:lang w:val="en-US" w:eastAsia="zh-CN" w:bidi="ar"/>
              </w:rPr>
            </w:pPr>
            <w:r>
              <w:rPr>
                <w:rFonts w:hint="eastAsia" w:asciiTheme="minorEastAsia" w:hAnsiTheme="minorEastAsia" w:cstheme="minorEastAsia"/>
                <w:b w:val="0"/>
                <w:bCs w:val="0"/>
                <w:color w:val="auto"/>
                <w:sz w:val="21"/>
                <w:szCs w:val="21"/>
                <w:highlight w:val="none"/>
                <w:vertAlign w:val="baseline"/>
                <w:lang w:val="en-US" w:eastAsia="zh-CN"/>
              </w:rPr>
              <w:t>讲解</w:t>
            </w:r>
            <w:r>
              <w:rPr>
                <w:rFonts w:hint="eastAsia" w:ascii="宋体" w:hAnsi="宋体" w:eastAsia="宋体" w:cs="宋体"/>
                <w:color w:val="000000"/>
                <w:kern w:val="0"/>
                <w:sz w:val="22"/>
                <w:szCs w:val="22"/>
                <w:lang w:val="en-US" w:eastAsia="zh-CN" w:bidi="ar"/>
              </w:rPr>
              <w:t>常用的低压电器的结构、原理及检测</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right="0" w:rightChars="0"/>
              <w:jc w:val="both"/>
              <w:textAlignment w:val="auto"/>
              <w:outlineLvl w:val="9"/>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安全警示标志的辨识</w:t>
            </w:r>
          </w:p>
          <w:p>
            <w:pPr>
              <w:keepNext w:val="0"/>
              <w:keepLines w:val="0"/>
              <w:widowControl/>
              <w:numPr>
                <w:ilvl w:val="0"/>
                <w:numId w:val="4"/>
              </w:numPr>
              <w:suppressLineNumbers w:val="0"/>
              <w:ind w:left="0" w:leftChars="0" w:firstLine="0" w:firstLineChars="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三相异步电动机自锁控制电路的安装与调试</w:t>
            </w:r>
          </w:p>
          <w:p>
            <w:pPr>
              <w:keepNext w:val="0"/>
              <w:keepLines w:val="0"/>
              <w:widowControl/>
              <w:suppressLineNumbers w:val="0"/>
              <w:jc w:val="left"/>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4、三相异步电动机自锁控制电路的故障分析</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501"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cstheme="minorEastAsia"/>
                <w:b/>
                <w:bCs/>
                <w:color w:val="auto"/>
                <w:sz w:val="21"/>
                <w:szCs w:val="21"/>
                <w:highlight w:val="none"/>
                <w:vertAlign w:val="baseline"/>
                <w:lang w:val="en-US" w:eastAsia="zh-CN"/>
              </w:rPr>
              <w:t>第三期</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1395" w:type="dxa"/>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kern w:val="2"/>
                <w:sz w:val="21"/>
                <w:szCs w:val="21"/>
                <w:highlight w:val="none"/>
                <w:vertAlign w:val="baseline"/>
                <w:lang w:val="en-US" w:eastAsia="zh-CN" w:bidi="ar-SA"/>
              </w:rPr>
            </w:pPr>
            <w:r>
              <w:rPr>
                <w:rFonts w:hint="eastAsia" w:asciiTheme="minorEastAsia" w:hAnsiTheme="minorEastAsia" w:cstheme="minorEastAsia"/>
                <w:b w:val="0"/>
                <w:bCs w:val="0"/>
                <w:color w:val="auto"/>
                <w:sz w:val="21"/>
                <w:szCs w:val="21"/>
                <w:highlight w:val="none"/>
                <w:vertAlign w:val="baseline"/>
                <w:lang w:val="en-US" w:eastAsia="zh-CN"/>
              </w:rPr>
              <w:t>8</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0-1</w:t>
            </w:r>
            <w:r>
              <w:rPr>
                <w:rFonts w:hint="eastAsia" w:asciiTheme="minorEastAsia" w:hAnsiTheme="minorEastAsia" w:cstheme="minorEastAsia"/>
                <w:b w:val="0"/>
                <w:bCs w:val="0"/>
                <w:color w:val="auto"/>
                <w:sz w:val="21"/>
                <w:szCs w:val="21"/>
                <w:highlight w:val="none"/>
                <w:vertAlign w:val="baseline"/>
                <w:lang w:val="en-US" w:eastAsia="zh-CN"/>
              </w:rPr>
              <w:t>1</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w:t>
            </w:r>
          </w:p>
        </w:tc>
        <w:tc>
          <w:tcPr>
            <w:tcW w:w="1485" w:type="dxa"/>
          </w:tcPr>
          <w:p>
            <w:pPr>
              <w:keepNext w:val="0"/>
              <w:keepLines w:val="0"/>
              <w:widowControl/>
              <w:suppressLineNumbers w:val="0"/>
              <w:jc w:val="left"/>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宋体" w:hAnsi="宋体" w:eastAsia="宋体" w:cs="宋体"/>
                <w:color w:val="000000"/>
                <w:kern w:val="0"/>
                <w:sz w:val="22"/>
                <w:szCs w:val="22"/>
                <w:lang w:val="en-US" w:eastAsia="zh-CN" w:bidi="ar"/>
              </w:rPr>
              <w:t>三相异步电动机正反运行的接线及安全操作</w:t>
            </w:r>
          </w:p>
        </w:tc>
        <w:tc>
          <w:tcPr>
            <w:tcW w:w="4621" w:type="dxa"/>
          </w:tcPr>
          <w:p>
            <w:pPr>
              <w:keepNext w:val="0"/>
              <w:keepLines w:val="0"/>
              <w:widowControl/>
              <w:numPr>
                <w:ilvl w:val="0"/>
                <w:numId w:val="5"/>
              </w:numPr>
              <w:suppressLineNumbers w:val="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三相异步电动机正反运行的接线及安全操作电路的故障分析</w:t>
            </w:r>
          </w:p>
          <w:p>
            <w:pPr>
              <w:keepNext w:val="0"/>
              <w:keepLines w:val="0"/>
              <w:widowControl/>
              <w:numPr>
                <w:ilvl w:val="0"/>
                <w:numId w:val="5"/>
              </w:numPr>
              <w:suppressLineNumbers w:val="0"/>
              <w:jc w:val="left"/>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三相异步电动机正反运行的实操练习</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1395" w:type="dxa"/>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kern w:val="2"/>
                <w:sz w:val="21"/>
                <w:szCs w:val="21"/>
                <w:highlight w:val="none"/>
                <w:vertAlign w:val="baseline"/>
                <w:lang w:val="en-US" w:eastAsia="zh-CN" w:bidi="ar-SA"/>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1</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0-1</w:t>
            </w:r>
            <w:r>
              <w:rPr>
                <w:rFonts w:hint="eastAsia" w:asciiTheme="minorEastAsia" w:hAnsiTheme="minorEastAsia" w:cstheme="minorEastAsia"/>
                <w:b w:val="0"/>
                <w:bCs w:val="0"/>
                <w:color w:val="auto"/>
                <w:sz w:val="21"/>
                <w:szCs w:val="21"/>
                <w:highlight w:val="none"/>
                <w:vertAlign w:val="baseline"/>
                <w:lang w:val="en-US" w:eastAsia="zh-CN"/>
              </w:rPr>
              <w:t>6</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w:t>
            </w:r>
          </w:p>
        </w:tc>
        <w:tc>
          <w:tcPr>
            <w:tcW w:w="1485" w:type="dxa"/>
          </w:tcPr>
          <w:p>
            <w:pPr>
              <w:keepNext w:val="0"/>
              <w:keepLines w:val="0"/>
              <w:widowControl/>
              <w:suppressLineNumbers w:val="0"/>
              <w:jc w:val="left"/>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宋体" w:hAnsi="宋体" w:eastAsia="宋体" w:cs="宋体"/>
                <w:color w:val="000000"/>
                <w:kern w:val="0"/>
                <w:sz w:val="22"/>
                <w:szCs w:val="22"/>
                <w:lang w:val="en-US" w:eastAsia="zh-CN" w:bidi="ar"/>
              </w:rPr>
              <w:t>导线的选择与连接、绝缘层的恢复</w:t>
            </w:r>
          </w:p>
        </w:tc>
        <w:tc>
          <w:tcPr>
            <w:tcW w:w="4621" w:type="dxa"/>
          </w:tcPr>
          <w:p>
            <w:pPr>
              <w:keepNext w:val="0"/>
              <w:keepLines w:val="0"/>
              <w:widowControl/>
              <w:numPr>
                <w:ilvl w:val="0"/>
                <w:numId w:val="6"/>
              </w:numPr>
              <w:suppressLineNumbers w:val="0"/>
              <w:jc w:val="left"/>
              <w:rPr>
                <w:rFonts w:hint="eastAsia" w:ascii="宋体" w:hAnsi="宋体" w:eastAsia="宋体" w:cs="宋体"/>
                <w:color w:val="000000"/>
                <w:kern w:val="0"/>
                <w:sz w:val="22"/>
                <w:szCs w:val="22"/>
                <w:lang w:val="en-US" w:eastAsia="zh-CN" w:bidi="ar"/>
              </w:rPr>
            </w:pPr>
            <w:r>
              <w:rPr>
                <w:rFonts w:hint="eastAsia" w:asciiTheme="minorEastAsia" w:hAnsiTheme="minorEastAsia" w:cstheme="minorEastAsia"/>
                <w:b w:val="0"/>
                <w:bCs w:val="0"/>
                <w:color w:val="auto"/>
                <w:sz w:val="21"/>
                <w:szCs w:val="21"/>
                <w:highlight w:val="none"/>
                <w:vertAlign w:val="baseline"/>
                <w:lang w:val="en-US" w:eastAsia="zh-CN"/>
              </w:rPr>
              <w:t>讲解</w:t>
            </w:r>
            <w:r>
              <w:rPr>
                <w:rFonts w:hint="eastAsia" w:ascii="宋体" w:hAnsi="宋体" w:eastAsia="宋体" w:cs="宋体"/>
                <w:color w:val="000000"/>
                <w:kern w:val="0"/>
                <w:sz w:val="22"/>
                <w:szCs w:val="22"/>
                <w:lang w:val="en-US" w:eastAsia="zh-CN" w:bidi="ar"/>
              </w:rPr>
              <w:t>导线的选择与连接、绝缘层的恢复</w:t>
            </w:r>
          </w:p>
          <w:p>
            <w:pPr>
              <w:keepNext w:val="0"/>
              <w:keepLines w:val="0"/>
              <w:widowControl/>
              <w:numPr>
                <w:ilvl w:val="0"/>
                <w:numId w:val="6"/>
              </w:numPr>
              <w:suppressLineNumbers w:val="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导线的选择与连接、绝缘层的恢复实操练习</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default" w:asciiTheme="minorEastAsia" w:hAnsiTheme="minorEastAsia" w:eastAsiaTheme="minorEastAsia" w:cstheme="minorEastAsia"/>
                <w:b w:val="0"/>
                <w:bCs w:val="0"/>
                <w:color w:val="auto"/>
                <w:sz w:val="21"/>
                <w:szCs w:val="21"/>
                <w:highlight w:val="none"/>
                <w:vertAlign w:val="baseline"/>
                <w:lang w:val="en-US" w:eastAsia="zh-CN"/>
              </w:rPr>
            </w:pP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501"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cstheme="minorEastAsia"/>
                <w:b/>
                <w:bCs/>
                <w:color w:val="auto"/>
                <w:sz w:val="21"/>
                <w:szCs w:val="21"/>
                <w:highlight w:val="none"/>
                <w:vertAlign w:val="baseline"/>
                <w:lang w:val="en-US" w:eastAsia="zh-CN"/>
              </w:rPr>
              <w:t>第四期</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1395" w:type="dxa"/>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kern w:val="2"/>
                <w:sz w:val="21"/>
                <w:szCs w:val="21"/>
                <w:highlight w:val="none"/>
                <w:vertAlign w:val="baseline"/>
                <w:lang w:val="en-US" w:eastAsia="zh-CN" w:bidi="ar-SA"/>
              </w:rPr>
            </w:pPr>
            <w:r>
              <w:rPr>
                <w:rFonts w:hint="eastAsia" w:asciiTheme="minorEastAsia" w:hAnsiTheme="minorEastAsia" w:cstheme="minorEastAsia"/>
                <w:b w:val="0"/>
                <w:bCs w:val="0"/>
                <w:color w:val="auto"/>
                <w:sz w:val="21"/>
                <w:szCs w:val="21"/>
                <w:highlight w:val="none"/>
                <w:vertAlign w:val="baseline"/>
                <w:lang w:val="en-US" w:eastAsia="zh-CN"/>
              </w:rPr>
              <w:t>8</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0-1</w:t>
            </w:r>
            <w:r>
              <w:rPr>
                <w:rFonts w:hint="eastAsia" w:asciiTheme="minorEastAsia" w:hAnsiTheme="minorEastAsia" w:cstheme="minorEastAsia"/>
                <w:b w:val="0"/>
                <w:bCs w:val="0"/>
                <w:color w:val="auto"/>
                <w:sz w:val="21"/>
                <w:szCs w:val="21"/>
                <w:highlight w:val="none"/>
                <w:vertAlign w:val="baseline"/>
                <w:lang w:val="en-US" w:eastAsia="zh-CN"/>
              </w:rPr>
              <w:t>1</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w:t>
            </w:r>
          </w:p>
        </w:tc>
        <w:tc>
          <w:tcPr>
            <w:tcW w:w="1485" w:type="dxa"/>
          </w:tcPr>
          <w:p>
            <w:pPr>
              <w:keepNext w:val="0"/>
              <w:keepLines w:val="0"/>
              <w:widowControl/>
              <w:suppressLineNumbers w:val="0"/>
              <w:jc w:val="left"/>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宋体" w:hAnsi="宋体" w:eastAsia="宋体" w:cs="宋体"/>
                <w:color w:val="000000"/>
                <w:kern w:val="0"/>
                <w:sz w:val="22"/>
                <w:szCs w:val="22"/>
                <w:lang w:val="en-US" w:eastAsia="zh-CN" w:bidi="ar"/>
              </w:rPr>
              <w:t>作业现场安全风险识别和隐患分析、实操讲解</w:t>
            </w:r>
          </w:p>
        </w:tc>
        <w:tc>
          <w:tcPr>
            <w:tcW w:w="4621" w:type="dxa"/>
          </w:tcPr>
          <w:p>
            <w:pPr>
              <w:keepNext w:val="0"/>
              <w:keepLines w:val="0"/>
              <w:pageBreakBefore w:val="0"/>
              <w:widowControl w:val="0"/>
              <w:numPr>
                <w:ilvl w:val="0"/>
                <w:numId w:val="7"/>
              </w:numPr>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作业现场安全风险识别和隐患分析</w:t>
            </w:r>
          </w:p>
          <w:p>
            <w:pPr>
              <w:keepNext w:val="0"/>
              <w:keepLines w:val="0"/>
              <w:pageBreakBefore w:val="0"/>
              <w:widowControl w:val="0"/>
              <w:numPr>
                <w:ilvl w:val="0"/>
                <w:numId w:val="7"/>
              </w:numPr>
              <w:kinsoku/>
              <w:wordWrap/>
              <w:overflowPunct/>
              <w:topLinePunct w:val="0"/>
              <w:autoSpaceDE/>
              <w:autoSpaceDN/>
              <w:bidi w:val="0"/>
              <w:adjustRightInd/>
              <w:snapToGrid/>
              <w:spacing w:line="240" w:lineRule="auto"/>
              <w:ind w:right="0" w:rightChars="0"/>
              <w:jc w:val="both"/>
              <w:textAlignment w:val="auto"/>
              <w:outlineLvl w:val="9"/>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实操讲解和练习</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1395" w:type="dxa"/>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inorEastAsia" w:hAnsiTheme="minorEastAsia" w:eastAsiaTheme="minorEastAsia" w:cstheme="minorEastAsia"/>
                <w:b w:val="0"/>
                <w:bCs w:val="0"/>
                <w:color w:val="auto"/>
                <w:kern w:val="2"/>
                <w:sz w:val="21"/>
                <w:szCs w:val="21"/>
                <w:highlight w:val="none"/>
                <w:vertAlign w:val="baseline"/>
                <w:lang w:val="en-US" w:eastAsia="zh-CN" w:bidi="ar-SA"/>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1</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0-1</w:t>
            </w:r>
            <w:r>
              <w:rPr>
                <w:rFonts w:hint="eastAsia" w:asciiTheme="minorEastAsia" w:hAnsiTheme="minorEastAsia" w:cstheme="minorEastAsia"/>
                <w:b w:val="0"/>
                <w:bCs w:val="0"/>
                <w:color w:val="auto"/>
                <w:sz w:val="21"/>
                <w:szCs w:val="21"/>
                <w:highlight w:val="none"/>
                <w:vertAlign w:val="baseline"/>
                <w:lang w:val="en-US" w:eastAsia="zh-CN"/>
              </w:rPr>
              <w:t>6</w:t>
            </w:r>
            <w:r>
              <w:rPr>
                <w:rFonts w:hint="eastAsia" w:asciiTheme="minorEastAsia" w:hAnsiTheme="minorEastAsia" w:eastAsiaTheme="minorEastAsia" w:cstheme="minorEastAsia"/>
                <w:b w:val="0"/>
                <w:bCs w:val="0"/>
                <w:color w:val="auto"/>
                <w:sz w:val="21"/>
                <w:szCs w:val="21"/>
                <w:highlight w:val="none"/>
                <w:vertAlign w:val="baseline"/>
                <w:lang w:val="en-US" w:eastAsia="zh-CN"/>
              </w:rPr>
              <w:t>:</w:t>
            </w:r>
            <w:r>
              <w:rPr>
                <w:rFonts w:hint="eastAsia" w:asciiTheme="minorEastAsia" w:hAnsiTheme="minorEastAsia" w:cstheme="minorEastAsia"/>
                <w:b w:val="0"/>
                <w:bCs w:val="0"/>
                <w:color w:val="auto"/>
                <w:sz w:val="21"/>
                <w:szCs w:val="21"/>
                <w:highlight w:val="none"/>
                <w:vertAlign w:val="baseline"/>
                <w:lang w:val="en-US" w:eastAsia="zh-CN"/>
              </w:rPr>
              <w:t>3</w:t>
            </w:r>
            <w:r>
              <w:rPr>
                <w:rFonts w:hint="eastAsia" w:asciiTheme="minorEastAsia" w:hAnsiTheme="minorEastAsia" w:eastAsiaTheme="minorEastAsia" w:cstheme="minorEastAsia"/>
                <w:b w:val="0"/>
                <w:bCs w:val="0"/>
                <w:color w:val="auto"/>
                <w:sz w:val="21"/>
                <w:szCs w:val="21"/>
                <w:highlight w:val="none"/>
                <w:vertAlign w:val="baseline"/>
                <w:lang w:val="en-US" w:eastAsia="zh-CN"/>
              </w:rPr>
              <w:t>0</w:t>
            </w:r>
          </w:p>
        </w:tc>
        <w:tc>
          <w:tcPr>
            <w:tcW w:w="1485" w:type="dxa"/>
          </w:tcPr>
          <w:p>
            <w:pPr>
              <w:keepNext w:val="0"/>
              <w:keepLines w:val="0"/>
              <w:widowControl/>
              <w:suppressLineNumbers w:val="0"/>
              <w:jc w:val="left"/>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宋体" w:hAnsi="宋体" w:eastAsia="宋体" w:cs="宋体"/>
                <w:color w:val="000000"/>
                <w:kern w:val="0"/>
                <w:sz w:val="22"/>
                <w:szCs w:val="22"/>
                <w:lang w:val="en-US" w:eastAsia="zh-CN" w:bidi="ar"/>
              </w:rPr>
              <w:t>触电事故现场处置方法</w:t>
            </w:r>
          </w:p>
        </w:tc>
        <w:tc>
          <w:tcPr>
            <w:tcW w:w="4621" w:type="dxa"/>
          </w:tcPr>
          <w:p>
            <w:pPr>
              <w:keepNext w:val="0"/>
              <w:keepLines w:val="0"/>
              <w:pageBreakBefore w:val="0"/>
              <w:widowControl w:val="0"/>
              <w:numPr>
                <w:ilvl w:val="0"/>
                <w:numId w:val="8"/>
              </w:numPr>
              <w:kinsoku/>
              <w:wordWrap/>
              <w:overflowPunct/>
              <w:topLinePunct w:val="0"/>
              <w:autoSpaceDE/>
              <w:autoSpaceDN/>
              <w:bidi w:val="0"/>
              <w:adjustRightInd/>
              <w:snapToGrid/>
              <w:spacing w:line="240" w:lineRule="auto"/>
              <w:ind w:right="0" w:rightChars="0"/>
              <w:jc w:val="both"/>
              <w:textAlignment w:val="auto"/>
              <w:outlineLvl w:val="9"/>
              <w:rPr>
                <w:rFonts w:hint="eastAsia"/>
              </w:rPr>
            </w:pPr>
            <w:r>
              <w:rPr>
                <w:rFonts w:hint="eastAsia"/>
              </w:rPr>
              <w:t>触电事故现场处置</w:t>
            </w:r>
          </w:p>
          <w:p>
            <w:pPr>
              <w:keepNext w:val="0"/>
              <w:keepLines w:val="0"/>
              <w:pageBreakBefore w:val="0"/>
              <w:widowControl w:val="0"/>
              <w:numPr>
                <w:ilvl w:val="0"/>
                <w:numId w:val="8"/>
              </w:numPr>
              <w:kinsoku/>
              <w:wordWrap/>
              <w:overflowPunct/>
              <w:topLinePunct w:val="0"/>
              <w:autoSpaceDE/>
              <w:autoSpaceDN/>
              <w:bidi w:val="0"/>
              <w:adjustRightInd/>
              <w:snapToGrid/>
              <w:spacing w:line="240" w:lineRule="auto"/>
              <w:ind w:right="0" w:rightChars="0"/>
              <w:jc w:val="both"/>
              <w:textAlignment w:val="auto"/>
              <w:outlineLvl w:val="9"/>
              <w:rPr>
                <w:rFonts w:hint="default"/>
                <w:lang w:val="en-US" w:eastAsia="zh-CN"/>
              </w:rPr>
            </w:pPr>
            <w:r>
              <w:rPr>
                <w:rFonts w:hint="eastAsia"/>
              </w:rPr>
              <w:t>火灾现场判断和火灾事故处理措施</w:t>
            </w:r>
          </w:p>
        </w:tc>
        <w:tc>
          <w:tcPr>
            <w:tcW w:w="1980" w:type="dxa"/>
            <w:vMerge w:val="continue"/>
          </w:tcPr>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b w:val="0"/>
                <w:bCs w:val="0"/>
                <w:color w:val="auto"/>
                <w:sz w:val="21"/>
                <w:szCs w:val="21"/>
                <w:highlight w:val="none"/>
                <w:vertAlign w:val="baseline"/>
                <w:lang w:val="en-US" w:eastAsia="zh-CN"/>
              </w:rPr>
            </w:pPr>
          </w:p>
        </w:tc>
      </w:tr>
    </w:tbl>
    <w:p/>
    <w:sectPr>
      <w:footerReference r:id="rId3" w:type="default"/>
      <w:pgSz w:w="11906" w:h="16838"/>
      <w:pgMar w:top="850" w:right="1800" w:bottom="56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CC688B"/>
    <w:multiLevelType w:val="singleLevel"/>
    <w:tmpl w:val="B4CC688B"/>
    <w:lvl w:ilvl="0" w:tentative="0">
      <w:start w:val="1"/>
      <w:numFmt w:val="decimal"/>
      <w:suff w:val="nothing"/>
      <w:lvlText w:val="%1、"/>
      <w:lvlJc w:val="left"/>
    </w:lvl>
  </w:abstractNum>
  <w:abstractNum w:abstractNumId="1">
    <w:nsid w:val="BC4F901B"/>
    <w:multiLevelType w:val="singleLevel"/>
    <w:tmpl w:val="BC4F901B"/>
    <w:lvl w:ilvl="0" w:tentative="0">
      <w:start w:val="1"/>
      <w:numFmt w:val="decimal"/>
      <w:suff w:val="nothing"/>
      <w:lvlText w:val="%1、"/>
      <w:lvlJc w:val="left"/>
    </w:lvl>
  </w:abstractNum>
  <w:abstractNum w:abstractNumId="2">
    <w:nsid w:val="BF16C277"/>
    <w:multiLevelType w:val="singleLevel"/>
    <w:tmpl w:val="BF16C277"/>
    <w:lvl w:ilvl="0" w:tentative="0">
      <w:start w:val="1"/>
      <w:numFmt w:val="decimal"/>
      <w:suff w:val="nothing"/>
      <w:lvlText w:val="%1、"/>
      <w:lvlJc w:val="left"/>
    </w:lvl>
  </w:abstractNum>
  <w:abstractNum w:abstractNumId="3">
    <w:nsid w:val="ED004314"/>
    <w:multiLevelType w:val="singleLevel"/>
    <w:tmpl w:val="ED004314"/>
    <w:lvl w:ilvl="0" w:tentative="0">
      <w:start w:val="1"/>
      <w:numFmt w:val="decimal"/>
      <w:suff w:val="nothing"/>
      <w:lvlText w:val="%1、"/>
      <w:lvlJc w:val="left"/>
    </w:lvl>
  </w:abstractNum>
  <w:abstractNum w:abstractNumId="4">
    <w:nsid w:val="103FB6A1"/>
    <w:multiLevelType w:val="singleLevel"/>
    <w:tmpl w:val="103FB6A1"/>
    <w:lvl w:ilvl="0" w:tentative="0">
      <w:start w:val="1"/>
      <w:numFmt w:val="decimal"/>
      <w:suff w:val="nothing"/>
      <w:lvlText w:val="%1、"/>
      <w:lvlJc w:val="left"/>
    </w:lvl>
  </w:abstractNum>
  <w:abstractNum w:abstractNumId="5">
    <w:nsid w:val="302D6F03"/>
    <w:multiLevelType w:val="singleLevel"/>
    <w:tmpl w:val="302D6F03"/>
    <w:lvl w:ilvl="0" w:tentative="0">
      <w:start w:val="1"/>
      <w:numFmt w:val="decimal"/>
      <w:suff w:val="nothing"/>
      <w:lvlText w:val="%1、"/>
      <w:lvlJc w:val="left"/>
    </w:lvl>
  </w:abstractNum>
  <w:abstractNum w:abstractNumId="6">
    <w:nsid w:val="5723155F"/>
    <w:multiLevelType w:val="singleLevel"/>
    <w:tmpl w:val="5723155F"/>
    <w:lvl w:ilvl="0" w:tentative="0">
      <w:start w:val="1"/>
      <w:numFmt w:val="decimal"/>
      <w:suff w:val="nothing"/>
      <w:lvlText w:val="%1、"/>
      <w:lvlJc w:val="left"/>
    </w:lvl>
  </w:abstractNum>
  <w:abstractNum w:abstractNumId="7">
    <w:nsid w:val="70B3E538"/>
    <w:multiLevelType w:val="singleLevel"/>
    <w:tmpl w:val="70B3E538"/>
    <w:lvl w:ilvl="0" w:tentative="0">
      <w:start w:val="1"/>
      <w:numFmt w:val="decimal"/>
      <w:suff w:val="nothing"/>
      <w:lvlText w:val="%1、"/>
      <w:lvlJc w:val="left"/>
    </w:lvl>
  </w:abstractNum>
  <w:num w:numId="1">
    <w:abstractNumId w:val="4"/>
  </w:num>
  <w:num w:numId="2">
    <w:abstractNumId w:val="6"/>
  </w:num>
  <w:num w:numId="3">
    <w:abstractNumId w:val="1"/>
  </w:num>
  <w:num w:numId="4">
    <w:abstractNumId w:val="5"/>
  </w:num>
  <w:num w:numId="5">
    <w:abstractNumId w:val="2"/>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kY2EzMThhNzYzMTA2MzZhZmJmNGEyNmZhMzgxZGEifQ=="/>
  </w:docVars>
  <w:rsids>
    <w:rsidRoot w:val="00000000"/>
    <w:rsid w:val="00160EDD"/>
    <w:rsid w:val="00206A7F"/>
    <w:rsid w:val="00285085"/>
    <w:rsid w:val="004C7B14"/>
    <w:rsid w:val="00550051"/>
    <w:rsid w:val="00694077"/>
    <w:rsid w:val="00A02A06"/>
    <w:rsid w:val="00B307B4"/>
    <w:rsid w:val="00D274E9"/>
    <w:rsid w:val="00D64AE1"/>
    <w:rsid w:val="01506B43"/>
    <w:rsid w:val="01522DFF"/>
    <w:rsid w:val="019670BF"/>
    <w:rsid w:val="01F96EB3"/>
    <w:rsid w:val="0200288C"/>
    <w:rsid w:val="020805DF"/>
    <w:rsid w:val="020D640D"/>
    <w:rsid w:val="021578EB"/>
    <w:rsid w:val="02436B24"/>
    <w:rsid w:val="024B393E"/>
    <w:rsid w:val="025E6312"/>
    <w:rsid w:val="02784E0A"/>
    <w:rsid w:val="027F004C"/>
    <w:rsid w:val="0280709E"/>
    <w:rsid w:val="02A4487F"/>
    <w:rsid w:val="02C212EA"/>
    <w:rsid w:val="02D72AB4"/>
    <w:rsid w:val="02D8716B"/>
    <w:rsid w:val="02DF2D16"/>
    <w:rsid w:val="02F57101"/>
    <w:rsid w:val="02FE573C"/>
    <w:rsid w:val="03014936"/>
    <w:rsid w:val="03273354"/>
    <w:rsid w:val="03332B58"/>
    <w:rsid w:val="033A68AB"/>
    <w:rsid w:val="036161CE"/>
    <w:rsid w:val="03627210"/>
    <w:rsid w:val="03642353"/>
    <w:rsid w:val="0368090B"/>
    <w:rsid w:val="03710A13"/>
    <w:rsid w:val="03BB23AC"/>
    <w:rsid w:val="03E33D1D"/>
    <w:rsid w:val="04266DEF"/>
    <w:rsid w:val="042F1F6E"/>
    <w:rsid w:val="043C5B45"/>
    <w:rsid w:val="04507BF8"/>
    <w:rsid w:val="04515FF5"/>
    <w:rsid w:val="04695983"/>
    <w:rsid w:val="046D2FEC"/>
    <w:rsid w:val="04701D76"/>
    <w:rsid w:val="04A255B6"/>
    <w:rsid w:val="04A82C42"/>
    <w:rsid w:val="04A8538D"/>
    <w:rsid w:val="04BD5E19"/>
    <w:rsid w:val="04C44AE0"/>
    <w:rsid w:val="050A2246"/>
    <w:rsid w:val="053242B0"/>
    <w:rsid w:val="053970E7"/>
    <w:rsid w:val="05461B09"/>
    <w:rsid w:val="0565472D"/>
    <w:rsid w:val="057344AD"/>
    <w:rsid w:val="057D2FF5"/>
    <w:rsid w:val="059434EE"/>
    <w:rsid w:val="05AB79D1"/>
    <w:rsid w:val="05AD6598"/>
    <w:rsid w:val="05C50659"/>
    <w:rsid w:val="05D635BB"/>
    <w:rsid w:val="05DE4348"/>
    <w:rsid w:val="05E54E53"/>
    <w:rsid w:val="05F73D3D"/>
    <w:rsid w:val="06022F6D"/>
    <w:rsid w:val="060749C9"/>
    <w:rsid w:val="0619730D"/>
    <w:rsid w:val="06231361"/>
    <w:rsid w:val="06290981"/>
    <w:rsid w:val="068E61B3"/>
    <w:rsid w:val="06956A6D"/>
    <w:rsid w:val="069C70B4"/>
    <w:rsid w:val="069E3764"/>
    <w:rsid w:val="06C4482E"/>
    <w:rsid w:val="06CF6925"/>
    <w:rsid w:val="06F246B1"/>
    <w:rsid w:val="06F81398"/>
    <w:rsid w:val="0705209A"/>
    <w:rsid w:val="0719372B"/>
    <w:rsid w:val="071A54F0"/>
    <w:rsid w:val="07267DD9"/>
    <w:rsid w:val="075203CA"/>
    <w:rsid w:val="079F0BA5"/>
    <w:rsid w:val="07AF7E3A"/>
    <w:rsid w:val="07B34FF2"/>
    <w:rsid w:val="07B816D9"/>
    <w:rsid w:val="07C42107"/>
    <w:rsid w:val="07DF1820"/>
    <w:rsid w:val="07E955A0"/>
    <w:rsid w:val="07F97DC8"/>
    <w:rsid w:val="080C736C"/>
    <w:rsid w:val="0831161B"/>
    <w:rsid w:val="083560B2"/>
    <w:rsid w:val="08615819"/>
    <w:rsid w:val="0887469D"/>
    <w:rsid w:val="088D7998"/>
    <w:rsid w:val="089D2AF0"/>
    <w:rsid w:val="08C64915"/>
    <w:rsid w:val="08F77906"/>
    <w:rsid w:val="092D485E"/>
    <w:rsid w:val="09353B66"/>
    <w:rsid w:val="09356C7F"/>
    <w:rsid w:val="095F4B1C"/>
    <w:rsid w:val="097A6CDC"/>
    <w:rsid w:val="09821C32"/>
    <w:rsid w:val="098E46FD"/>
    <w:rsid w:val="09922B01"/>
    <w:rsid w:val="09B6421C"/>
    <w:rsid w:val="09E76668"/>
    <w:rsid w:val="0A030CC4"/>
    <w:rsid w:val="0A0A3C9A"/>
    <w:rsid w:val="0A18739F"/>
    <w:rsid w:val="0A1C7B5B"/>
    <w:rsid w:val="0A426183"/>
    <w:rsid w:val="0A464BF2"/>
    <w:rsid w:val="0A7D5FCD"/>
    <w:rsid w:val="0A935041"/>
    <w:rsid w:val="0ABF2D97"/>
    <w:rsid w:val="0AD41B00"/>
    <w:rsid w:val="0AEA6131"/>
    <w:rsid w:val="0B3B3DC3"/>
    <w:rsid w:val="0B6F562A"/>
    <w:rsid w:val="0B73783E"/>
    <w:rsid w:val="0B9735BA"/>
    <w:rsid w:val="0BAB656A"/>
    <w:rsid w:val="0BCA2750"/>
    <w:rsid w:val="0C032C19"/>
    <w:rsid w:val="0C4D7776"/>
    <w:rsid w:val="0C6210C1"/>
    <w:rsid w:val="0C697B3C"/>
    <w:rsid w:val="0C72570A"/>
    <w:rsid w:val="0C9E358B"/>
    <w:rsid w:val="0D1F55A3"/>
    <w:rsid w:val="0D5E30A2"/>
    <w:rsid w:val="0D6035EB"/>
    <w:rsid w:val="0D634797"/>
    <w:rsid w:val="0D8E01EB"/>
    <w:rsid w:val="0DC76108"/>
    <w:rsid w:val="0E20712E"/>
    <w:rsid w:val="0E242C5F"/>
    <w:rsid w:val="0E4E0116"/>
    <w:rsid w:val="0E6D7C97"/>
    <w:rsid w:val="0E786429"/>
    <w:rsid w:val="0E906C64"/>
    <w:rsid w:val="0E9B416F"/>
    <w:rsid w:val="0EAE2625"/>
    <w:rsid w:val="0EC668DC"/>
    <w:rsid w:val="0ECF2B6F"/>
    <w:rsid w:val="0EF37737"/>
    <w:rsid w:val="0F16495A"/>
    <w:rsid w:val="0F180A08"/>
    <w:rsid w:val="0F1D5F9B"/>
    <w:rsid w:val="0F2F42DB"/>
    <w:rsid w:val="0F3F5F47"/>
    <w:rsid w:val="0F621C65"/>
    <w:rsid w:val="0FB21633"/>
    <w:rsid w:val="0FBC293F"/>
    <w:rsid w:val="0FF2522E"/>
    <w:rsid w:val="101F6B0A"/>
    <w:rsid w:val="10282276"/>
    <w:rsid w:val="102F5CF6"/>
    <w:rsid w:val="108347EC"/>
    <w:rsid w:val="108A3790"/>
    <w:rsid w:val="10A2213B"/>
    <w:rsid w:val="10A43740"/>
    <w:rsid w:val="10C22049"/>
    <w:rsid w:val="10CF46D1"/>
    <w:rsid w:val="10D51B89"/>
    <w:rsid w:val="10E36325"/>
    <w:rsid w:val="11046129"/>
    <w:rsid w:val="110B495E"/>
    <w:rsid w:val="111A5FE8"/>
    <w:rsid w:val="114E06C3"/>
    <w:rsid w:val="11557586"/>
    <w:rsid w:val="11566AC8"/>
    <w:rsid w:val="11B4683A"/>
    <w:rsid w:val="11D151F4"/>
    <w:rsid w:val="11E0215E"/>
    <w:rsid w:val="12220F54"/>
    <w:rsid w:val="12267CAA"/>
    <w:rsid w:val="12301AC1"/>
    <w:rsid w:val="125C2C7E"/>
    <w:rsid w:val="12743288"/>
    <w:rsid w:val="128B41E4"/>
    <w:rsid w:val="12F37D2F"/>
    <w:rsid w:val="1301444E"/>
    <w:rsid w:val="13016FA8"/>
    <w:rsid w:val="134270C1"/>
    <w:rsid w:val="137361BF"/>
    <w:rsid w:val="138F60BC"/>
    <w:rsid w:val="13B66CCE"/>
    <w:rsid w:val="13BC4C59"/>
    <w:rsid w:val="13C82337"/>
    <w:rsid w:val="13D9621C"/>
    <w:rsid w:val="13E527EA"/>
    <w:rsid w:val="13F96E76"/>
    <w:rsid w:val="1445288A"/>
    <w:rsid w:val="144A098B"/>
    <w:rsid w:val="14581E94"/>
    <w:rsid w:val="146E5FCB"/>
    <w:rsid w:val="14AE4770"/>
    <w:rsid w:val="14C10C2B"/>
    <w:rsid w:val="14D97EAC"/>
    <w:rsid w:val="14E17613"/>
    <w:rsid w:val="14EC2A4C"/>
    <w:rsid w:val="14FD6C1E"/>
    <w:rsid w:val="1509125F"/>
    <w:rsid w:val="153C1688"/>
    <w:rsid w:val="154F3DAE"/>
    <w:rsid w:val="15770C7E"/>
    <w:rsid w:val="15B256A8"/>
    <w:rsid w:val="15BD595A"/>
    <w:rsid w:val="15E21882"/>
    <w:rsid w:val="15F93976"/>
    <w:rsid w:val="160D43C6"/>
    <w:rsid w:val="16556130"/>
    <w:rsid w:val="16781D40"/>
    <w:rsid w:val="16790539"/>
    <w:rsid w:val="168A767C"/>
    <w:rsid w:val="168F7B5C"/>
    <w:rsid w:val="16AC3CD2"/>
    <w:rsid w:val="16F21D4E"/>
    <w:rsid w:val="17436092"/>
    <w:rsid w:val="175561A3"/>
    <w:rsid w:val="17722A46"/>
    <w:rsid w:val="17740E97"/>
    <w:rsid w:val="17820A0F"/>
    <w:rsid w:val="17AD089D"/>
    <w:rsid w:val="17B906BE"/>
    <w:rsid w:val="17CD317B"/>
    <w:rsid w:val="17D95071"/>
    <w:rsid w:val="17EF07F4"/>
    <w:rsid w:val="18065343"/>
    <w:rsid w:val="181811CF"/>
    <w:rsid w:val="18376166"/>
    <w:rsid w:val="18880DE5"/>
    <w:rsid w:val="19010E43"/>
    <w:rsid w:val="19465710"/>
    <w:rsid w:val="195209E9"/>
    <w:rsid w:val="198438E3"/>
    <w:rsid w:val="19997FF5"/>
    <w:rsid w:val="19AB3D92"/>
    <w:rsid w:val="19C176E1"/>
    <w:rsid w:val="19EB13F2"/>
    <w:rsid w:val="1A0468B2"/>
    <w:rsid w:val="1A0C5BA7"/>
    <w:rsid w:val="1A2C44A3"/>
    <w:rsid w:val="1A44472A"/>
    <w:rsid w:val="1A450C06"/>
    <w:rsid w:val="1A483822"/>
    <w:rsid w:val="1A7478CD"/>
    <w:rsid w:val="1A9156A8"/>
    <w:rsid w:val="1A9372AB"/>
    <w:rsid w:val="1AF074A8"/>
    <w:rsid w:val="1B160CC7"/>
    <w:rsid w:val="1B1937CD"/>
    <w:rsid w:val="1B2E24E9"/>
    <w:rsid w:val="1B432ABA"/>
    <w:rsid w:val="1B6400DE"/>
    <w:rsid w:val="1B6F5641"/>
    <w:rsid w:val="1B7C4105"/>
    <w:rsid w:val="1B8C4025"/>
    <w:rsid w:val="1BB94D9E"/>
    <w:rsid w:val="1BD32D2C"/>
    <w:rsid w:val="1BF06FBC"/>
    <w:rsid w:val="1BFD0FE6"/>
    <w:rsid w:val="1C07285F"/>
    <w:rsid w:val="1C0E225C"/>
    <w:rsid w:val="1C1128B1"/>
    <w:rsid w:val="1C2844B0"/>
    <w:rsid w:val="1C3328FE"/>
    <w:rsid w:val="1C405EF3"/>
    <w:rsid w:val="1C6113B4"/>
    <w:rsid w:val="1C6A46B2"/>
    <w:rsid w:val="1C994164"/>
    <w:rsid w:val="1CA10F6B"/>
    <w:rsid w:val="1CB72FED"/>
    <w:rsid w:val="1CC61482"/>
    <w:rsid w:val="1CCA55E9"/>
    <w:rsid w:val="1CD37134"/>
    <w:rsid w:val="1CDF0FF0"/>
    <w:rsid w:val="1D1431D5"/>
    <w:rsid w:val="1D3106BB"/>
    <w:rsid w:val="1D654843"/>
    <w:rsid w:val="1D715330"/>
    <w:rsid w:val="1D946A46"/>
    <w:rsid w:val="1D9973A1"/>
    <w:rsid w:val="1DA400EA"/>
    <w:rsid w:val="1DA96FE6"/>
    <w:rsid w:val="1DB10F01"/>
    <w:rsid w:val="1DD7763F"/>
    <w:rsid w:val="1DDC2D07"/>
    <w:rsid w:val="1DFF0AF5"/>
    <w:rsid w:val="1E0565AE"/>
    <w:rsid w:val="1E3A2807"/>
    <w:rsid w:val="1E49118C"/>
    <w:rsid w:val="1E592996"/>
    <w:rsid w:val="1E811BC7"/>
    <w:rsid w:val="1EA062D6"/>
    <w:rsid w:val="1ECA2FA5"/>
    <w:rsid w:val="1EE0077F"/>
    <w:rsid w:val="1F192647"/>
    <w:rsid w:val="1F2E7BB1"/>
    <w:rsid w:val="1F323BAF"/>
    <w:rsid w:val="1F581925"/>
    <w:rsid w:val="1F7C7944"/>
    <w:rsid w:val="1F977BE0"/>
    <w:rsid w:val="1FAD0CAB"/>
    <w:rsid w:val="1FBB122A"/>
    <w:rsid w:val="1FC341B2"/>
    <w:rsid w:val="1FD23D13"/>
    <w:rsid w:val="1FFF3EF9"/>
    <w:rsid w:val="2008377F"/>
    <w:rsid w:val="202403E1"/>
    <w:rsid w:val="202B7651"/>
    <w:rsid w:val="205541F4"/>
    <w:rsid w:val="20682409"/>
    <w:rsid w:val="20AA4522"/>
    <w:rsid w:val="20B04D5C"/>
    <w:rsid w:val="20B97591"/>
    <w:rsid w:val="20C712D8"/>
    <w:rsid w:val="21316A1F"/>
    <w:rsid w:val="218F5075"/>
    <w:rsid w:val="21A51EC6"/>
    <w:rsid w:val="21AB7A87"/>
    <w:rsid w:val="21CF749D"/>
    <w:rsid w:val="21D73CE9"/>
    <w:rsid w:val="220A3796"/>
    <w:rsid w:val="22404B52"/>
    <w:rsid w:val="22451CE1"/>
    <w:rsid w:val="226D63F7"/>
    <w:rsid w:val="2322029A"/>
    <w:rsid w:val="233A1C1D"/>
    <w:rsid w:val="2389558B"/>
    <w:rsid w:val="23A54EFB"/>
    <w:rsid w:val="23A978FC"/>
    <w:rsid w:val="23D60864"/>
    <w:rsid w:val="23F322A2"/>
    <w:rsid w:val="24104A16"/>
    <w:rsid w:val="24141EFB"/>
    <w:rsid w:val="241E2177"/>
    <w:rsid w:val="242E4D89"/>
    <w:rsid w:val="244651B5"/>
    <w:rsid w:val="24EB2873"/>
    <w:rsid w:val="252F0A01"/>
    <w:rsid w:val="254B29E4"/>
    <w:rsid w:val="255A43D2"/>
    <w:rsid w:val="256066A4"/>
    <w:rsid w:val="25861C4E"/>
    <w:rsid w:val="25880E17"/>
    <w:rsid w:val="25897934"/>
    <w:rsid w:val="25B73B7A"/>
    <w:rsid w:val="25CE0A73"/>
    <w:rsid w:val="25CF6929"/>
    <w:rsid w:val="25D73E99"/>
    <w:rsid w:val="25EF4A0B"/>
    <w:rsid w:val="2602555A"/>
    <w:rsid w:val="262A7547"/>
    <w:rsid w:val="262E0711"/>
    <w:rsid w:val="26307FE6"/>
    <w:rsid w:val="265B1F1D"/>
    <w:rsid w:val="26854D91"/>
    <w:rsid w:val="269174A7"/>
    <w:rsid w:val="26BA3B59"/>
    <w:rsid w:val="26CB1E95"/>
    <w:rsid w:val="26DF0D2A"/>
    <w:rsid w:val="26E52072"/>
    <w:rsid w:val="26EE67B7"/>
    <w:rsid w:val="26F04243"/>
    <w:rsid w:val="26FD0878"/>
    <w:rsid w:val="27110469"/>
    <w:rsid w:val="276B1759"/>
    <w:rsid w:val="278B4EB7"/>
    <w:rsid w:val="278D05C4"/>
    <w:rsid w:val="278E19E3"/>
    <w:rsid w:val="278E628D"/>
    <w:rsid w:val="2790688E"/>
    <w:rsid w:val="27AB749A"/>
    <w:rsid w:val="27B642C9"/>
    <w:rsid w:val="27C03296"/>
    <w:rsid w:val="280432B5"/>
    <w:rsid w:val="282A4DD7"/>
    <w:rsid w:val="285E18EE"/>
    <w:rsid w:val="287333E0"/>
    <w:rsid w:val="289D2D95"/>
    <w:rsid w:val="28B200D4"/>
    <w:rsid w:val="28B83001"/>
    <w:rsid w:val="28FD3C1A"/>
    <w:rsid w:val="293F692E"/>
    <w:rsid w:val="298066DF"/>
    <w:rsid w:val="29836A65"/>
    <w:rsid w:val="29B3605F"/>
    <w:rsid w:val="29B66771"/>
    <w:rsid w:val="29BF5555"/>
    <w:rsid w:val="29CF2763"/>
    <w:rsid w:val="2A225831"/>
    <w:rsid w:val="2A355969"/>
    <w:rsid w:val="2A3E084B"/>
    <w:rsid w:val="2A3E3D69"/>
    <w:rsid w:val="2A601F56"/>
    <w:rsid w:val="2A971E5F"/>
    <w:rsid w:val="2AB40014"/>
    <w:rsid w:val="2AEB1599"/>
    <w:rsid w:val="2AFD1D6F"/>
    <w:rsid w:val="2B06378D"/>
    <w:rsid w:val="2B1519FD"/>
    <w:rsid w:val="2B246AA1"/>
    <w:rsid w:val="2B2F6E0C"/>
    <w:rsid w:val="2B5826A6"/>
    <w:rsid w:val="2B5F1352"/>
    <w:rsid w:val="2B842F73"/>
    <w:rsid w:val="2BA9719E"/>
    <w:rsid w:val="2BC419A3"/>
    <w:rsid w:val="2BC93558"/>
    <w:rsid w:val="2BDC2323"/>
    <w:rsid w:val="2C1434CE"/>
    <w:rsid w:val="2C1D7E79"/>
    <w:rsid w:val="2C551EF9"/>
    <w:rsid w:val="2C61242D"/>
    <w:rsid w:val="2C93720A"/>
    <w:rsid w:val="2CAE50C6"/>
    <w:rsid w:val="2CD11000"/>
    <w:rsid w:val="2CEA7745"/>
    <w:rsid w:val="2D0058FC"/>
    <w:rsid w:val="2D426ED6"/>
    <w:rsid w:val="2D4B565F"/>
    <w:rsid w:val="2D4D7629"/>
    <w:rsid w:val="2D613845"/>
    <w:rsid w:val="2D8578C9"/>
    <w:rsid w:val="2D940467"/>
    <w:rsid w:val="2DB41DF0"/>
    <w:rsid w:val="2DDB27C1"/>
    <w:rsid w:val="2DE473E8"/>
    <w:rsid w:val="2E0654D7"/>
    <w:rsid w:val="2E0D6B53"/>
    <w:rsid w:val="2E183B65"/>
    <w:rsid w:val="2E432C4D"/>
    <w:rsid w:val="2E503B73"/>
    <w:rsid w:val="2E6E33D0"/>
    <w:rsid w:val="2E6F4258"/>
    <w:rsid w:val="2E774C55"/>
    <w:rsid w:val="2EF13295"/>
    <w:rsid w:val="2EF948C7"/>
    <w:rsid w:val="2F0B779C"/>
    <w:rsid w:val="2F3E6FE1"/>
    <w:rsid w:val="2F405DA6"/>
    <w:rsid w:val="2F482546"/>
    <w:rsid w:val="2F5729E1"/>
    <w:rsid w:val="2F656448"/>
    <w:rsid w:val="2F6620CF"/>
    <w:rsid w:val="2F6C64F4"/>
    <w:rsid w:val="2FA50407"/>
    <w:rsid w:val="2FAB2B7F"/>
    <w:rsid w:val="2FF0409D"/>
    <w:rsid w:val="2FF0763C"/>
    <w:rsid w:val="2FF81ACE"/>
    <w:rsid w:val="300964EC"/>
    <w:rsid w:val="300A1329"/>
    <w:rsid w:val="3035103D"/>
    <w:rsid w:val="303F60E1"/>
    <w:rsid w:val="30436CAD"/>
    <w:rsid w:val="304F1CBD"/>
    <w:rsid w:val="305700D2"/>
    <w:rsid w:val="30673D66"/>
    <w:rsid w:val="307D7C9F"/>
    <w:rsid w:val="309A35B0"/>
    <w:rsid w:val="30A0730E"/>
    <w:rsid w:val="30A42D54"/>
    <w:rsid w:val="30B515F7"/>
    <w:rsid w:val="30C27824"/>
    <w:rsid w:val="310D4034"/>
    <w:rsid w:val="311566B0"/>
    <w:rsid w:val="31181BC5"/>
    <w:rsid w:val="311A13E9"/>
    <w:rsid w:val="311E2243"/>
    <w:rsid w:val="313E7688"/>
    <w:rsid w:val="316E3F5B"/>
    <w:rsid w:val="319F68DD"/>
    <w:rsid w:val="31A8741D"/>
    <w:rsid w:val="31AC703C"/>
    <w:rsid w:val="31B912FB"/>
    <w:rsid w:val="322710D4"/>
    <w:rsid w:val="32293649"/>
    <w:rsid w:val="322B105A"/>
    <w:rsid w:val="322B4008"/>
    <w:rsid w:val="32335040"/>
    <w:rsid w:val="32347F8E"/>
    <w:rsid w:val="325854EC"/>
    <w:rsid w:val="328E1ACD"/>
    <w:rsid w:val="32AB5C3D"/>
    <w:rsid w:val="32C20171"/>
    <w:rsid w:val="32F175F1"/>
    <w:rsid w:val="33162295"/>
    <w:rsid w:val="331D565F"/>
    <w:rsid w:val="33383266"/>
    <w:rsid w:val="333F3B7F"/>
    <w:rsid w:val="33935C6D"/>
    <w:rsid w:val="33AB50A9"/>
    <w:rsid w:val="33AF46E3"/>
    <w:rsid w:val="33B7210C"/>
    <w:rsid w:val="34104838"/>
    <w:rsid w:val="34123565"/>
    <w:rsid w:val="341D454C"/>
    <w:rsid w:val="341F791C"/>
    <w:rsid w:val="34290051"/>
    <w:rsid w:val="34364AC2"/>
    <w:rsid w:val="34757AE6"/>
    <w:rsid w:val="34AF0F9D"/>
    <w:rsid w:val="34B52F82"/>
    <w:rsid w:val="34C41E8D"/>
    <w:rsid w:val="34CA1E3A"/>
    <w:rsid w:val="34F233E6"/>
    <w:rsid w:val="35594610"/>
    <w:rsid w:val="35885C2A"/>
    <w:rsid w:val="358F5849"/>
    <w:rsid w:val="35A66F56"/>
    <w:rsid w:val="35C62451"/>
    <w:rsid w:val="35FC4080"/>
    <w:rsid w:val="36016C68"/>
    <w:rsid w:val="360B0029"/>
    <w:rsid w:val="3674587A"/>
    <w:rsid w:val="36C54810"/>
    <w:rsid w:val="36FA0F8C"/>
    <w:rsid w:val="37054908"/>
    <w:rsid w:val="3721729B"/>
    <w:rsid w:val="373117F4"/>
    <w:rsid w:val="37427AD3"/>
    <w:rsid w:val="374630E0"/>
    <w:rsid w:val="37544A3E"/>
    <w:rsid w:val="377822E7"/>
    <w:rsid w:val="37D04FED"/>
    <w:rsid w:val="37F07CA7"/>
    <w:rsid w:val="37F83C8D"/>
    <w:rsid w:val="37FE473B"/>
    <w:rsid w:val="380E1EBD"/>
    <w:rsid w:val="381B1844"/>
    <w:rsid w:val="38492966"/>
    <w:rsid w:val="38544616"/>
    <w:rsid w:val="385C0A50"/>
    <w:rsid w:val="389105B4"/>
    <w:rsid w:val="38985FF6"/>
    <w:rsid w:val="38C452F4"/>
    <w:rsid w:val="38D0795C"/>
    <w:rsid w:val="38FF02FC"/>
    <w:rsid w:val="391B5248"/>
    <w:rsid w:val="391D2AFC"/>
    <w:rsid w:val="392C0FB2"/>
    <w:rsid w:val="39410D71"/>
    <w:rsid w:val="39596AB4"/>
    <w:rsid w:val="39712C21"/>
    <w:rsid w:val="3977364D"/>
    <w:rsid w:val="397D3FBE"/>
    <w:rsid w:val="39A7183B"/>
    <w:rsid w:val="39AA1F55"/>
    <w:rsid w:val="39AD1B7B"/>
    <w:rsid w:val="39BA7CEE"/>
    <w:rsid w:val="39BB26D3"/>
    <w:rsid w:val="39C30A24"/>
    <w:rsid w:val="39F57C16"/>
    <w:rsid w:val="3A360342"/>
    <w:rsid w:val="3A3E55F9"/>
    <w:rsid w:val="3A81668F"/>
    <w:rsid w:val="3AC91E8D"/>
    <w:rsid w:val="3ADA6FF5"/>
    <w:rsid w:val="3AE01D01"/>
    <w:rsid w:val="3AEE09E5"/>
    <w:rsid w:val="3B0A02A8"/>
    <w:rsid w:val="3B0F4FEB"/>
    <w:rsid w:val="3B304F80"/>
    <w:rsid w:val="3B7B7FA7"/>
    <w:rsid w:val="3B82247E"/>
    <w:rsid w:val="3B963ED0"/>
    <w:rsid w:val="3B990956"/>
    <w:rsid w:val="3BC60F57"/>
    <w:rsid w:val="3BCB3E88"/>
    <w:rsid w:val="3BCF65DB"/>
    <w:rsid w:val="3BDE3BC9"/>
    <w:rsid w:val="3BEB1F7E"/>
    <w:rsid w:val="3C104DC3"/>
    <w:rsid w:val="3C116BB6"/>
    <w:rsid w:val="3C1372D5"/>
    <w:rsid w:val="3C2329CE"/>
    <w:rsid w:val="3C42614F"/>
    <w:rsid w:val="3C483272"/>
    <w:rsid w:val="3C5363C9"/>
    <w:rsid w:val="3C572F1F"/>
    <w:rsid w:val="3C655383"/>
    <w:rsid w:val="3C6C1CCC"/>
    <w:rsid w:val="3C8B12A6"/>
    <w:rsid w:val="3CB60524"/>
    <w:rsid w:val="3CD60D11"/>
    <w:rsid w:val="3CF30DB7"/>
    <w:rsid w:val="3CFF0B2E"/>
    <w:rsid w:val="3D0C2226"/>
    <w:rsid w:val="3D3C1A41"/>
    <w:rsid w:val="3D487B2A"/>
    <w:rsid w:val="3D630366"/>
    <w:rsid w:val="3DBC59E6"/>
    <w:rsid w:val="3DD916F5"/>
    <w:rsid w:val="3DDD22C4"/>
    <w:rsid w:val="3DF600F4"/>
    <w:rsid w:val="3DFF0156"/>
    <w:rsid w:val="3E015294"/>
    <w:rsid w:val="3E130C10"/>
    <w:rsid w:val="3E441504"/>
    <w:rsid w:val="3E8806D5"/>
    <w:rsid w:val="3E8B7744"/>
    <w:rsid w:val="3EA93C5B"/>
    <w:rsid w:val="3EDA01CB"/>
    <w:rsid w:val="3EED6576"/>
    <w:rsid w:val="3EF634AE"/>
    <w:rsid w:val="3F450737"/>
    <w:rsid w:val="3F4E1002"/>
    <w:rsid w:val="3F61561D"/>
    <w:rsid w:val="3F94650E"/>
    <w:rsid w:val="3FCA1ABE"/>
    <w:rsid w:val="3FCF2C00"/>
    <w:rsid w:val="3FD55700"/>
    <w:rsid w:val="3FE86B66"/>
    <w:rsid w:val="3FF57B7D"/>
    <w:rsid w:val="3FFA719D"/>
    <w:rsid w:val="401B216C"/>
    <w:rsid w:val="409475F1"/>
    <w:rsid w:val="40BD3B04"/>
    <w:rsid w:val="40EF2829"/>
    <w:rsid w:val="41145031"/>
    <w:rsid w:val="414C6AEB"/>
    <w:rsid w:val="414E2A36"/>
    <w:rsid w:val="41514523"/>
    <w:rsid w:val="4164278E"/>
    <w:rsid w:val="41687CB3"/>
    <w:rsid w:val="418D4040"/>
    <w:rsid w:val="418F76EB"/>
    <w:rsid w:val="41A952B5"/>
    <w:rsid w:val="41C70537"/>
    <w:rsid w:val="41F4348F"/>
    <w:rsid w:val="424B688C"/>
    <w:rsid w:val="42C81635"/>
    <w:rsid w:val="42CB3985"/>
    <w:rsid w:val="430F241B"/>
    <w:rsid w:val="432E6248"/>
    <w:rsid w:val="433A742F"/>
    <w:rsid w:val="43565AD2"/>
    <w:rsid w:val="43672733"/>
    <w:rsid w:val="437042A0"/>
    <w:rsid w:val="43A66478"/>
    <w:rsid w:val="43CB2980"/>
    <w:rsid w:val="43CB6172"/>
    <w:rsid w:val="441C157E"/>
    <w:rsid w:val="441E1CC2"/>
    <w:rsid w:val="446677BD"/>
    <w:rsid w:val="44855035"/>
    <w:rsid w:val="44897E1F"/>
    <w:rsid w:val="449B0D56"/>
    <w:rsid w:val="44D62AC9"/>
    <w:rsid w:val="44E97B61"/>
    <w:rsid w:val="45157B61"/>
    <w:rsid w:val="45341CFA"/>
    <w:rsid w:val="453C5BDA"/>
    <w:rsid w:val="456C78BF"/>
    <w:rsid w:val="45837426"/>
    <w:rsid w:val="458654FB"/>
    <w:rsid w:val="45F553A0"/>
    <w:rsid w:val="4656715C"/>
    <w:rsid w:val="46747D1C"/>
    <w:rsid w:val="46877B88"/>
    <w:rsid w:val="469E76E5"/>
    <w:rsid w:val="46C42786"/>
    <w:rsid w:val="46D614EF"/>
    <w:rsid w:val="46EA65B6"/>
    <w:rsid w:val="46EC0CBE"/>
    <w:rsid w:val="46ED6411"/>
    <w:rsid w:val="4702168E"/>
    <w:rsid w:val="471C7D7D"/>
    <w:rsid w:val="47226F36"/>
    <w:rsid w:val="47500C7C"/>
    <w:rsid w:val="47B76763"/>
    <w:rsid w:val="47B916EB"/>
    <w:rsid w:val="47D2539E"/>
    <w:rsid w:val="47DC5041"/>
    <w:rsid w:val="47E37EC8"/>
    <w:rsid w:val="47E43364"/>
    <w:rsid w:val="48087FE8"/>
    <w:rsid w:val="48100A92"/>
    <w:rsid w:val="4816377A"/>
    <w:rsid w:val="48185183"/>
    <w:rsid w:val="48191FE2"/>
    <w:rsid w:val="48552C37"/>
    <w:rsid w:val="486332DD"/>
    <w:rsid w:val="487B09B7"/>
    <w:rsid w:val="488B7C3D"/>
    <w:rsid w:val="488C3562"/>
    <w:rsid w:val="48D73044"/>
    <w:rsid w:val="48DA61F3"/>
    <w:rsid w:val="48F960EF"/>
    <w:rsid w:val="49197649"/>
    <w:rsid w:val="49220A46"/>
    <w:rsid w:val="492425DF"/>
    <w:rsid w:val="49745064"/>
    <w:rsid w:val="49863F39"/>
    <w:rsid w:val="499A6E55"/>
    <w:rsid w:val="49D7778E"/>
    <w:rsid w:val="4A0F00CC"/>
    <w:rsid w:val="4A2C18CF"/>
    <w:rsid w:val="4A3842A9"/>
    <w:rsid w:val="4A5043A7"/>
    <w:rsid w:val="4A5461D8"/>
    <w:rsid w:val="4A635385"/>
    <w:rsid w:val="4A7E0CF9"/>
    <w:rsid w:val="4A864095"/>
    <w:rsid w:val="4A8A0A3A"/>
    <w:rsid w:val="4A8F7A4B"/>
    <w:rsid w:val="4AAE01B5"/>
    <w:rsid w:val="4AB60065"/>
    <w:rsid w:val="4ABC4617"/>
    <w:rsid w:val="4AE838CA"/>
    <w:rsid w:val="4AE96920"/>
    <w:rsid w:val="4B366057"/>
    <w:rsid w:val="4B7023AB"/>
    <w:rsid w:val="4B8621C3"/>
    <w:rsid w:val="4B972DD0"/>
    <w:rsid w:val="4BAC0DFE"/>
    <w:rsid w:val="4BB0593C"/>
    <w:rsid w:val="4BD5202D"/>
    <w:rsid w:val="4BEC4605"/>
    <w:rsid w:val="4BF52E99"/>
    <w:rsid w:val="4BF74B47"/>
    <w:rsid w:val="4C030B51"/>
    <w:rsid w:val="4C0C0EC3"/>
    <w:rsid w:val="4C197154"/>
    <w:rsid w:val="4C4639F5"/>
    <w:rsid w:val="4C4B426B"/>
    <w:rsid w:val="4C967F06"/>
    <w:rsid w:val="4CA24350"/>
    <w:rsid w:val="4CAD09C7"/>
    <w:rsid w:val="4CB912DE"/>
    <w:rsid w:val="4CD47DAB"/>
    <w:rsid w:val="4CD74CF1"/>
    <w:rsid w:val="4D01600E"/>
    <w:rsid w:val="4D1812CC"/>
    <w:rsid w:val="4D28664D"/>
    <w:rsid w:val="4D4218BD"/>
    <w:rsid w:val="4D4F1BCB"/>
    <w:rsid w:val="4D6667C9"/>
    <w:rsid w:val="4D8A0C24"/>
    <w:rsid w:val="4DB45D3E"/>
    <w:rsid w:val="4DC73F33"/>
    <w:rsid w:val="4DF63449"/>
    <w:rsid w:val="4DFF6355"/>
    <w:rsid w:val="4E0563AB"/>
    <w:rsid w:val="4E113B00"/>
    <w:rsid w:val="4E6621B7"/>
    <w:rsid w:val="4E751B7A"/>
    <w:rsid w:val="4EA5439C"/>
    <w:rsid w:val="4EDB3BF9"/>
    <w:rsid w:val="4EF173C2"/>
    <w:rsid w:val="4F12290E"/>
    <w:rsid w:val="4F186C93"/>
    <w:rsid w:val="4F3D22AC"/>
    <w:rsid w:val="4F4C5507"/>
    <w:rsid w:val="4F4E1D5E"/>
    <w:rsid w:val="4F59252F"/>
    <w:rsid w:val="4F651739"/>
    <w:rsid w:val="4FFC1384"/>
    <w:rsid w:val="4FFC2A03"/>
    <w:rsid w:val="50005CD1"/>
    <w:rsid w:val="50096942"/>
    <w:rsid w:val="50327188"/>
    <w:rsid w:val="50374553"/>
    <w:rsid w:val="504A5E4A"/>
    <w:rsid w:val="504E1DC7"/>
    <w:rsid w:val="50B125D0"/>
    <w:rsid w:val="50BD5DC8"/>
    <w:rsid w:val="50E9561A"/>
    <w:rsid w:val="50F93800"/>
    <w:rsid w:val="50F9696D"/>
    <w:rsid w:val="510644DA"/>
    <w:rsid w:val="510D6CA3"/>
    <w:rsid w:val="511E498E"/>
    <w:rsid w:val="512569F7"/>
    <w:rsid w:val="514E0CF2"/>
    <w:rsid w:val="515178B2"/>
    <w:rsid w:val="51691756"/>
    <w:rsid w:val="517013E5"/>
    <w:rsid w:val="51740F96"/>
    <w:rsid w:val="5192120F"/>
    <w:rsid w:val="51AE4B5F"/>
    <w:rsid w:val="51D148C9"/>
    <w:rsid w:val="52074E5E"/>
    <w:rsid w:val="520D18C3"/>
    <w:rsid w:val="520F32C4"/>
    <w:rsid w:val="52310A50"/>
    <w:rsid w:val="52432A0E"/>
    <w:rsid w:val="52535E1F"/>
    <w:rsid w:val="5266709E"/>
    <w:rsid w:val="526F16C3"/>
    <w:rsid w:val="52713D2B"/>
    <w:rsid w:val="52716E67"/>
    <w:rsid w:val="5295759E"/>
    <w:rsid w:val="529F6992"/>
    <w:rsid w:val="52A46C94"/>
    <w:rsid w:val="52C8137C"/>
    <w:rsid w:val="53217F28"/>
    <w:rsid w:val="532553AF"/>
    <w:rsid w:val="533317CF"/>
    <w:rsid w:val="5358625D"/>
    <w:rsid w:val="5373263A"/>
    <w:rsid w:val="53793333"/>
    <w:rsid w:val="539D3897"/>
    <w:rsid w:val="53BE6109"/>
    <w:rsid w:val="53D06EE7"/>
    <w:rsid w:val="53FE1D05"/>
    <w:rsid w:val="5401483B"/>
    <w:rsid w:val="5405009C"/>
    <w:rsid w:val="542E314D"/>
    <w:rsid w:val="54312617"/>
    <w:rsid w:val="54515721"/>
    <w:rsid w:val="5459636F"/>
    <w:rsid w:val="545A2F05"/>
    <w:rsid w:val="54755FD7"/>
    <w:rsid w:val="54924298"/>
    <w:rsid w:val="54E96790"/>
    <w:rsid w:val="5527501B"/>
    <w:rsid w:val="55514489"/>
    <w:rsid w:val="55837262"/>
    <w:rsid w:val="55B26139"/>
    <w:rsid w:val="55FE01D2"/>
    <w:rsid w:val="562150FA"/>
    <w:rsid w:val="56262E36"/>
    <w:rsid w:val="56275CC9"/>
    <w:rsid w:val="563924DE"/>
    <w:rsid w:val="569D042A"/>
    <w:rsid w:val="56AC00F8"/>
    <w:rsid w:val="56C120AF"/>
    <w:rsid w:val="56E43A3C"/>
    <w:rsid w:val="56E82C36"/>
    <w:rsid w:val="56EC1969"/>
    <w:rsid w:val="56F45A25"/>
    <w:rsid w:val="56F62E03"/>
    <w:rsid w:val="571A47C4"/>
    <w:rsid w:val="57481D14"/>
    <w:rsid w:val="576F3034"/>
    <w:rsid w:val="57B53D11"/>
    <w:rsid w:val="57C856A0"/>
    <w:rsid w:val="57CB4DB4"/>
    <w:rsid w:val="57E208B1"/>
    <w:rsid w:val="57E31881"/>
    <w:rsid w:val="57E80543"/>
    <w:rsid w:val="580E4C38"/>
    <w:rsid w:val="582A351F"/>
    <w:rsid w:val="586F51D1"/>
    <w:rsid w:val="587C6B51"/>
    <w:rsid w:val="58BA07B7"/>
    <w:rsid w:val="58BC378E"/>
    <w:rsid w:val="58EF065C"/>
    <w:rsid w:val="592E2192"/>
    <w:rsid w:val="593C03CE"/>
    <w:rsid w:val="593F31CD"/>
    <w:rsid w:val="593F5AAE"/>
    <w:rsid w:val="594C2B42"/>
    <w:rsid w:val="596C15F7"/>
    <w:rsid w:val="59983325"/>
    <w:rsid w:val="59B779D7"/>
    <w:rsid w:val="59FA0491"/>
    <w:rsid w:val="5A0E64DA"/>
    <w:rsid w:val="5A1530A2"/>
    <w:rsid w:val="5A1A3BD2"/>
    <w:rsid w:val="5A4F44F4"/>
    <w:rsid w:val="5A530A82"/>
    <w:rsid w:val="5A671F2F"/>
    <w:rsid w:val="5A777D44"/>
    <w:rsid w:val="5ABA42DE"/>
    <w:rsid w:val="5AD1652F"/>
    <w:rsid w:val="5AE11FBA"/>
    <w:rsid w:val="5AFF6F77"/>
    <w:rsid w:val="5B0060A2"/>
    <w:rsid w:val="5B031041"/>
    <w:rsid w:val="5B136F19"/>
    <w:rsid w:val="5B1B7BDD"/>
    <w:rsid w:val="5B407B6C"/>
    <w:rsid w:val="5B4317C9"/>
    <w:rsid w:val="5B665146"/>
    <w:rsid w:val="5B790B45"/>
    <w:rsid w:val="5B812F55"/>
    <w:rsid w:val="5B96091D"/>
    <w:rsid w:val="5BAD7352"/>
    <w:rsid w:val="5BC619CD"/>
    <w:rsid w:val="5BE15E5A"/>
    <w:rsid w:val="5C0E436D"/>
    <w:rsid w:val="5C3D14C1"/>
    <w:rsid w:val="5C4812DA"/>
    <w:rsid w:val="5C4D0605"/>
    <w:rsid w:val="5C563802"/>
    <w:rsid w:val="5C5679F9"/>
    <w:rsid w:val="5C684AF0"/>
    <w:rsid w:val="5C6F4EA7"/>
    <w:rsid w:val="5C9F48D7"/>
    <w:rsid w:val="5CDA29E3"/>
    <w:rsid w:val="5CE16BFE"/>
    <w:rsid w:val="5CEB0CA1"/>
    <w:rsid w:val="5D021637"/>
    <w:rsid w:val="5D08297D"/>
    <w:rsid w:val="5D1402C8"/>
    <w:rsid w:val="5D1E4F7F"/>
    <w:rsid w:val="5D454D2B"/>
    <w:rsid w:val="5D9B59D2"/>
    <w:rsid w:val="5DC9095E"/>
    <w:rsid w:val="5DE26048"/>
    <w:rsid w:val="5DF77B75"/>
    <w:rsid w:val="5E592AAA"/>
    <w:rsid w:val="5E661BC9"/>
    <w:rsid w:val="5E797BD0"/>
    <w:rsid w:val="5E7C7627"/>
    <w:rsid w:val="5E923CD8"/>
    <w:rsid w:val="5EA22A81"/>
    <w:rsid w:val="5EB16D9C"/>
    <w:rsid w:val="5EBC2998"/>
    <w:rsid w:val="5EBD7238"/>
    <w:rsid w:val="5EBF5001"/>
    <w:rsid w:val="5EF4771B"/>
    <w:rsid w:val="5EF83C73"/>
    <w:rsid w:val="5EFB3AF5"/>
    <w:rsid w:val="5F3F29C6"/>
    <w:rsid w:val="5F486A7D"/>
    <w:rsid w:val="5F8349BF"/>
    <w:rsid w:val="5F9E7D12"/>
    <w:rsid w:val="5FB000E7"/>
    <w:rsid w:val="5FBF5D9C"/>
    <w:rsid w:val="5FFF237F"/>
    <w:rsid w:val="60065707"/>
    <w:rsid w:val="60113763"/>
    <w:rsid w:val="6012151C"/>
    <w:rsid w:val="60354871"/>
    <w:rsid w:val="604179D0"/>
    <w:rsid w:val="605660D3"/>
    <w:rsid w:val="60814A14"/>
    <w:rsid w:val="608C1EF4"/>
    <w:rsid w:val="60A54BAD"/>
    <w:rsid w:val="60AE1FE1"/>
    <w:rsid w:val="60B74A92"/>
    <w:rsid w:val="60E52440"/>
    <w:rsid w:val="60E526D2"/>
    <w:rsid w:val="60EE6E9A"/>
    <w:rsid w:val="610360CD"/>
    <w:rsid w:val="61036816"/>
    <w:rsid w:val="61225710"/>
    <w:rsid w:val="61307E19"/>
    <w:rsid w:val="613D45D4"/>
    <w:rsid w:val="6144576D"/>
    <w:rsid w:val="616608E3"/>
    <w:rsid w:val="6178760A"/>
    <w:rsid w:val="617F17F7"/>
    <w:rsid w:val="61812CD3"/>
    <w:rsid w:val="618145D1"/>
    <w:rsid w:val="61AA6E07"/>
    <w:rsid w:val="61C157A4"/>
    <w:rsid w:val="61DE0CF0"/>
    <w:rsid w:val="62004945"/>
    <w:rsid w:val="620B5BBA"/>
    <w:rsid w:val="6242598A"/>
    <w:rsid w:val="625370C7"/>
    <w:rsid w:val="6254724B"/>
    <w:rsid w:val="626071AD"/>
    <w:rsid w:val="627D1255"/>
    <w:rsid w:val="6287317D"/>
    <w:rsid w:val="62895F93"/>
    <w:rsid w:val="62A04D78"/>
    <w:rsid w:val="62BE6078"/>
    <w:rsid w:val="62E277B4"/>
    <w:rsid w:val="63583C36"/>
    <w:rsid w:val="636B1C57"/>
    <w:rsid w:val="6378275F"/>
    <w:rsid w:val="6395520C"/>
    <w:rsid w:val="639B7B8A"/>
    <w:rsid w:val="63A61923"/>
    <w:rsid w:val="63AD3F13"/>
    <w:rsid w:val="63FB05A3"/>
    <w:rsid w:val="63FF6584"/>
    <w:rsid w:val="640F5472"/>
    <w:rsid w:val="64772DFB"/>
    <w:rsid w:val="648350C7"/>
    <w:rsid w:val="64A8024B"/>
    <w:rsid w:val="64A82575"/>
    <w:rsid w:val="64C16842"/>
    <w:rsid w:val="64E02D06"/>
    <w:rsid w:val="651E6A20"/>
    <w:rsid w:val="652C1F9E"/>
    <w:rsid w:val="65314B5F"/>
    <w:rsid w:val="6537076D"/>
    <w:rsid w:val="654E28BF"/>
    <w:rsid w:val="655578CE"/>
    <w:rsid w:val="6564679B"/>
    <w:rsid w:val="656D36BC"/>
    <w:rsid w:val="65836563"/>
    <w:rsid w:val="65A333A1"/>
    <w:rsid w:val="65AC2438"/>
    <w:rsid w:val="65B61AD8"/>
    <w:rsid w:val="65B675D2"/>
    <w:rsid w:val="65EC716F"/>
    <w:rsid w:val="65EE18C6"/>
    <w:rsid w:val="660D3E3E"/>
    <w:rsid w:val="66287A99"/>
    <w:rsid w:val="662C62D8"/>
    <w:rsid w:val="66573403"/>
    <w:rsid w:val="668B0E54"/>
    <w:rsid w:val="668D7CC8"/>
    <w:rsid w:val="669F4C4C"/>
    <w:rsid w:val="66A62FDD"/>
    <w:rsid w:val="66B141AA"/>
    <w:rsid w:val="66B50EE7"/>
    <w:rsid w:val="66B612A9"/>
    <w:rsid w:val="6702145C"/>
    <w:rsid w:val="67365EF8"/>
    <w:rsid w:val="67415823"/>
    <w:rsid w:val="677B7FA6"/>
    <w:rsid w:val="679D61E9"/>
    <w:rsid w:val="679F0914"/>
    <w:rsid w:val="67A719FC"/>
    <w:rsid w:val="680308AD"/>
    <w:rsid w:val="68192FF4"/>
    <w:rsid w:val="6844547F"/>
    <w:rsid w:val="685F752D"/>
    <w:rsid w:val="688F7DA2"/>
    <w:rsid w:val="689305E7"/>
    <w:rsid w:val="68A716B3"/>
    <w:rsid w:val="68BD2FBC"/>
    <w:rsid w:val="68C00D85"/>
    <w:rsid w:val="68CC5939"/>
    <w:rsid w:val="68E53CDE"/>
    <w:rsid w:val="68F31524"/>
    <w:rsid w:val="6907283B"/>
    <w:rsid w:val="69256AD0"/>
    <w:rsid w:val="69306833"/>
    <w:rsid w:val="693966D8"/>
    <w:rsid w:val="694A464C"/>
    <w:rsid w:val="69561445"/>
    <w:rsid w:val="69606833"/>
    <w:rsid w:val="696647E6"/>
    <w:rsid w:val="696D55A6"/>
    <w:rsid w:val="69886A80"/>
    <w:rsid w:val="69AE07F7"/>
    <w:rsid w:val="69F862A4"/>
    <w:rsid w:val="6A05629F"/>
    <w:rsid w:val="6A0D7082"/>
    <w:rsid w:val="6A380F17"/>
    <w:rsid w:val="6A6958C6"/>
    <w:rsid w:val="6A731E5D"/>
    <w:rsid w:val="6B3B2C3A"/>
    <w:rsid w:val="6B6576CE"/>
    <w:rsid w:val="6B792B88"/>
    <w:rsid w:val="6BB33A4E"/>
    <w:rsid w:val="6BB71B46"/>
    <w:rsid w:val="6BC22609"/>
    <w:rsid w:val="6BDD1B26"/>
    <w:rsid w:val="6C3A570D"/>
    <w:rsid w:val="6C5A6774"/>
    <w:rsid w:val="6C871593"/>
    <w:rsid w:val="6C884E83"/>
    <w:rsid w:val="6C8921EE"/>
    <w:rsid w:val="6CCE0D0F"/>
    <w:rsid w:val="6CDB347C"/>
    <w:rsid w:val="6CDC323C"/>
    <w:rsid w:val="6CDC3602"/>
    <w:rsid w:val="6CEA6731"/>
    <w:rsid w:val="6D160C16"/>
    <w:rsid w:val="6D6B79B7"/>
    <w:rsid w:val="6D786F66"/>
    <w:rsid w:val="6D8559C3"/>
    <w:rsid w:val="6D8829A1"/>
    <w:rsid w:val="6DDB6E2B"/>
    <w:rsid w:val="6DF55E80"/>
    <w:rsid w:val="6E5957C4"/>
    <w:rsid w:val="6EFF182A"/>
    <w:rsid w:val="6F002BE5"/>
    <w:rsid w:val="6F2E1DDE"/>
    <w:rsid w:val="6F587DD9"/>
    <w:rsid w:val="6F5E1B72"/>
    <w:rsid w:val="6F797E93"/>
    <w:rsid w:val="6F845EFF"/>
    <w:rsid w:val="6F9A5D21"/>
    <w:rsid w:val="6FC83FB9"/>
    <w:rsid w:val="6FCF48D7"/>
    <w:rsid w:val="70204801"/>
    <w:rsid w:val="7035439D"/>
    <w:rsid w:val="70514D4F"/>
    <w:rsid w:val="70630139"/>
    <w:rsid w:val="706E3674"/>
    <w:rsid w:val="70805014"/>
    <w:rsid w:val="70984A22"/>
    <w:rsid w:val="70B874EC"/>
    <w:rsid w:val="70C50B12"/>
    <w:rsid w:val="70DE0765"/>
    <w:rsid w:val="71307703"/>
    <w:rsid w:val="713855AC"/>
    <w:rsid w:val="715D6620"/>
    <w:rsid w:val="716F7E49"/>
    <w:rsid w:val="717E4512"/>
    <w:rsid w:val="718C7F6D"/>
    <w:rsid w:val="71A861A9"/>
    <w:rsid w:val="71B56FC2"/>
    <w:rsid w:val="723640D3"/>
    <w:rsid w:val="72390FBD"/>
    <w:rsid w:val="723A2045"/>
    <w:rsid w:val="727E6B59"/>
    <w:rsid w:val="72805201"/>
    <w:rsid w:val="728B087B"/>
    <w:rsid w:val="72C316A5"/>
    <w:rsid w:val="730B16A4"/>
    <w:rsid w:val="731E28F6"/>
    <w:rsid w:val="73272E9D"/>
    <w:rsid w:val="735542E4"/>
    <w:rsid w:val="737C6562"/>
    <w:rsid w:val="73AC3DB2"/>
    <w:rsid w:val="73C910A3"/>
    <w:rsid w:val="73EF28B5"/>
    <w:rsid w:val="73F93019"/>
    <w:rsid w:val="73FE5850"/>
    <w:rsid w:val="741D6D31"/>
    <w:rsid w:val="742C1975"/>
    <w:rsid w:val="747C531D"/>
    <w:rsid w:val="750C1706"/>
    <w:rsid w:val="754A6DF5"/>
    <w:rsid w:val="7552585E"/>
    <w:rsid w:val="75553E29"/>
    <w:rsid w:val="75583F83"/>
    <w:rsid w:val="757A0CF7"/>
    <w:rsid w:val="757F1352"/>
    <w:rsid w:val="75AA0B4E"/>
    <w:rsid w:val="75D31722"/>
    <w:rsid w:val="75D4578E"/>
    <w:rsid w:val="75DA107F"/>
    <w:rsid w:val="76030100"/>
    <w:rsid w:val="760F5A2A"/>
    <w:rsid w:val="765975DF"/>
    <w:rsid w:val="766A44DA"/>
    <w:rsid w:val="769649F9"/>
    <w:rsid w:val="76A07D97"/>
    <w:rsid w:val="76B04274"/>
    <w:rsid w:val="76C273C2"/>
    <w:rsid w:val="76C73D9E"/>
    <w:rsid w:val="76C96B36"/>
    <w:rsid w:val="76CD322C"/>
    <w:rsid w:val="7705080E"/>
    <w:rsid w:val="774E0764"/>
    <w:rsid w:val="776B0567"/>
    <w:rsid w:val="777761CB"/>
    <w:rsid w:val="777F44D0"/>
    <w:rsid w:val="77A633AD"/>
    <w:rsid w:val="77B7729E"/>
    <w:rsid w:val="77BE74D8"/>
    <w:rsid w:val="77D064CE"/>
    <w:rsid w:val="77F17118"/>
    <w:rsid w:val="782B3690"/>
    <w:rsid w:val="786024AB"/>
    <w:rsid w:val="786D1410"/>
    <w:rsid w:val="787167A1"/>
    <w:rsid w:val="78B2537C"/>
    <w:rsid w:val="78DC40FF"/>
    <w:rsid w:val="78EC1E97"/>
    <w:rsid w:val="78EE3919"/>
    <w:rsid w:val="78F620FD"/>
    <w:rsid w:val="790762E2"/>
    <w:rsid w:val="790E0FE8"/>
    <w:rsid w:val="79151053"/>
    <w:rsid w:val="791C0689"/>
    <w:rsid w:val="792B4560"/>
    <w:rsid w:val="79453869"/>
    <w:rsid w:val="7957401D"/>
    <w:rsid w:val="79692D45"/>
    <w:rsid w:val="79700865"/>
    <w:rsid w:val="797F1EC8"/>
    <w:rsid w:val="799D1C7D"/>
    <w:rsid w:val="79B477EE"/>
    <w:rsid w:val="79C12076"/>
    <w:rsid w:val="79DC6A02"/>
    <w:rsid w:val="79F119FD"/>
    <w:rsid w:val="79F12734"/>
    <w:rsid w:val="79F85108"/>
    <w:rsid w:val="7A310D10"/>
    <w:rsid w:val="7A490252"/>
    <w:rsid w:val="7A5165B3"/>
    <w:rsid w:val="7A7137BB"/>
    <w:rsid w:val="7A725CD4"/>
    <w:rsid w:val="7A8553BB"/>
    <w:rsid w:val="7AA10310"/>
    <w:rsid w:val="7ABA3C6D"/>
    <w:rsid w:val="7ACF59ED"/>
    <w:rsid w:val="7AF619CF"/>
    <w:rsid w:val="7B325DF5"/>
    <w:rsid w:val="7B4214E3"/>
    <w:rsid w:val="7B7A52A1"/>
    <w:rsid w:val="7B8F410B"/>
    <w:rsid w:val="7BA571A1"/>
    <w:rsid w:val="7BB923C5"/>
    <w:rsid w:val="7BDA6F0A"/>
    <w:rsid w:val="7BED5E22"/>
    <w:rsid w:val="7C4B5646"/>
    <w:rsid w:val="7C511A77"/>
    <w:rsid w:val="7C567A95"/>
    <w:rsid w:val="7C7C7E0C"/>
    <w:rsid w:val="7C8B0CED"/>
    <w:rsid w:val="7C964791"/>
    <w:rsid w:val="7CB16835"/>
    <w:rsid w:val="7CB93960"/>
    <w:rsid w:val="7CD90C8B"/>
    <w:rsid w:val="7CDB7866"/>
    <w:rsid w:val="7CE23434"/>
    <w:rsid w:val="7CE73C54"/>
    <w:rsid w:val="7CE845DA"/>
    <w:rsid w:val="7CF06DA0"/>
    <w:rsid w:val="7D2F368C"/>
    <w:rsid w:val="7D3E09D0"/>
    <w:rsid w:val="7D40463E"/>
    <w:rsid w:val="7D467B78"/>
    <w:rsid w:val="7D64695D"/>
    <w:rsid w:val="7D8E0858"/>
    <w:rsid w:val="7DA60B13"/>
    <w:rsid w:val="7DAC0925"/>
    <w:rsid w:val="7DCF24CF"/>
    <w:rsid w:val="7DFD50CC"/>
    <w:rsid w:val="7E1B5307"/>
    <w:rsid w:val="7E2A608D"/>
    <w:rsid w:val="7E431733"/>
    <w:rsid w:val="7E4F16BC"/>
    <w:rsid w:val="7ECD0510"/>
    <w:rsid w:val="7ED261DB"/>
    <w:rsid w:val="7EE1425A"/>
    <w:rsid w:val="7EE83733"/>
    <w:rsid w:val="7F0A4119"/>
    <w:rsid w:val="7F0B520C"/>
    <w:rsid w:val="7F247F29"/>
    <w:rsid w:val="7F310190"/>
    <w:rsid w:val="7F3E5CDB"/>
    <w:rsid w:val="7F7035A4"/>
    <w:rsid w:val="7F8D2B00"/>
    <w:rsid w:val="7F9C3D87"/>
    <w:rsid w:val="7FA5587B"/>
    <w:rsid w:val="7FAF003D"/>
    <w:rsid w:val="7FB84279"/>
    <w:rsid w:val="7FCB3E2B"/>
    <w:rsid w:val="7FD536DE"/>
    <w:rsid w:val="7FEA61C5"/>
    <w:rsid w:val="7FF30338"/>
    <w:rsid w:val="7FFD2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uiPriority w:val="0"/>
    <w:rPr>
      <w:sz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1039</Words>
  <Characters>1119</Characters>
  <Lines>0</Lines>
  <Paragraphs>0</Paragraphs>
  <TotalTime>4</TotalTime>
  <ScaleCrop>false</ScaleCrop>
  <LinksUpToDate>false</LinksUpToDate>
  <CharactersWithSpaces>1119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2024-03-08T01:50:00Z</dcterms:created>
  <dc:creator>lenovo</dc:creator>
  <cp:lastModifiedBy>蓝蓝</cp:lastModifiedBy>
  <dcterms:modified xsi:type="dcterms:W3CDTF">2025-11-17T01:46:38Z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8D9A0A7260C5475EB4FC513928766E51</vt:lpwstr>
  </property>
  <property fmtid="{D5CDD505-2E9C-101B-9397-08002B2CF9AE}" pid="4" name="KSOTemplateDocerSaveRecord">
    <vt:lpwstr>eyJoZGlkIjoiMThkY2EzMThhNzYzMTA2MzZhZmJmNGEyNmZhMzgxZGEiLCJ1c2VySWQiOiI3NDY0NzQ2MzcifQ==</vt:lpwstr>
  </property>
</Properties>
</file>