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宋体"/>
          <w:sz w:val="44"/>
          <w:szCs w:val="44"/>
          <w:highlight w:val="none"/>
        </w:rPr>
      </w:pPr>
      <w:r>
        <w:rPr>
          <w:rFonts w:cs="宋体"/>
          <w:sz w:val="44"/>
          <w:szCs w:val="44"/>
          <w:highlight w:val="none"/>
        </w:rPr>
        <w:drawing>
          <wp:anchor distT="0" distB="0" distL="0" distR="0" simplePos="0" relativeHeight="251659264" behindDoc="0" locked="0" layoutInCell="1" allowOverlap="1">
            <wp:simplePos x="0" y="0"/>
            <wp:positionH relativeFrom="column">
              <wp:posOffset>-1261110</wp:posOffset>
            </wp:positionH>
            <wp:positionV relativeFrom="paragraph">
              <wp:posOffset>-946785</wp:posOffset>
            </wp:positionV>
            <wp:extent cx="7718425" cy="2593340"/>
            <wp:effectExtent l="0" t="0" r="0" b="0"/>
            <wp:wrapNone/>
            <wp:docPr id="1"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模板-3"/>
                    <pic:cNvPicPr>
                      <a:picLocks noChangeAspect="1" noChangeArrowheads="1"/>
                    </pic:cNvPicPr>
                  </pic:nvPicPr>
                  <pic:blipFill>
                    <a:blip r:embed="rId15"/>
                    <a:stretch>
                      <a:fillRect/>
                    </a:stretch>
                  </pic:blipFill>
                  <pic:spPr>
                    <a:xfrm>
                      <a:off x="0" y="0"/>
                      <a:ext cx="7718425" cy="2593340"/>
                    </a:xfrm>
                    <a:prstGeom prst="rect">
                      <a:avLst/>
                    </a:prstGeom>
                    <a:noFill/>
                  </pic:spPr>
                </pic:pic>
              </a:graphicData>
            </a:graphic>
          </wp:anchor>
        </w:drawing>
      </w:r>
    </w:p>
    <w:p>
      <w:pPr>
        <w:jc w:val="center"/>
        <w:rPr>
          <w:rFonts w:cs="宋体"/>
          <w:sz w:val="44"/>
          <w:szCs w:val="44"/>
          <w:highlight w:val="none"/>
        </w:rPr>
      </w:pPr>
    </w:p>
    <w:p>
      <w:pPr>
        <w:jc w:val="center"/>
        <w:rPr>
          <w:rFonts w:cs="宋体"/>
          <w:sz w:val="44"/>
          <w:szCs w:val="44"/>
          <w:highlight w:val="none"/>
        </w:rPr>
      </w:pPr>
    </w:p>
    <w:p>
      <w:pPr>
        <w:jc w:val="center"/>
        <w:rPr>
          <w:rFonts w:cs="宋体"/>
          <w:sz w:val="44"/>
          <w:szCs w:val="44"/>
          <w:highlight w:val="none"/>
        </w:rPr>
      </w:pPr>
    </w:p>
    <w:p>
      <w:pPr>
        <w:jc w:val="center"/>
        <w:rPr>
          <w:rFonts w:cs="宋体"/>
          <w:sz w:val="44"/>
          <w:szCs w:val="44"/>
          <w:highlight w:val="none"/>
        </w:rPr>
      </w:pPr>
    </w:p>
    <w:p>
      <w:pPr>
        <w:jc w:val="center"/>
        <w:rPr>
          <w:rFonts w:ascii="宋体" w:hAnsi="宋体" w:eastAsia="宋体" w:cs="宋体"/>
          <w:b/>
          <w:color w:val="auto"/>
          <w:sz w:val="44"/>
          <w:szCs w:val="44"/>
          <w:highlight w:val="none"/>
          <w:lang w:val="en-US" w:eastAsia="zh-CN"/>
        </w:rPr>
      </w:pPr>
      <w:r>
        <w:rPr>
          <w:rFonts w:hint="eastAsia" w:ascii="宋体" w:hAnsi="宋体" w:cs="宋体"/>
          <w:b/>
          <w:bCs/>
          <w:color w:val="auto"/>
          <w:sz w:val="44"/>
          <w:szCs w:val="44"/>
          <w:highlight w:val="none"/>
          <w:lang w:val="en-US" w:eastAsia="zh-CN"/>
        </w:rPr>
        <w:t>桂林培训评价基地（南溪）多功能教室应急电源购置安装</w:t>
      </w:r>
      <w:r>
        <w:rPr>
          <w:rFonts w:hint="eastAsia" w:cs="宋体"/>
          <w:b/>
          <w:bCs/>
          <w:color w:val="auto"/>
          <w:sz w:val="44"/>
          <w:szCs w:val="44"/>
          <w:highlight w:val="none"/>
          <w:lang w:val="en-US" w:eastAsia="zh-CN"/>
        </w:rPr>
        <w:t>—</w:t>
      </w:r>
      <w:r>
        <w:rPr>
          <w:rFonts w:hint="eastAsia" w:ascii="宋体" w:hAnsi="宋体" w:cs="宋体"/>
          <w:b/>
          <w:bCs/>
          <w:color w:val="auto"/>
          <w:sz w:val="44"/>
          <w:szCs w:val="44"/>
          <w:highlight w:val="none"/>
          <w:lang w:val="en-US" w:eastAsia="zh-CN"/>
        </w:rPr>
        <w:t>屏柜</w:t>
      </w:r>
      <w:r>
        <w:rPr>
          <w:rFonts w:ascii="宋体" w:hAnsi="宋体" w:cs="宋体"/>
          <w:b/>
          <w:bCs/>
          <w:color w:val="auto"/>
          <w:sz w:val="44"/>
          <w:szCs w:val="44"/>
          <w:highlight w:val="none"/>
          <w:lang w:val="en-US" w:eastAsia="zh-CN"/>
        </w:rPr>
        <w:t>技术规范</w:t>
      </w: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rPr>
          <w:rFonts w:cs="宋体"/>
          <w:highlight w:val="none"/>
        </w:rPr>
      </w:pPr>
    </w:p>
    <w:p>
      <w:pPr>
        <w:jc w:val="center"/>
        <w:rPr>
          <w:rFonts w:cs="宋体"/>
          <w:b/>
          <w:sz w:val="28"/>
          <w:szCs w:val="32"/>
          <w:highlight w:val="none"/>
          <w:lang w:eastAsia="zh-CN"/>
        </w:rPr>
      </w:pPr>
      <w:r>
        <w:rPr>
          <w:rFonts w:cs="宋体"/>
          <w:b/>
          <w:sz w:val="28"/>
          <w:szCs w:val="32"/>
          <w:highlight w:val="none"/>
          <w:lang w:eastAsia="zh-CN"/>
        </w:rPr>
        <w:t>广西电网有限责任公司人才发展中心</w:t>
      </w:r>
    </w:p>
    <w:p>
      <w:pPr>
        <w:jc w:val="center"/>
        <w:rPr>
          <w:rFonts w:cs="宋体"/>
          <w:b/>
          <w:sz w:val="28"/>
          <w:szCs w:val="32"/>
          <w:highlight w:val="none"/>
        </w:rPr>
      </w:pPr>
      <w:r>
        <w:rPr>
          <w:rFonts w:cs="宋体"/>
          <w:b/>
          <w:sz w:val="28"/>
          <w:szCs w:val="32"/>
          <w:highlight w:val="none"/>
          <w:lang w:eastAsia="zh-CN"/>
        </w:rPr>
        <w:t>202</w:t>
      </w:r>
      <w:r>
        <w:rPr>
          <w:rFonts w:cs="宋体"/>
          <w:b/>
          <w:sz w:val="28"/>
          <w:szCs w:val="32"/>
          <w:highlight w:val="none"/>
          <w:lang w:val="en-US" w:eastAsia="zh-CN"/>
        </w:rPr>
        <w:t>5</w:t>
      </w:r>
      <w:r>
        <w:rPr>
          <w:rFonts w:cs="宋体"/>
          <w:b/>
          <w:sz w:val="28"/>
          <w:szCs w:val="32"/>
          <w:highlight w:val="none"/>
          <w:lang w:eastAsia="zh-CN"/>
        </w:rPr>
        <w:t>年</w:t>
      </w:r>
      <w:r>
        <w:rPr>
          <w:rFonts w:cs="宋体"/>
          <w:b/>
          <w:sz w:val="28"/>
          <w:szCs w:val="32"/>
          <w:highlight w:val="none"/>
          <w:lang w:val="en-US" w:eastAsia="zh-CN"/>
        </w:rPr>
        <w:t>10</w:t>
      </w:r>
      <w:r>
        <w:rPr>
          <w:rFonts w:cs="宋体"/>
          <w:b/>
          <w:sz w:val="28"/>
          <w:szCs w:val="32"/>
          <w:highlight w:val="none"/>
        </w:rPr>
        <w:t>月</w:t>
      </w:r>
      <w:r>
        <w:rPr>
          <w:highlight w:val="none"/>
        </w:rPr>
        <w:br w:type="page"/>
      </w:r>
    </w:p>
    <w:p>
      <w:pPr>
        <w:spacing w:before="0" w:after="0"/>
        <w:jc w:val="center"/>
        <w:rPr>
          <w:rFonts w:cs="宋体"/>
          <w:b/>
          <w:highlight w:val="none"/>
        </w:rPr>
      </w:pPr>
      <w:r>
        <w:rPr>
          <w:rFonts w:cs="宋体"/>
          <w:b/>
          <w:sz w:val="32"/>
          <w:highlight w:val="none"/>
        </w:rPr>
        <w:t>目  录</w:t>
      </w:r>
    </w:p>
    <w:sdt>
      <w:sdtPr>
        <w:rPr>
          <w:highlight w:val="none"/>
        </w:rPr>
        <w:id w:val="1"/>
        <w:docPartObj>
          <w:docPartGallery w:val="Table of Contents"/>
          <w:docPartUnique/>
        </w:docPartObj>
      </w:sdtPr>
      <w:sdtEndPr>
        <w:rPr>
          <w:highlight w:val="none"/>
        </w:rPr>
      </w:sdtEndPr>
      <w:sdtContent>
        <w:p>
          <w:pPr>
            <w:pStyle w:val="13"/>
            <w:tabs>
              <w:tab w:val="right" w:leader="dot" w:pos="8306"/>
              <w:tab w:val="clear" w:pos="8296"/>
            </w:tabs>
            <w:rPr>
              <w:highlight w:val="none"/>
            </w:rPr>
          </w:pPr>
          <w:r>
            <w:rPr>
              <w:highlight w:val="none"/>
            </w:rPr>
            <w:fldChar w:fldCharType="begin"/>
          </w:r>
          <w:r>
            <w:rPr>
              <w:rStyle w:val="23"/>
              <w:rFonts w:eastAsia="宋体" w:cs="宋体"/>
              <w:i w:val="0"/>
              <w:vanish w:val="0"/>
              <w:szCs w:val="24"/>
              <w:highlight w:val="none"/>
            </w:rPr>
            <w:instrText xml:space="preserve"> TOC \z \o "1-1" \u \h</w:instrText>
          </w:r>
          <w:r>
            <w:rPr>
              <w:rStyle w:val="23"/>
              <w:rFonts w:eastAsia="宋体" w:cs="宋体"/>
              <w:i w:val="0"/>
              <w:vanish w:val="0"/>
              <w:szCs w:val="24"/>
              <w:highlight w:val="none"/>
            </w:rPr>
            <w:fldChar w:fldCharType="separate"/>
          </w:r>
          <w:r>
            <w:rPr>
              <w:highlight w:val="none"/>
            </w:rPr>
            <w:fldChar w:fldCharType="begin"/>
          </w:r>
          <w:r>
            <w:rPr>
              <w:highlight w:val="none"/>
            </w:rPr>
            <w:instrText xml:space="preserve"> HYPERLINK \l "_Toc21501" \h </w:instrText>
          </w:r>
          <w:r>
            <w:rPr>
              <w:highlight w:val="none"/>
            </w:rPr>
            <w:fldChar w:fldCharType="separate"/>
          </w:r>
          <w:r>
            <w:rPr>
              <w:rStyle w:val="23"/>
              <w:rFonts w:eastAsia="宋体" w:cs="宋体"/>
              <w:i w:val="0"/>
              <w:vanish w:val="0"/>
              <w:szCs w:val="24"/>
              <w:highlight w:val="none"/>
            </w:rPr>
            <w:t xml:space="preserve">1 </w:t>
          </w:r>
          <w:r>
            <w:rPr>
              <w:rStyle w:val="23"/>
              <w:rFonts w:cs="宋体"/>
              <w:szCs w:val="24"/>
              <w:highlight w:val="none"/>
            </w:rPr>
            <w:t>总则</w:t>
          </w:r>
          <w:r>
            <w:rPr>
              <w:highlight w:val="none"/>
            </w:rPr>
            <w:fldChar w:fldCharType="begin"/>
          </w:r>
          <w:r>
            <w:rPr>
              <w:highlight w:val="none"/>
            </w:rPr>
            <w:instrText xml:space="preserve">PAGEREF _Toc21501 \h</w:instrText>
          </w:r>
          <w:r>
            <w:rPr>
              <w:highlight w:val="none"/>
            </w:rPr>
            <w:fldChar w:fldCharType="separate"/>
          </w:r>
          <w:r>
            <w:rPr>
              <w:rStyle w:val="23"/>
              <w:vanish w:val="0"/>
              <w:highlight w:val="none"/>
            </w:rPr>
            <w:tab/>
          </w:r>
          <w:r>
            <w:rPr>
              <w:rStyle w:val="23"/>
              <w:vanish w:val="0"/>
              <w:highlight w:val="none"/>
            </w:rPr>
            <w:t>1</w:t>
          </w:r>
          <w:r>
            <w:rPr>
              <w:highlight w:val="none"/>
            </w:rPr>
            <w:fldChar w:fldCharType="end"/>
          </w:r>
          <w:r>
            <w:rPr>
              <w:highlight w:val="none"/>
            </w:rPr>
            <w:fldChar w:fldCharType="end"/>
          </w:r>
        </w:p>
        <w:p>
          <w:pPr>
            <w:pStyle w:val="13"/>
            <w:tabs>
              <w:tab w:val="right" w:leader="dot" w:pos="8306"/>
              <w:tab w:val="clear" w:pos="8296"/>
            </w:tabs>
            <w:rPr>
              <w:highlight w:val="none"/>
            </w:rPr>
          </w:pPr>
          <w:r>
            <w:rPr>
              <w:highlight w:val="none"/>
            </w:rPr>
            <w:fldChar w:fldCharType="begin"/>
          </w:r>
          <w:r>
            <w:rPr>
              <w:highlight w:val="none"/>
            </w:rPr>
            <w:instrText xml:space="preserve"> HYPERLINK \l "_Toc10585" \h </w:instrText>
          </w:r>
          <w:r>
            <w:rPr>
              <w:highlight w:val="none"/>
            </w:rPr>
            <w:fldChar w:fldCharType="separate"/>
          </w:r>
          <w:r>
            <w:rPr>
              <w:rStyle w:val="23"/>
              <w:rFonts w:eastAsia="宋体" w:cs="宋体"/>
              <w:i w:val="0"/>
              <w:vanish w:val="0"/>
              <w:szCs w:val="24"/>
              <w:highlight w:val="none"/>
            </w:rPr>
            <w:t xml:space="preserve">2 </w:t>
          </w:r>
          <w:r>
            <w:rPr>
              <w:rStyle w:val="23"/>
              <w:rFonts w:cs="宋体"/>
              <w:szCs w:val="24"/>
              <w:highlight w:val="none"/>
            </w:rPr>
            <w:t>范围</w:t>
          </w:r>
          <w:r>
            <w:rPr>
              <w:rStyle w:val="23"/>
              <w:highlight w:val="none"/>
            </w:rPr>
            <w:tab/>
          </w:r>
          <w:r>
            <w:rPr>
              <w:highlight w:val="none"/>
            </w:rPr>
            <w:fldChar w:fldCharType="begin"/>
          </w:r>
          <w:r>
            <w:rPr>
              <w:highlight w:val="none"/>
            </w:rPr>
            <w:instrText xml:space="preserve">PAGEREF _Toc10585 \h</w:instrText>
          </w:r>
          <w:r>
            <w:rPr>
              <w:highlight w:val="none"/>
            </w:rPr>
            <w:fldChar w:fldCharType="separate"/>
          </w:r>
          <w:r>
            <w:rPr>
              <w:rStyle w:val="23"/>
              <w:vanish w:val="0"/>
              <w:highlight w:val="none"/>
              <w:lang w:val="en-US" w:eastAsia="zh-CN"/>
            </w:rPr>
            <w:t>4</w:t>
          </w:r>
          <w:r>
            <w:rPr>
              <w:highlight w:val="none"/>
            </w:rPr>
            <w:fldChar w:fldCharType="end"/>
          </w:r>
          <w:r>
            <w:rPr>
              <w:highlight w:val="none"/>
            </w:rPr>
            <w:fldChar w:fldCharType="end"/>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"_Toc15309" \h </w:instrText>
          </w:r>
          <w:r>
            <w:rPr>
              <w:highlight w:val="none"/>
            </w:rPr>
            <w:fldChar w:fldCharType="separate"/>
          </w:r>
          <w:r>
            <w:rPr>
              <w:rStyle w:val="23"/>
              <w:rFonts w:eastAsia="宋体" w:cs="宋体"/>
              <w:i w:val="0"/>
              <w:vanish w:val="0"/>
              <w:szCs w:val="24"/>
              <w:highlight w:val="none"/>
            </w:rPr>
            <w:t xml:space="preserve">3 </w:t>
          </w:r>
          <w:r>
            <w:rPr>
              <w:rStyle w:val="23"/>
              <w:rFonts w:cs="宋体"/>
              <w:szCs w:val="24"/>
              <w:highlight w:val="none"/>
            </w:rPr>
            <w:t>应遵循的主要标准</w:t>
          </w:r>
          <w:r>
            <w:rPr>
              <w:rStyle w:val="23"/>
              <w:highlight w:val="none"/>
            </w:rPr>
            <w:tab/>
          </w:r>
          <w:r>
            <w:rPr>
              <w:rStyle w:val="23"/>
              <w:highlight w:val="none"/>
            </w:rPr>
            <w:fldChar w:fldCharType="end"/>
          </w:r>
          <w:r>
            <w:rPr>
              <w:rFonts w:cs="宋体"/>
              <w:highlight w:val="none"/>
              <w:lang w:val="en-US" w:eastAsia="zh-CN"/>
            </w:rPr>
            <w:t>6</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"_Toc5129" \h </w:instrText>
          </w:r>
          <w:r>
            <w:rPr>
              <w:highlight w:val="none"/>
            </w:rPr>
            <w:fldChar w:fldCharType="separate"/>
          </w:r>
          <w:r>
            <w:rPr>
              <w:rStyle w:val="23"/>
              <w:rFonts w:eastAsia="宋体" w:cs="宋体"/>
              <w:i w:val="0"/>
              <w:vanish w:val="0"/>
              <w:szCs w:val="24"/>
              <w:highlight w:val="none"/>
            </w:rPr>
            <w:t xml:space="preserve">4 </w:t>
          </w:r>
          <w:r>
            <w:rPr>
              <w:rStyle w:val="23"/>
              <w:rFonts w:cs="宋体"/>
              <w:szCs w:val="24"/>
              <w:highlight w:val="none"/>
            </w:rPr>
            <w:t>使用条件</w:t>
          </w:r>
          <w:r>
            <w:rPr>
              <w:rStyle w:val="23"/>
              <w:highlight w:val="none"/>
            </w:rPr>
            <w:tab/>
          </w:r>
          <w:r>
            <w:rPr>
              <w:rStyle w:val="23"/>
              <w:highlight w:val="none"/>
            </w:rPr>
            <w:fldChar w:fldCharType="end"/>
          </w:r>
          <w:r>
            <w:rPr>
              <w:rFonts w:cs="宋体"/>
              <w:highlight w:val="none"/>
              <w:lang w:val="en-US" w:eastAsia="zh-CN"/>
            </w:rPr>
            <w:t>7</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"_Toc18173" \h </w:instrText>
          </w:r>
          <w:r>
            <w:rPr>
              <w:highlight w:val="none"/>
            </w:rPr>
            <w:fldChar w:fldCharType="separate"/>
          </w:r>
          <w:r>
            <w:rPr>
              <w:rStyle w:val="23"/>
              <w:rFonts w:eastAsia="宋体" w:cs="宋体"/>
              <w:i w:val="0"/>
              <w:vanish w:val="0"/>
              <w:szCs w:val="24"/>
              <w:highlight w:val="none"/>
            </w:rPr>
            <w:t xml:space="preserve">5 </w:t>
          </w:r>
          <w:r>
            <w:rPr>
              <w:rStyle w:val="23"/>
              <w:rFonts w:cs="宋体"/>
              <w:szCs w:val="24"/>
              <w:highlight w:val="none"/>
            </w:rPr>
            <w:t>技术要求</w:t>
          </w:r>
          <w:r>
            <w:rPr>
              <w:rStyle w:val="23"/>
              <w:highlight w:val="none"/>
            </w:rPr>
            <w:tab/>
          </w:r>
          <w:r>
            <w:rPr>
              <w:rStyle w:val="23"/>
              <w:highlight w:val="none"/>
            </w:rPr>
            <w:fldChar w:fldCharType="end"/>
          </w:r>
          <w:r>
            <w:rPr>
              <w:rFonts w:cs="宋体"/>
              <w:highlight w:val="none"/>
              <w:lang w:val="en-US" w:eastAsia="zh-CN"/>
            </w:rPr>
            <w:t>7</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"_Toc31703" \h </w:instrText>
          </w:r>
          <w:r>
            <w:rPr>
              <w:highlight w:val="none"/>
            </w:rPr>
            <w:fldChar w:fldCharType="separate"/>
          </w:r>
          <w:r>
            <w:rPr>
              <w:rStyle w:val="23"/>
              <w:rFonts w:eastAsia="宋体" w:cs="宋体"/>
              <w:i w:val="0"/>
              <w:vanish w:val="0"/>
              <w:szCs w:val="24"/>
              <w:highlight w:val="none"/>
            </w:rPr>
            <w:t xml:space="preserve">6 </w:t>
          </w:r>
          <w:r>
            <w:rPr>
              <w:rStyle w:val="23"/>
              <w:rFonts w:cs="宋体"/>
              <w:szCs w:val="24"/>
              <w:highlight w:val="none"/>
            </w:rPr>
            <w:t>试验及验收</w:t>
          </w:r>
          <w:r>
            <w:rPr>
              <w:rStyle w:val="23"/>
              <w:highlight w:val="none"/>
            </w:rPr>
            <w:tab/>
          </w:r>
          <w:r>
            <w:rPr>
              <w:rStyle w:val="23"/>
              <w:highlight w:val="none"/>
            </w:rPr>
            <w:fldChar w:fldCharType="end"/>
          </w:r>
          <w:r>
            <w:rPr>
              <w:rFonts w:cs="宋体"/>
              <w:highlight w:val="none"/>
              <w:lang w:val="en-US" w:eastAsia="zh-CN"/>
            </w:rPr>
            <w:t>10</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"_Toc12820" \h </w:instrText>
          </w:r>
          <w:r>
            <w:rPr>
              <w:highlight w:val="none"/>
            </w:rPr>
            <w:fldChar w:fldCharType="separate"/>
          </w:r>
          <w:r>
            <w:rPr>
              <w:rStyle w:val="23"/>
              <w:rFonts w:eastAsia="宋体" w:cs="宋体"/>
              <w:i w:val="0"/>
              <w:vanish w:val="0"/>
              <w:szCs w:val="24"/>
              <w:highlight w:val="none"/>
            </w:rPr>
            <w:t xml:space="preserve">7 </w:t>
          </w:r>
          <w:r>
            <w:rPr>
              <w:rStyle w:val="23"/>
              <w:rFonts w:cs="宋体"/>
              <w:szCs w:val="24"/>
              <w:highlight w:val="none"/>
            </w:rPr>
            <w:t>监造、包装、运输、安装及质量保证</w:t>
          </w:r>
          <w:r>
            <w:rPr>
              <w:rStyle w:val="23"/>
              <w:highlight w:val="none"/>
            </w:rPr>
            <w:tab/>
          </w:r>
          <w:r>
            <w:rPr>
              <w:rStyle w:val="23"/>
              <w:highlight w:val="none"/>
            </w:rPr>
            <w:fldChar w:fldCharType="end"/>
          </w:r>
          <w:r>
            <w:rPr>
              <w:rFonts w:cs="宋体"/>
              <w:highlight w:val="none"/>
              <w:lang w:val="en-US" w:eastAsia="zh-CN"/>
            </w:rPr>
            <w:t>10</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"_Toc5930" \h </w:instrText>
          </w:r>
          <w:r>
            <w:rPr>
              <w:highlight w:val="none"/>
            </w:rPr>
            <w:fldChar w:fldCharType="separate"/>
          </w:r>
          <w:r>
            <w:rPr>
              <w:rStyle w:val="23"/>
              <w:rFonts w:eastAsia="宋体" w:cs="宋体"/>
              <w:i w:val="0"/>
              <w:vanish w:val="0"/>
              <w:szCs w:val="24"/>
              <w:highlight w:val="none"/>
            </w:rPr>
            <w:t xml:space="preserve">8 </w:t>
          </w:r>
          <w:r>
            <w:rPr>
              <w:rStyle w:val="23"/>
              <w:rFonts w:cs="宋体"/>
              <w:szCs w:val="24"/>
              <w:highlight w:val="none"/>
            </w:rPr>
            <w:t>双方工作安排</w:t>
          </w:r>
          <w:r>
            <w:rPr>
              <w:rStyle w:val="23"/>
              <w:highlight w:val="none"/>
            </w:rPr>
            <w:tab/>
          </w:r>
          <w:r>
            <w:rPr>
              <w:rStyle w:val="23"/>
              <w:highlight w:val="none"/>
            </w:rPr>
            <w:fldChar w:fldCharType="end"/>
          </w:r>
          <w:r>
            <w:rPr>
              <w:rFonts w:cs="宋体"/>
              <w:highlight w:val="none"/>
              <w:lang w:val="en-US" w:eastAsia="zh-CN"/>
            </w:rPr>
            <w:t>11</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"_Toc32243" \h </w:instrText>
          </w:r>
          <w:r>
            <w:rPr>
              <w:highlight w:val="none"/>
            </w:rPr>
            <w:fldChar w:fldCharType="separate"/>
          </w:r>
          <w:r>
            <w:rPr>
              <w:rStyle w:val="23"/>
              <w:rFonts w:eastAsia="宋体" w:cs="宋体"/>
              <w:i w:val="0"/>
              <w:vanish w:val="0"/>
              <w:szCs w:val="24"/>
              <w:highlight w:val="none"/>
            </w:rPr>
            <w:t xml:space="preserve">9 </w:t>
          </w:r>
          <w:r>
            <w:rPr>
              <w:rStyle w:val="23"/>
              <w:rFonts w:cs="宋体"/>
              <w:szCs w:val="24"/>
              <w:highlight w:val="none"/>
            </w:rPr>
            <w:t>备品备件及主要工器具</w:t>
          </w:r>
          <w:r>
            <w:rPr>
              <w:rStyle w:val="23"/>
              <w:highlight w:val="none"/>
            </w:rPr>
            <w:tab/>
          </w:r>
          <w:r>
            <w:rPr>
              <w:rStyle w:val="23"/>
              <w:highlight w:val="none"/>
            </w:rPr>
            <w:fldChar w:fldCharType="end"/>
          </w:r>
          <w:r>
            <w:rPr>
              <w:rFonts w:cs="宋体"/>
              <w:highlight w:val="none"/>
              <w:lang w:val="en-US" w:eastAsia="zh-CN"/>
            </w:rPr>
            <w:t>13</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"_Toc13249" \h </w:instrText>
          </w:r>
          <w:r>
            <w:rPr>
              <w:highlight w:val="none"/>
            </w:rPr>
            <w:fldChar w:fldCharType="separate"/>
          </w:r>
          <w:r>
            <w:rPr>
              <w:rStyle w:val="23"/>
              <w:rFonts w:eastAsia="宋体" w:cs="宋体"/>
              <w:i w:val="0"/>
              <w:vanish w:val="0"/>
              <w:szCs w:val="24"/>
              <w:highlight w:val="none"/>
            </w:rPr>
            <w:t>1</w:t>
          </w:r>
          <w:r>
            <w:rPr>
              <w:rStyle w:val="23"/>
              <w:rFonts w:cs="宋体"/>
              <w:i w:val="0"/>
              <w:szCs w:val="24"/>
              <w:highlight w:val="none"/>
              <w:lang w:val="en-US" w:eastAsia="zh-CN"/>
            </w:rPr>
            <w:t>0</w:t>
          </w:r>
          <w:r>
            <w:rPr>
              <w:rStyle w:val="23"/>
              <w:rFonts w:eastAsia="宋体" w:cs="宋体"/>
              <w:i w:val="0"/>
              <w:szCs w:val="24"/>
              <w:highlight w:val="none"/>
            </w:rPr>
            <w:t xml:space="preserve"> </w:t>
          </w:r>
          <w:r>
            <w:rPr>
              <w:rStyle w:val="23"/>
              <w:rFonts w:cs="宋体"/>
              <w:szCs w:val="24"/>
              <w:highlight w:val="none"/>
            </w:rPr>
            <w:t>技术性能偏差表</w:t>
          </w:r>
          <w:r>
            <w:rPr>
              <w:rStyle w:val="23"/>
              <w:highlight w:val="none"/>
            </w:rPr>
            <w:tab/>
          </w:r>
          <w:r>
            <w:rPr>
              <w:rStyle w:val="23"/>
              <w:highlight w:val="none"/>
            </w:rPr>
            <w:fldChar w:fldCharType="end"/>
          </w:r>
          <w:r>
            <w:rPr>
              <w:rFonts w:cs="宋体"/>
              <w:highlight w:val="none"/>
              <w:lang w:val="en-US" w:eastAsia="zh-CN"/>
            </w:rPr>
            <w:t>14</w:t>
          </w:r>
        </w:p>
        <w:p>
          <w:pPr>
            <w:pStyle w:val="13"/>
            <w:tabs>
              <w:tab w:val="right" w:leader="dot" w:pos="8306"/>
              <w:tab w:val="clear" w:pos="8296"/>
            </w:tabs>
            <w:rPr>
              <w:rFonts w:eastAsia="宋体"/>
              <w:highlight w:val="none"/>
              <w:lang w:val="en-US" w:eastAsia="zh-CN"/>
            </w:rPr>
          </w:pPr>
          <w:r>
            <w:rPr>
              <w:highlight w:val="none"/>
            </w:rPr>
            <w:fldChar w:fldCharType="begin"/>
          </w:r>
          <w:r>
            <w:rPr>
              <w:highlight w:val="none"/>
            </w:rPr>
            <w:instrText xml:space="preserve"> HYPERLINK \l "_Toc8825" \h </w:instrText>
          </w:r>
          <w:r>
            <w:rPr>
              <w:highlight w:val="none"/>
            </w:rPr>
            <w:fldChar w:fldCharType="separate"/>
          </w:r>
          <w:r>
            <w:rPr>
              <w:rStyle w:val="23"/>
              <w:rFonts w:eastAsia="宋体" w:cs="宋体"/>
              <w:i w:val="0"/>
              <w:vanish w:val="0"/>
              <w:szCs w:val="24"/>
              <w:highlight w:val="none"/>
            </w:rPr>
            <w:t>1</w:t>
          </w:r>
          <w:r>
            <w:rPr>
              <w:rStyle w:val="23"/>
              <w:rFonts w:cs="宋体"/>
              <w:i w:val="0"/>
              <w:szCs w:val="24"/>
              <w:highlight w:val="none"/>
              <w:lang w:val="en-US" w:eastAsia="zh-CN"/>
            </w:rPr>
            <w:t>1</w:t>
          </w:r>
          <w:r>
            <w:rPr>
              <w:rStyle w:val="23"/>
              <w:rFonts w:eastAsia="宋体" w:cs="宋体"/>
              <w:i w:val="0"/>
              <w:szCs w:val="24"/>
              <w:highlight w:val="none"/>
            </w:rPr>
            <w:t xml:space="preserve"> </w:t>
          </w:r>
          <w:r>
            <w:rPr>
              <w:rStyle w:val="23"/>
              <w:rFonts w:cs="宋体"/>
              <w:szCs w:val="24"/>
              <w:highlight w:val="none"/>
            </w:rPr>
            <w:t>投标方需要说明的其它问题</w:t>
          </w:r>
          <w:r>
            <w:rPr>
              <w:rStyle w:val="23"/>
              <w:highlight w:val="none"/>
            </w:rPr>
            <w:tab/>
          </w:r>
          <w:r>
            <w:rPr>
              <w:rStyle w:val="23"/>
              <w:highlight w:val="none"/>
            </w:rPr>
            <w:fldChar w:fldCharType="end"/>
          </w:r>
          <w:r>
            <w:rPr>
              <w:rFonts w:cs="宋体"/>
              <w:highlight w:val="none"/>
              <w:lang w:val="en-US" w:eastAsia="zh-CN"/>
            </w:rPr>
            <w:t>15</w:t>
          </w:r>
          <w:r>
            <w:rPr>
              <w:rFonts w:cs="宋体"/>
              <w:highlight w:val="none"/>
              <w:lang w:val="en-US" w:eastAsia="zh-CN"/>
            </w:rPr>
            <w:fldChar w:fldCharType="end"/>
          </w:r>
        </w:p>
        <w:p>
          <w:pPr>
            <w:rPr>
              <w:highlight w:val="none"/>
            </w:rPr>
            <w:sectPr>
              <w:footerReference r:id="rId7" w:type="first"/>
              <w:footerReference r:id="rId5" w:type="default"/>
              <w:footerReference r:id="rId6" w:type="even"/>
              <w:pgSz w:w="11906" w:h="16838"/>
              <w:pgMar w:top="1440" w:right="1800" w:bottom="1440" w:left="1800" w:header="0" w:footer="992" w:gutter="0"/>
              <w:pgNumType w:fmt="decimal"/>
              <w:cols w:space="720" w:num="1"/>
              <w:formProt w:val="0"/>
              <w:docGrid w:type="lines" w:linePitch="312" w:charSpace="0"/>
            </w:sectPr>
          </w:pPr>
          <w:bookmarkStart w:id="89" w:name="_GoBack"/>
          <w:bookmarkEnd w:id="89"/>
        </w:p>
      </w:sdtContent>
    </w:sdt>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0" w:name="_Toc21501"/>
      <w:r>
        <w:rPr>
          <w:rFonts w:ascii="宋体" w:hAnsi="宋体" w:cs="宋体"/>
          <w:szCs w:val="24"/>
          <w:highlight w:val="none"/>
        </w:rPr>
        <w:t>总则</w:t>
      </w:r>
      <w:bookmarkEnd w:id="0"/>
    </w:p>
    <w:p>
      <w:pPr>
        <w:pStyle w:val="32"/>
        <w:spacing w:line="360" w:lineRule="auto"/>
        <w:ind w:left="0"/>
        <w:outlineLvl w:val="9"/>
        <w:rPr>
          <w:rFonts w:ascii="宋体" w:hAnsi="宋体" w:eastAsia="宋体" w:cs="宋体"/>
          <w:color w:val="auto"/>
          <w:highlight w:val="none"/>
        </w:rPr>
      </w:pPr>
      <w:bookmarkStart w:id="1" w:name="_Toc245283789"/>
      <w:bookmarkStart w:id="2" w:name="_Toc245434915"/>
      <w:bookmarkStart w:id="3" w:name="_Toc245283687"/>
      <w:r>
        <w:rPr>
          <w:rFonts w:ascii="宋体" w:hAnsi="宋体" w:cs="宋体"/>
          <w:color w:val="auto"/>
          <w:highlight w:val="none"/>
        </w:rPr>
        <w:t>本文件为</w:t>
      </w:r>
      <w:r>
        <w:rPr>
          <w:rFonts w:hint="eastAsia" w:ascii="宋体" w:hAnsi="宋体" w:cs="宋体"/>
          <w:b/>
          <w:bCs/>
          <w:color w:val="000000"/>
          <w:kern w:val="0"/>
          <w:sz w:val="24"/>
          <w:szCs w:val="24"/>
          <w:highlight w:val="none"/>
          <w:lang w:val="en-US" w:eastAsia="zh-CN" w:bidi="ar-SA"/>
        </w:rPr>
        <w:t>桂林培训评价基地（南溪）多功能教室应急电源购置安装</w:t>
      </w:r>
      <w:r>
        <w:rPr>
          <w:rFonts w:hint="eastAsia" w:cs="宋体"/>
          <w:b/>
          <w:bCs/>
          <w:color w:val="000000"/>
          <w:kern w:val="0"/>
          <w:sz w:val="24"/>
          <w:szCs w:val="24"/>
          <w:highlight w:val="none"/>
          <w:lang w:val="en-US" w:eastAsia="zh-CN" w:bidi="ar-SA"/>
        </w:rPr>
        <w:t>—</w:t>
      </w:r>
      <w:r>
        <w:rPr>
          <w:rFonts w:hint="eastAsia" w:ascii="宋体" w:hAnsi="宋体" w:cs="宋体"/>
          <w:b/>
          <w:bCs/>
          <w:color w:val="000000"/>
          <w:kern w:val="0"/>
          <w:sz w:val="24"/>
          <w:szCs w:val="24"/>
          <w:highlight w:val="none"/>
          <w:lang w:val="en-US" w:eastAsia="zh-CN" w:bidi="ar-SA"/>
        </w:rPr>
        <w:t>屏柜</w:t>
      </w:r>
      <w:r>
        <w:rPr>
          <w:rFonts w:ascii="宋体" w:hAnsi="宋体" w:cs="宋体"/>
          <w:b/>
          <w:bCs/>
          <w:color w:val="000000"/>
          <w:kern w:val="0"/>
          <w:sz w:val="24"/>
          <w:szCs w:val="24"/>
          <w:highlight w:val="none"/>
          <w:lang w:val="en-US" w:eastAsia="zh-CN" w:bidi="ar-SA"/>
        </w:rPr>
        <w:t>技术规范</w:t>
      </w:r>
      <w:r>
        <w:rPr>
          <w:rFonts w:ascii="宋体" w:hAnsi="宋体" w:cs="宋体"/>
          <w:color w:val="auto"/>
          <w:highlight w:val="none"/>
        </w:rPr>
        <w:t>。投标方必须仔细阅读本文件的所有条款，以中文逐条做出明确答复（点对点应答）并给出相关技术指标偏差，提供技术建议书，提交设备配置清单及相关产品详细说明文档等附件资料。</w:t>
      </w:r>
      <w:bookmarkEnd w:id="1"/>
      <w:bookmarkEnd w:id="2"/>
      <w:bookmarkEnd w:id="3"/>
    </w:p>
    <w:p>
      <w:pPr>
        <w:pStyle w:val="32"/>
        <w:spacing w:line="360" w:lineRule="auto"/>
        <w:ind w:left="0"/>
        <w:outlineLvl w:val="9"/>
        <w:rPr>
          <w:rFonts w:ascii="宋体" w:hAnsi="宋体" w:eastAsia="宋体" w:cs="宋体"/>
          <w:color w:val="auto"/>
          <w:highlight w:val="none"/>
        </w:rPr>
      </w:pPr>
      <w:r>
        <w:rPr>
          <w:rFonts w:ascii="宋体" w:hAnsi="宋体" w:cs="宋体"/>
          <w:color w:val="auto"/>
          <w:highlight w:val="none"/>
        </w:rPr>
        <w:t>本技术规范书适用于</w:t>
      </w:r>
      <w:r>
        <w:rPr>
          <w:rFonts w:hint="eastAsia" w:ascii="宋体" w:hAnsi="宋体" w:cs="宋体"/>
          <w:b w:val="0"/>
          <w:bCs w:val="0"/>
          <w:color w:val="auto"/>
          <w:highlight w:val="none"/>
        </w:rPr>
        <w:t>桂林培训评价基地（南溪）多功能教室应急电源购置安装—屏柜</w:t>
      </w:r>
      <w:r>
        <w:rPr>
          <w:rFonts w:ascii="宋体" w:hAnsi="宋体" w:cs="宋体"/>
          <w:color w:val="auto"/>
          <w:highlight w:val="none"/>
        </w:rPr>
        <w:t>，它包含了所需设备及</w:t>
      </w:r>
      <w:r>
        <w:rPr>
          <w:rFonts w:ascii="宋体" w:hAnsi="宋体" w:cs="宋体"/>
          <w:color w:val="auto"/>
          <w:highlight w:val="none"/>
          <w:lang w:eastAsia="zh-CN"/>
        </w:rPr>
        <w:t>各设备的配套</w:t>
      </w:r>
      <w:r>
        <w:rPr>
          <w:rFonts w:ascii="宋体" w:hAnsi="宋体" w:cs="宋体"/>
          <w:color w:val="auto"/>
          <w:highlight w:val="none"/>
        </w:rPr>
        <w:t>集成，它提出了对</w:t>
      </w:r>
      <w:r>
        <w:rPr>
          <w:rFonts w:hint="eastAsia" w:ascii="宋体" w:hAnsi="宋体" w:cs="宋体"/>
          <w:b w:val="0"/>
          <w:bCs w:val="0"/>
          <w:color w:val="auto"/>
          <w:highlight w:val="none"/>
        </w:rPr>
        <w:t>屏柜</w:t>
      </w:r>
      <w:r>
        <w:rPr>
          <w:rFonts w:ascii="宋体" w:hAnsi="宋体" w:cs="宋体"/>
          <w:color w:val="auto"/>
          <w:highlight w:val="none"/>
        </w:rPr>
        <w:t>的各项主要功能、性能、供货、服务等要求，供投标方编写建议书和报价之用（建议书的内容格式符合本规范的要求），投标方结合自身特点，根据本规范书所描述的</w:t>
      </w:r>
      <w:r>
        <w:rPr>
          <w:rFonts w:cs="宋体"/>
          <w:color w:val="000000"/>
          <w:kern w:val="0"/>
          <w:sz w:val="24"/>
          <w:szCs w:val="24"/>
          <w:highlight w:val="none"/>
          <w:lang w:val="en-US" w:eastAsia="zh-CN" w:bidi="ar-SA"/>
        </w:rPr>
        <w:t>安全</w:t>
      </w:r>
      <w:r>
        <w:rPr>
          <w:rFonts w:ascii="宋体" w:hAnsi="宋体" w:cs="宋体"/>
          <w:color w:val="000000"/>
          <w:kern w:val="0"/>
          <w:sz w:val="24"/>
          <w:szCs w:val="24"/>
          <w:highlight w:val="none"/>
          <w:lang w:val="en-US" w:eastAsia="zh-CN" w:bidi="ar-SA"/>
        </w:rPr>
        <w:t>设备</w:t>
      </w:r>
      <w:r>
        <w:rPr>
          <w:rFonts w:ascii="宋体" w:hAnsi="宋体" w:cs="宋体"/>
          <w:color w:val="auto"/>
          <w:highlight w:val="none"/>
        </w:rPr>
        <w:t>具体要求，提供符合要求的产品。</w:t>
      </w:r>
    </w:p>
    <w:p>
      <w:pPr>
        <w:pStyle w:val="32"/>
        <w:spacing w:line="360" w:lineRule="auto"/>
        <w:ind w:left="0"/>
        <w:outlineLvl w:val="9"/>
        <w:rPr>
          <w:rFonts w:ascii="宋体" w:hAnsi="宋体" w:eastAsia="宋体" w:cs="宋体"/>
          <w:color w:val="auto"/>
          <w:highlight w:val="none"/>
        </w:rPr>
      </w:pPr>
      <w:bookmarkStart w:id="4" w:name="_Toc245283790"/>
      <w:bookmarkStart w:id="5" w:name="_Toc245434916"/>
      <w:bookmarkStart w:id="6" w:name="_Toc245283688"/>
      <w:r>
        <w:rPr>
          <w:rFonts w:ascii="宋体" w:hAnsi="宋体" w:cs="宋体"/>
          <w:color w:val="auto"/>
          <w:highlight w:val="none"/>
        </w:rPr>
        <w:t>本文件描述了所需</w:t>
      </w:r>
      <w:r>
        <w:rPr>
          <w:rFonts w:cs="宋体"/>
          <w:color w:val="auto"/>
          <w:highlight w:val="none"/>
          <w:lang w:eastAsia="zh-CN"/>
        </w:rPr>
        <w:t>安全设备</w:t>
      </w:r>
      <w:r>
        <w:rPr>
          <w:rFonts w:ascii="宋体" w:hAnsi="宋体" w:cs="宋体"/>
          <w:color w:val="000000"/>
          <w:kern w:val="0"/>
          <w:sz w:val="24"/>
          <w:szCs w:val="24"/>
          <w:highlight w:val="none"/>
          <w:lang w:val="en-US" w:eastAsia="zh-CN" w:bidi="ar-SA"/>
        </w:rPr>
        <w:t>设备</w:t>
      </w:r>
      <w:r>
        <w:rPr>
          <w:rFonts w:ascii="宋体" w:hAnsi="宋体" w:cs="宋体"/>
          <w:color w:val="auto"/>
          <w:highlight w:val="none"/>
        </w:rPr>
        <w:t>的功能、性能、安全性、数量需求及完成上述工程实施所需的辅助设施以及其他方面</w:t>
      </w:r>
      <w:bookmarkEnd w:id="4"/>
      <w:bookmarkEnd w:id="5"/>
      <w:bookmarkEnd w:id="6"/>
      <w:r>
        <w:rPr>
          <w:rFonts w:ascii="宋体" w:hAnsi="宋体" w:cs="宋体"/>
          <w:color w:val="auto"/>
          <w:highlight w:val="none"/>
        </w:rPr>
        <w:t>，对关键指标不满足不得投标。</w:t>
      </w:r>
    </w:p>
    <w:p>
      <w:pPr>
        <w:pStyle w:val="32"/>
        <w:spacing w:line="360" w:lineRule="auto"/>
        <w:ind w:left="0"/>
        <w:outlineLvl w:val="9"/>
        <w:rPr>
          <w:rFonts w:ascii="宋体" w:hAnsi="宋体" w:eastAsia="宋体" w:cs="宋体"/>
          <w:color w:val="auto"/>
          <w:highlight w:val="none"/>
        </w:rPr>
      </w:pPr>
      <w:bookmarkStart w:id="7" w:name="_Toc245283791"/>
      <w:bookmarkStart w:id="8" w:name="_Toc245283689"/>
      <w:bookmarkStart w:id="9" w:name="_Toc245434917"/>
      <w:r>
        <w:rPr>
          <w:rFonts w:ascii="宋体" w:hAnsi="宋体" w:cs="宋体"/>
          <w:color w:val="auto"/>
          <w:highlight w:val="none"/>
        </w:rPr>
        <w:t>本文件所描述的各种功能、性能、安全性需求仅供投标方编制投标文件之用。投标方可以提出不同的建议方案，但是建议方案需满足但不限于本标书所阐述的全部技术功能要求。</w:t>
      </w:r>
      <w:bookmarkEnd w:id="7"/>
      <w:bookmarkEnd w:id="8"/>
      <w:bookmarkEnd w:id="9"/>
    </w:p>
    <w:p>
      <w:pPr>
        <w:pStyle w:val="32"/>
        <w:spacing w:line="360" w:lineRule="auto"/>
        <w:ind w:left="0"/>
        <w:outlineLvl w:val="9"/>
        <w:rPr>
          <w:rFonts w:ascii="宋体" w:hAnsi="宋体" w:eastAsia="宋体" w:cs="宋体"/>
          <w:color w:val="auto"/>
          <w:highlight w:val="none"/>
        </w:rPr>
      </w:pPr>
      <w:bookmarkStart w:id="10" w:name="_Toc245283792"/>
      <w:bookmarkStart w:id="11" w:name="_Toc245434918"/>
      <w:bookmarkStart w:id="12" w:name="_Toc245283690"/>
      <w:r>
        <w:rPr>
          <w:rFonts w:ascii="宋体" w:hAnsi="宋体" w:cs="宋体"/>
          <w:color w:val="auto"/>
          <w:highlight w:val="none"/>
        </w:rPr>
        <w:t>投标方在投标文件中，对本标书逐项予以说明和答复，同时根据具体情况提出相关的建议，并附详细资料和说明。</w:t>
      </w:r>
      <w:bookmarkEnd w:id="10"/>
      <w:bookmarkEnd w:id="11"/>
      <w:bookmarkEnd w:id="12"/>
    </w:p>
    <w:p>
      <w:pPr>
        <w:pStyle w:val="32"/>
        <w:spacing w:line="360" w:lineRule="auto"/>
        <w:ind w:left="0"/>
        <w:outlineLvl w:val="9"/>
        <w:rPr>
          <w:rFonts w:ascii="宋体" w:hAnsi="宋体" w:eastAsia="宋体" w:cs="宋体"/>
          <w:color w:val="auto"/>
          <w:highlight w:val="none"/>
        </w:rPr>
      </w:pPr>
      <w:bookmarkStart w:id="13" w:name="_Toc245434919"/>
      <w:bookmarkStart w:id="14" w:name="_Toc245283793"/>
      <w:bookmarkStart w:id="15" w:name="_Toc245283691"/>
      <w:r>
        <w:rPr>
          <w:rFonts w:ascii="宋体" w:hAnsi="宋体" w:cs="宋体"/>
          <w:color w:val="auto"/>
          <w:highlight w:val="none"/>
        </w:rPr>
        <w:t>本标书仅描述基本的技术需求，不保证对一切技术细节做出规定，也不保证已充分引述有关标准和技术条文，投标方根据需求目标提供进一步具体的可满足要求的功能、性能和安全性指标。</w:t>
      </w:r>
      <w:bookmarkEnd w:id="13"/>
      <w:bookmarkEnd w:id="14"/>
      <w:bookmarkEnd w:id="15"/>
    </w:p>
    <w:p>
      <w:pPr>
        <w:pStyle w:val="32"/>
        <w:spacing w:line="360" w:lineRule="auto"/>
        <w:ind w:left="0"/>
        <w:outlineLvl w:val="9"/>
        <w:rPr>
          <w:rFonts w:ascii="宋体" w:hAnsi="宋体" w:eastAsia="宋体" w:cs="宋体"/>
          <w:color w:val="auto"/>
          <w:highlight w:val="none"/>
        </w:rPr>
      </w:pPr>
      <w:bookmarkStart w:id="16" w:name="_Toc245283692"/>
      <w:bookmarkStart w:id="17" w:name="_Toc205354768"/>
      <w:bookmarkStart w:id="18" w:name="_Toc245283794"/>
      <w:bookmarkStart w:id="19" w:name="_Toc245434920"/>
      <w:r>
        <w:rPr>
          <w:rFonts w:ascii="宋体" w:hAnsi="宋体" w:cs="宋体"/>
          <w:color w:val="auto"/>
          <w:highlight w:val="none"/>
        </w:rPr>
        <w:t>投标技术文件要求文字详细、数据准确、表述及图示清晰明确，具有针对性。</w:t>
      </w:r>
      <w:bookmarkEnd w:id="16"/>
      <w:bookmarkEnd w:id="17"/>
      <w:bookmarkEnd w:id="18"/>
      <w:bookmarkEnd w:id="19"/>
    </w:p>
    <w:p>
      <w:pPr>
        <w:pStyle w:val="32"/>
        <w:spacing w:line="360" w:lineRule="auto"/>
        <w:ind w:left="0"/>
        <w:outlineLvl w:val="9"/>
        <w:rPr>
          <w:rFonts w:ascii="宋体" w:hAnsi="宋体" w:eastAsia="宋体" w:cs="宋体"/>
          <w:color w:val="auto"/>
          <w:highlight w:val="none"/>
        </w:rPr>
      </w:pPr>
      <w:bookmarkStart w:id="20" w:name="_Toc245283693"/>
      <w:bookmarkStart w:id="21" w:name="_Toc245434921"/>
      <w:bookmarkStart w:id="22" w:name="_Toc245283795"/>
      <w:r>
        <w:rPr>
          <w:rFonts w:ascii="宋体" w:hAnsi="宋体" w:cs="宋体"/>
          <w:color w:val="auto"/>
          <w:highlight w:val="none"/>
        </w:rPr>
        <w:t>本招标技术条件书以中文编写，投标方对本招标技术条件书的答复分为规范书应答书、技术建议书两部分，采用中文书面形式回复，投标方提供所有答复和相关技术资料的电子版（以光盘形式提供，电子版文件无编译或读取权限限制</w:t>
      </w:r>
      <w:r>
        <w:rPr>
          <w:rFonts w:eastAsia="宋体" w:cs="宋体"/>
          <w:color w:val="auto"/>
          <w:highlight w:val="none"/>
        </w:rPr>
        <w:t>]</w:t>
      </w:r>
      <w:r>
        <w:rPr>
          <w:rFonts w:ascii="宋体" w:hAnsi="宋体" w:cs="宋体"/>
          <w:color w:val="auto"/>
          <w:highlight w:val="none"/>
        </w:rPr>
        <w:t>。）</w:t>
      </w:r>
      <w:bookmarkEnd w:id="20"/>
      <w:bookmarkEnd w:id="21"/>
      <w:bookmarkEnd w:id="22"/>
    </w:p>
    <w:p>
      <w:pPr>
        <w:pStyle w:val="32"/>
        <w:spacing w:line="360" w:lineRule="auto"/>
        <w:ind w:left="0"/>
        <w:outlineLvl w:val="9"/>
        <w:rPr>
          <w:rFonts w:ascii="宋体" w:hAnsi="宋体" w:eastAsia="宋体" w:cs="宋体"/>
          <w:color w:val="auto"/>
          <w:highlight w:val="none"/>
        </w:rPr>
      </w:pPr>
      <w:bookmarkStart w:id="23" w:name="_Toc245283796"/>
      <w:bookmarkStart w:id="24" w:name="_Toc245434922"/>
      <w:bookmarkStart w:id="25" w:name="_Toc245283694"/>
      <w:r>
        <w:rPr>
          <w:rFonts w:ascii="宋体" w:hAnsi="宋体" w:cs="宋体"/>
          <w:color w:val="auto"/>
          <w:highlight w:val="none"/>
        </w:rPr>
        <w:t>本招标技术条件书适用于</w:t>
      </w:r>
      <w:r>
        <w:rPr>
          <w:rFonts w:hint="eastAsia" w:cs="宋体"/>
          <w:color w:val="auto"/>
          <w:highlight w:val="none"/>
          <w:lang w:eastAsia="zh-CN"/>
        </w:rPr>
        <w:t>桂林培训评价基地（南溪）多功能教室应急电源购置安装—屏柜</w:t>
      </w:r>
      <w:r>
        <w:rPr>
          <w:rFonts w:ascii="宋体" w:hAnsi="宋体" w:cs="宋体"/>
          <w:color w:val="auto"/>
          <w:highlight w:val="none"/>
        </w:rPr>
        <w:t>，它包含了所需</w:t>
      </w:r>
      <w:r>
        <w:rPr>
          <w:rFonts w:cs="宋体"/>
          <w:color w:val="000000"/>
          <w:kern w:val="0"/>
          <w:sz w:val="24"/>
          <w:szCs w:val="24"/>
          <w:highlight w:val="none"/>
          <w:lang w:val="en-US" w:eastAsia="zh-CN" w:bidi="ar-SA"/>
        </w:rPr>
        <w:t>设备</w:t>
      </w:r>
      <w:r>
        <w:rPr>
          <w:rFonts w:ascii="宋体" w:hAnsi="宋体" w:cs="宋体"/>
          <w:color w:val="auto"/>
          <w:highlight w:val="none"/>
        </w:rPr>
        <w:t>及</w:t>
      </w:r>
      <w:r>
        <w:rPr>
          <w:rFonts w:ascii="宋体" w:hAnsi="宋体" w:cs="宋体"/>
          <w:color w:val="auto"/>
          <w:highlight w:val="none"/>
          <w:lang w:eastAsia="zh-CN"/>
        </w:rPr>
        <w:t>设备的配套</w:t>
      </w:r>
      <w:r>
        <w:rPr>
          <w:rFonts w:ascii="宋体" w:hAnsi="宋体" w:cs="宋体"/>
          <w:color w:val="auto"/>
          <w:highlight w:val="none"/>
        </w:rPr>
        <w:t>集成，它提出了对</w:t>
      </w:r>
      <w:r>
        <w:rPr>
          <w:rFonts w:ascii="宋体" w:hAnsi="宋体" w:cs="宋体"/>
          <w:color w:val="000000"/>
          <w:kern w:val="0"/>
          <w:sz w:val="24"/>
          <w:szCs w:val="24"/>
          <w:highlight w:val="none"/>
          <w:lang w:val="en-US" w:eastAsia="zh-CN" w:bidi="ar-SA"/>
        </w:rPr>
        <w:t>户外一体化柜</w:t>
      </w:r>
      <w:r>
        <w:rPr>
          <w:rFonts w:ascii="宋体" w:hAnsi="宋体" w:cs="宋体"/>
          <w:color w:val="auto"/>
          <w:highlight w:val="none"/>
        </w:rPr>
        <w:t>的各项主要技术业务功能要求、供货要求、服务要求，供投标方编写建议书和报价之用（建议书的内容格式符合本规范书的要求）。投标方针对自己的特点，根据本采购书所描述的</w:t>
      </w:r>
      <w:r>
        <w:rPr>
          <w:rFonts w:cs="宋体"/>
          <w:color w:val="000000"/>
          <w:kern w:val="0"/>
          <w:sz w:val="24"/>
          <w:szCs w:val="24"/>
          <w:highlight w:val="none"/>
          <w:lang w:val="en-US" w:eastAsia="zh-CN" w:bidi="ar-SA"/>
        </w:rPr>
        <w:t>设备</w:t>
      </w:r>
      <w:r>
        <w:rPr>
          <w:rFonts w:ascii="宋体" w:hAnsi="宋体" w:cs="宋体"/>
          <w:color w:val="auto"/>
          <w:highlight w:val="none"/>
        </w:rPr>
        <w:t>的具体要求，提供符合要求的产品。</w:t>
      </w:r>
      <w:bookmarkEnd w:id="23"/>
      <w:bookmarkEnd w:id="24"/>
      <w:bookmarkEnd w:id="25"/>
    </w:p>
    <w:p>
      <w:pPr>
        <w:pStyle w:val="32"/>
        <w:spacing w:line="360" w:lineRule="auto"/>
        <w:ind w:left="0"/>
        <w:outlineLvl w:val="9"/>
        <w:rPr>
          <w:rFonts w:ascii="宋体" w:hAnsi="宋体" w:eastAsia="宋体" w:cs="宋体"/>
          <w:color w:val="auto"/>
          <w:highlight w:val="none"/>
        </w:rPr>
      </w:pPr>
      <w:r>
        <w:rPr>
          <w:rFonts w:ascii="宋体" w:hAnsi="宋体" w:cs="宋体"/>
          <w:color w:val="auto"/>
          <w:highlight w:val="none"/>
        </w:rPr>
        <w:t>招标方针对投标方所提供的技术服务质量将在中标后的设备供货、工程实施、验收、运行维护支持等阶段工作中进行考核评价，并将会把该考核评价结果计入下一年度的设备招标评价中，投标方确保针对本次招标的服务承诺为真实可信的承诺标准，否则招标方保留进行追责和索赔的权利。</w:t>
      </w:r>
    </w:p>
    <w:p>
      <w:pPr>
        <w:pStyle w:val="32"/>
        <w:spacing w:line="360" w:lineRule="auto"/>
        <w:ind w:left="0"/>
        <w:outlineLvl w:val="9"/>
        <w:rPr>
          <w:rFonts w:ascii="宋体" w:hAnsi="宋体" w:eastAsia="宋体" w:cs="宋体"/>
          <w:color w:val="auto"/>
          <w:highlight w:val="none"/>
        </w:rPr>
      </w:pPr>
      <w:bookmarkStart w:id="26" w:name="_Toc245283797"/>
      <w:bookmarkStart w:id="27" w:name="_Toc245434923"/>
      <w:bookmarkStart w:id="28" w:name="_Toc245283695"/>
      <w:r>
        <w:rPr>
          <w:rFonts w:ascii="宋体" w:hAnsi="宋体" w:cs="宋体"/>
          <w:color w:val="auto"/>
          <w:highlight w:val="none"/>
        </w:rPr>
        <w:t>投标方提供的产品及其实施方案需具有先进性、可靠性，并具有高的性能价格比和可扩展性。</w:t>
      </w:r>
      <w:bookmarkEnd w:id="26"/>
      <w:bookmarkEnd w:id="27"/>
      <w:bookmarkEnd w:id="28"/>
    </w:p>
    <w:p>
      <w:pPr>
        <w:pStyle w:val="32"/>
        <w:spacing w:line="360" w:lineRule="auto"/>
        <w:ind w:left="0"/>
        <w:outlineLvl w:val="9"/>
        <w:rPr>
          <w:rFonts w:ascii="宋体" w:hAnsi="宋体" w:eastAsia="宋体" w:cs="宋体"/>
          <w:color w:val="auto"/>
          <w:highlight w:val="none"/>
        </w:rPr>
      </w:pPr>
      <w:bookmarkStart w:id="29" w:name="_Toc245434924"/>
      <w:bookmarkStart w:id="30" w:name="_Toc245283696"/>
      <w:bookmarkStart w:id="31" w:name="_Toc245283798"/>
      <w:r>
        <w:rPr>
          <w:rFonts w:ascii="宋体" w:hAnsi="宋体" w:cs="宋体"/>
          <w:color w:val="auto"/>
          <w:highlight w:val="none"/>
        </w:rPr>
        <w:t>投标方提供的各项设备和系统的功能、性能和安全性需完全符合招标方指明的标准，并满足或高于招标方提出的要求。</w:t>
      </w:r>
      <w:bookmarkEnd w:id="29"/>
      <w:bookmarkEnd w:id="30"/>
      <w:bookmarkEnd w:id="31"/>
    </w:p>
    <w:p>
      <w:pPr>
        <w:pStyle w:val="32"/>
        <w:spacing w:line="360" w:lineRule="auto"/>
        <w:ind w:left="0"/>
        <w:outlineLvl w:val="9"/>
        <w:rPr>
          <w:rFonts w:ascii="宋体" w:hAnsi="宋体" w:eastAsia="宋体" w:cs="宋体"/>
          <w:color w:val="auto"/>
          <w:highlight w:val="none"/>
        </w:rPr>
      </w:pPr>
      <w:r>
        <w:rPr>
          <w:rFonts w:ascii="宋体" w:hAnsi="宋体" w:cs="宋体"/>
          <w:b/>
          <w:bCs/>
          <w:color w:val="auto"/>
          <w:highlight w:val="none"/>
        </w:rPr>
        <w:t>投标方提供的产品如包含有集成芯片，需满足自主可控要求，需提供本次产品集成部件的芯片，包含但不限于</w:t>
      </w:r>
      <w:r>
        <w:rPr>
          <w:rFonts w:eastAsia="宋体" w:cs="宋体"/>
          <w:b/>
          <w:bCs/>
          <w:color w:val="auto"/>
          <w:highlight w:val="none"/>
          <w:lang w:eastAsia="zh-CN"/>
        </w:rPr>
        <w:t>CPU</w:t>
      </w:r>
      <w:r>
        <w:rPr>
          <w:rFonts w:ascii="宋体" w:hAnsi="宋体" w:cs="宋体"/>
          <w:b/>
          <w:bCs/>
          <w:color w:val="auto"/>
          <w:highlight w:val="none"/>
          <w:lang w:eastAsia="zh-CN"/>
        </w:rPr>
        <w:t>、</w:t>
      </w:r>
      <w:r>
        <w:rPr>
          <w:rFonts w:eastAsia="宋体" w:cs="宋体"/>
          <w:b/>
          <w:bCs/>
          <w:color w:val="auto"/>
          <w:highlight w:val="none"/>
          <w:lang w:eastAsia="zh-CN"/>
        </w:rPr>
        <w:t>DRAM</w:t>
      </w:r>
      <w:r>
        <w:rPr>
          <w:rFonts w:ascii="宋体" w:hAnsi="宋体" w:cs="宋体"/>
          <w:b/>
          <w:bCs/>
          <w:color w:val="auto"/>
          <w:highlight w:val="none"/>
          <w:lang w:eastAsia="zh-CN"/>
        </w:rPr>
        <w:t>颗粒</w:t>
      </w:r>
      <w:r>
        <w:rPr>
          <w:rFonts w:ascii="宋体" w:hAnsi="宋体" w:cs="宋体"/>
          <w:b/>
          <w:bCs/>
          <w:color w:val="auto"/>
          <w:highlight w:val="none"/>
        </w:rPr>
        <w:t>、</w:t>
      </w:r>
      <w:r>
        <w:rPr>
          <w:rFonts w:eastAsia="宋体" w:cs="宋体"/>
          <w:b/>
          <w:bCs/>
          <w:color w:val="auto"/>
          <w:highlight w:val="none"/>
        </w:rPr>
        <w:t>PHY</w:t>
      </w:r>
      <w:r>
        <w:rPr>
          <w:rFonts w:ascii="宋体" w:hAnsi="宋体" w:cs="宋体"/>
          <w:b/>
          <w:bCs/>
          <w:color w:val="auto"/>
          <w:highlight w:val="none"/>
        </w:rPr>
        <w:t>、</w:t>
      </w:r>
      <w:r>
        <w:rPr>
          <w:rFonts w:eastAsia="宋体" w:cs="宋体"/>
          <w:b/>
          <w:bCs/>
          <w:color w:val="auto"/>
          <w:highlight w:val="none"/>
        </w:rPr>
        <w:t>FLASH</w:t>
      </w:r>
      <w:r>
        <w:rPr>
          <w:rFonts w:ascii="宋体" w:hAnsi="宋体" w:cs="宋体"/>
          <w:b/>
          <w:bCs/>
          <w:color w:val="auto"/>
          <w:highlight w:val="none"/>
        </w:rPr>
        <w:t>、电源、交换转发、通信等芯片的厂家名称、产品系列、规格、关键参数等信息</w:t>
      </w:r>
      <w:r>
        <w:rPr>
          <w:rFonts w:ascii="宋体" w:hAnsi="宋体" w:cs="宋体"/>
          <w:color w:val="auto"/>
          <w:highlight w:val="none"/>
        </w:rPr>
        <w:t>。</w:t>
      </w:r>
    </w:p>
    <w:p>
      <w:pPr>
        <w:pStyle w:val="32"/>
        <w:spacing w:line="360" w:lineRule="auto"/>
        <w:ind w:left="0"/>
        <w:outlineLvl w:val="9"/>
        <w:rPr>
          <w:rFonts w:ascii="宋体" w:hAnsi="宋体" w:eastAsia="宋体" w:cs="宋体"/>
          <w:color w:val="auto"/>
          <w:highlight w:val="none"/>
        </w:rPr>
      </w:pPr>
      <w:bookmarkStart w:id="32" w:name="_Toc245283697"/>
      <w:bookmarkStart w:id="33" w:name="_Toc245434925"/>
      <w:bookmarkStart w:id="34" w:name="_Toc245283799"/>
      <w:r>
        <w:rPr>
          <w:rFonts w:ascii="宋体" w:hAnsi="宋体" w:cs="宋体"/>
          <w:color w:val="auto"/>
          <w:highlight w:val="none"/>
        </w:rPr>
        <w:t>如果投标方提供的设备与本招标技术条件书的要求有差异，需在投标书中以“技术偏差”为标题的专门章节中加以详细描述。投标方如不能满足本招标技术条件书的要求部分，也需在技术建议书中提出说明。</w:t>
      </w:r>
      <w:bookmarkEnd w:id="32"/>
      <w:bookmarkEnd w:id="33"/>
      <w:bookmarkEnd w:id="34"/>
    </w:p>
    <w:p>
      <w:pPr>
        <w:pStyle w:val="32"/>
        <w:spacing w:line="360" w:lineRule="auto"/>
        <w:ind w:left="0"/>
        <w:outlineLvl w:val="9"/>
        <w:rPr>
          <w:rFonts w:ascii="宋体" w:hAnsi="宋体" w:eastAsia="宋体" w:cs="宋体"/>
          <w:color w:val="auto"/>
          <w:highlight w:val="none"/>
        </w:rPr>
      </w:pPr>
      <w:bookmarkStart w:id="35" w:name="_Toc245434926"/>
      <w:bookmarkStart w:id="36" w:name="_Toc245283698"/>
      <w:bookmarkStart w:id="37" w:name="_Toc245283800"/>
      <w:r>
        <w:rPr>
          <w:rFonts w:ascii="宋体" w:hAnsi="宋体" w:cs="宋体"/>
          <w:color w:val="auto"/>
          <w:highlight w:val="none"/>
        </w:rPr>
        <w:t>本次投标的主要设备的原厂商需具有相关</w:t>
      </w:r>
      <w:r>
        <w:rPr>
          <w:rFonts w:cs="宋体"/>
          <w:color w:val="000000"/>
          <w:kern w:val="0"/>
          <w:sz w:val="24"/>
          <w:szCs w:val="24"/>
          <w:highlight w:val="none"/>
          <w:lang w:val="en-US" w:eastAsia="zh-CN" w:bidi="ar-SA"/>
        </w:rPr>
        <w:t>设备的</w:t>
      </w:r>
      <w:r>
        <w:rPr>
          <w:rFonts w:ascii="宋体" w:hAnsi="宋体" w:cs="宋体"/>
          <w:color w:val="auto"/>
          <w:highlight w:val="none"/>
        </w:rPr>
        <w:t>设计、制造经验。投标方具有权威机构颁发的</w:t>
      </w:r>
      <w:r>
        <w:rPr>
          <w:rFonts w:eastAsia="宋体" w:cs="宋体"/>
          <w:color w:val="auto"/>
          <w:highlight w:val="none"/>
        </w:rPr>
        <w:t>ISO-9000</w:t>
      </w:r>
      <w:r>
        <w:rPr>
          <w:rFonts w:ascii="宋体" w:hAnsi="宋体" w:cs="宋体"/>
          <w:color w:val="auto"/>
          <w:highlight w:val="none"/>
        </w:rPr>
        <w:t>系列的认证证书或等同的质量保证体系认证证书。</w:t>
      </w:r>
      <w:bookmarkEnd w:id="35"/>
      <w:bookmarkEnd w:id="36"/>
      <w:bookmarkEnd w:id="37"/>
    </w:p>
    <w:p>
      <w:pPr>
        <w:pStyle w:val="32"/>
        <w:spacing w:line="360" w:lineRule="auto"/>
        <w:ind w:left="0"/>
        <w:outlineLvl w:val="9"/>
        <w:rPr>
          <w:rFonts w:ascii="宋体" w:hAnsi="宋体" w:eastAsia="宋体" w:cs="宋体"/>
          <w:color w:val="auto"/>
          <w:highlight w:val="none"/>
        </w:rPr>
      </w:pPr>
      <w:bookmarkStart w:id="38" w:name="_Toc245283801"/>
      <w:bookmarkStart w:id="39" w:name="_Toc245283699"/>
      <w:bookmarkStart w:id="40" w:name="_Toc245434927"/>
      <w:r>
        <w:rPr>
          <w:rFonts w:ascii="宋体" w:hAnsi="宋体" w:cs="宋体"/>
          <w:color w:val="auto"/>
          <w:highlight w:val="none"/>
        </w:rPr>
        <w:t>投标方在项目所在地具备提供服务的能力（服务时间及质量要求参见本招标技术条件书相关章节）保证本工程各节点设备维修备件的及时供应。</w:t>
      </w:r>
      <w:bookmarkEnd w:id="38"/>
      <w:bookmarkEnd w:id="39"/>
      <w:bookmarkEnd w:id="40"/>
    </w:p>
    <w:p>
      <w:pPr>
        <w:pStyle w:val="32"/>
        <w:spacing w:line="360" w:lineRule="auto"/>
        <w:ind w:left="0"/>
        <w:outlineLvl w:val="9"/>
        <w:rPr>
          <w:rFonts w:ascii="宋体" w:hAnsi="宋体" w:eastAsia="宋体" w:cs="宋体"/>
          <w:color w:val="auto"/>
          <w:highlight w:val="none"/>
        </w:rPr>
      </w:pPr>
      <w:r>
        <w:rPr>
          <w:rFonts w:ascii="宋体" w:hAnsi="宋体" w:cs="宋体"/>
          <w:color w:val="auto"/>
          <w:highlight w:val="none"/>
        </w:rPr>
        <w:t>如设备为</w:t>
      </w:r>
      <w:r>
        <w:rPr>
          <w:rFonts w:eastAsia="宋体" w:cs="宋体"/>
          <w:color w:val="auto"/>
          <w:highlight w:val="none"/>
        </w:rPr>
        <w:t>OEM</w:t>
      </w:r>
      <w:r>
        <w:rPr>
          <w:rFonts w:ascii="宋体" w:hAnsi="宋体" w:cs="宋体"/>
          <w:color w:val="auto"/>
          <w:highlight w:val="none"/>
        </w:rPr>
        <w:t>第三方产品，</w:t>
      </w:r>
      <w:r>
        <w:rPr>
          <w:rFonts w:ascii="宋体" w:hAnsi="宋体" w:cs="宋体"/>
          <w:color w:val="auto"/>
          <w:highlight w:val="none"/>
          <w:lang w:eastAsia="zh-Hans"/>
        </w:rPr>
        <w:t>投标方</w:t>
      </w:r>
      <w:r>
        <w:rPr>
          <w:rFonts w:ascii="宋体" w:hAnsi="宋体" w:cs="宋体"/>
          <w:color w:val="auto"/>
          <w:highlight w:val="none"/>
        </w:rPr>
        <w:t>说明该产品的原生产厂商。</w:t>
      </w:r>
    </w:p>
    <w:p>
      <w:pPr>
        <w:pStyle w:val="32"/>
        <w:spacing w:line="360" w:lineRule="auto"/>
        <w:ind w:left="0"/>
        <w:outlineLvl w:val="9"/>
        <w:rPr>
          <w:rFonts w:ascii="宋体" w:hAnsi="宋体" w:eastAsia="宋体" w:cs="宋体"/>
          <w:color w:val="auto"/>
          <w:highlight w:val="none"/>
        </w:rPr>
      </w:pPr>
      <w:bookmarkStart w:id="41" w:name="_Toc245283804"/>
      <w:bookmarkStart w:id="42" w:name="_Toc245283702"/>
      <w:bookmarkStart w:id="43" w:name="_Toc245434930"/>
      <w:r>
        <w:rPr>
          <w:rFonts w:ascii="宋体" w:hAnsi="宋体" w:cs="宋体"/>
          <w:color w:val="auto"/>
          <w:highlight w:val="none"/>
        </w:rPr>
        <w:t>投标方需保证投标设备（配件）</w:t>
      </w:r>
      <w:r>
        <w:rPr>
          <w:rFonts w:eastAsia="宋体" w:cs="宋体"/>
          <w:color w:val="auto"/>
          <w:highlight w:val="none"/>
        </w:rPr>
        <w:t>5</w:t>
      </w:r>
      <w:r>
        <w:rPr>
          <w:rFonts w:ascii="宋体" w:hAnsi="宋体" w:cs="宋体"/>
          <w:color w:val="auto"/>
          <w:highlight w:val="none"/>
        </w:rPr>
        <w:t>年内提供备品备件，在设备停产前</w:t>
      </w:r>
      <w:r>
        <w:rPr>
          <w:rFonts w:eastAsia="宋体" w:cs="宋体"/>
          <w:color w:val="auto"/>
          <w:highlight w:val="none"/>
        </w:rPr>
        <w:t>3</w:t>
      </w:r>
      <w:r>
        <w:rPr>
          <w:rFonts w:ascii="宋体" w:hAnsi="宋体" w:cs="宋体"/>
          <w:color w:val="auto"/>
          <w:highlight w:val="none"/>
        </w:rPr>
        <w:t>个月通知招标方。</w:t>
      </w:r>
      <w:bookmarkEnd w:id="41"/>
      <w:bookmarkEnd w:id="42"/>
      <w:bookmarkEnd w:id="43"/>
    </w:p>
    <w:p>
      <w:pPr>
        <w:pStyle w:val="32"/>
        <w:spacing w:line="360" w:lineRule="auto"/>
        <w:ind w:left="0"/>
        <w:outlineLvl w:val="9"/>
        <w:rPr>
          <w:rFonts w:ascii="宋体" w:hAnsi="宋体" w:eastAsia="宋体" w:cs="宋体"/>
          <w:color w:val="auto"/>
          <w:highlight w:val="none"/>
        </w:rPr>
      </w:pPr>
      <w:bookmarkStart w:id="44" w:name="_Toc245434931"/>
      <w:bookmarkStart w:id="45" w:name="_Toc245283703"/>
      <w:bookmarkStart w:id="46" w:name="_Toc245283805"/>
      <w:r>
        <w:rPr>
          <w:rFonts w:ascii="宋体" w:hAnsi="宋体" w:cs="宋体"/>
          <w:color w:val="auto"/>
          <w:highlight w:val="none"/>
        </w:rPr>
        <w:t>投标方建议的技术方案及软、硬件系统配置需符合有关标准</w:t>
      </w:r>
      <w:r>
        <w:rPr>
          <w:rFonts w:eastAsia="宋体" w:cs="宋体"/>
          <w:color w:val="auto"/>
          <w:highlight w:val="none"/>
        </w:rPr>
        <w:t>(</w:t>
      </w:r>
      <w:r>
        <w:rPr>
          <w:rFonts w:ascii="宋体" w:hAnsi="宋体" w:cs="宋体"/>
          <w:color w:val="auto"/>
          <w:highlight w:val="none"/>
        </w:rPr>
        <w:t>例如</w:t>
      </w:r>
      <w:r>
        <w:rPr>
          <w:rFonts w:eastAsia="宋体" w:cs="宋体"/>
          <w:color w:val="auto"/>
          <w:highlight w:val="none"/>
        </w:rPr>
        <w:t>ISO</w:t>
      </w:r>
      <w:r>
        <w:rPr>
          <w:rFonts w:ascii="宋体" w:hAnsi="宋体" w:cs="宋体"/>
          <w:color w:val="auto"/>
          <w:highlight w:val="none"/>
        </w:rPr>
        <w:t>标准、</w:t>
      </w:r>
      <w:r>
        <w:rPr>
          <w:rFonts w:eastAsia="宋体" w:cs="宋体"/>
          <w:color w:val="auto"/>
          <w:highlight w:val="none"/>
        </w:rPr>
        <w:t>IEC</w:t>
      </w:r>
      <w:r>
        <w:rPr>
          <w:rFonts w:ascii="宋体" w:hAnsi="宋体" w:cs="宋体"/>
          <w:color w:val="auto"/>
          <w:highlight w:val="none"/>
        </w:rPr>
        <w:t>标准、</w:t>
      </w:r>
      <w:r>
        <w:rPr>
          <w:rFonts w:eastAsia="宋体" w:cs="宋体"/>
          <w:color w:val="auto"/>
          <w:highlight w:val="none"/>
        </w:rPr>
        <w:t>ITU-T</w:t>
      </w:r>
      <w:r>
        <w:rPr>
          <w:rFonts w:ascii="宋体" w:hAnsi="宋体" w:cs="宋体"/>
          <w:color w:val="auto"/>
          <w:highlight w:val="none"/>
        </w:rPr>
        <w:t>建议、</w:t>
      </w:r>
      <w:r>
        <w:rPr>
          <w:rFonts w:eastAsia="宋体" w:cs="宋体"/>
          <w:color w:val="auto"/>
          <w:highlight w:val="none"/>
        </w:rPr>
        <w:t>GB</w:t>
      </w:r>
      <w:r>
        <w:rPr>
          <w:rFonts w:ascii="宋体" w:hAnsi="宋体" w:cs="宋体"/>
          <w:color w:val="auto"/>
          <w:highlight w:val="none"/>
        </w:rPr>
        <w:t>标准和</w:t>
      </w:r>
      <w:r>
        <w:rPr>
          <w:rFonts w:eastAsia="宋体" w:cs="宋体"/>
          <w:color w:val="auto"/>
          <w:highlight w:val="none"/>
        </w:rPr>
        <w:t>IETF</w:t>
      </w:r>
      <w:r>
        <w:rPr>
          <w:rFonts w:ascii="宋体" w:hAnsi="宋体" w:cs="宋体"/>
          <w:color w:val="auto"/>
          <w:highlight w:val="none"/>
        </w:rPr>
        <w:t>建议等），投标方若不作说明，则视为符合上述标准。若投标方的设备包含有自己专用标准，需在项目建议书中具体说明，并附上相应的详细的技术资料。</w:t>
      </w:r>
      <w:bookmarkEnd w:id="44"/>
      <w:bookmarkEnd w:id="45"/>
      <w:bookmarkEnd w:id="46"/>
    </w:p>
    <w:p>
      <w:pPr>
        <w:pStyle w:val="32"/>
        <w:spacing w:line="360" w:lineRule="auto"/>
        <w:ind w:left="0"/>
        <w:outlineLvl w:val="9"/>
        <w:rPr>
          <w:rFonts w:ascii="宋体" w:hAnsi="宋体" w:eastAsia="宋体" w:cs="宋体"/>
          <w:color w:val="auto"/>
          <w:highlight w:val="none"/>
        </w:rPr>
      </w:pPr>
      <w:bookmarkStart w:id="47" w:name="_Toc245434932"/>
      <w:bookmarkStart w:id="48" w:name="_Toc245283806"/>
      <w:bookmarkStart w:id="49" w:name="_Toc245283704"/>
      <w:r>
        <w:rPr>
          <w:rFonts w:ascii="宋体" w:hAnsi="宋体" w:cs="宋体"/>
          <w:color w:val="auto"/>
          <w:highlight w:val="none"/>
        </w:rPr>
        <w:t>投标方承诺所提供的</w:t>
      </w:r>
      <w:r>
        <w:rPr>
          <w:rFonts w:cs="宋体"/>
          <w:color w:val="000000"/>
          <w:kern w:val="0"/>
          <w:sz w:val="24"/>
          <w:szCs w:val="24"/>
          <w:highlight w:val="none"/>
          <w:lang w:val="en-US" w:eastAsia="zh-CN" w:bidi="ar-SA"/>
        </w:rPr>
        <w:t>设备</w:t>
      </w:r>
      <w:r>
        <w:rPr>
          <w:rFonts w:ascii="宋体" w:hAnsi="宋体" w:cs="宋体"/>
          <w:color w:val="auto"/>
          <w:highlight w:val="none"/>
        </w:rPr>
        <w:t>本身不能有任何安全隐患，对此承担终身责任。任何由设备安全引起的招标方的事故，投标方承担主要责任。</w:t>
      </w:r>
      <w:bookmarkEnd w:id="47"/>
      <w:bookmarkEnd w:id="48"/>
      <w:bookmarkEnd w:id="49"/>
    </w:p>
    <w:p>
      <w:pPr>
        <w:pStyle w:val="32"/>
        <w:spacing w:line="360" w:lineRule="auto"/>
        <w:ind w:left="0"/>
        <w:outlineLvl w:val="9"/>
        <w:rPr>
          <w:b/>
          <w:bCs/>
          <w:highlight w:val="none"/>
        </w:rPr>
      </w:pPr>
      <w:bookmarkStart w:id="50" w:name="_Toc245283807"/>
      <w:bookmarkStart w:id="51" w:name="_Toc245434933"/>
      <w:bookmarkStart w:id="52" w:name="_Toc245283705"/>
      <w:r>
        <w:rPr>
          <w:rFonts w:ascii="宋体" w:hAnsi="宋体" w:cs="宋体"/>
          <w:b/>
          <w:bCs/>
          <w:color w:val="auto"/>
          <w:highlight w:val="none"/>
        </w:rPr>
        <w:t>本招标技术条件书视为保证安全运行所需设备与服务的最低要求，如有遗漏，投标方予以补充，否则一旦中标将认为投标方认同遗漏部分并免费提供。</w:t>
      </w:r>
      <w:bookmarkEnd w:id="50"/>
      <w:bookmarkEnd w:id="51"/>
      <w:bookmarkEnd w:id="52"/>
    </w:p>
    <w:p>
      <w:pPr>
        <w:pStyle w:val="32"/>
        <w:spacing w:line="360" w:lineRule="auto"/>
        <w:ind w:left="0"/>
        <w:outlineLvl w:val="9"/>
        <w:rPr>
          <w:rFonts w:ascii="宋体" w:hAnsi="宋体" w:eastAsia="宋体" w:cs="宋体"/>
          <w:color w:val="auto"/>
          <w:highlight w:val="none"/>
        </w:rPr>
      </w:pPr>
      <w:bookmarkStart w:id="53" w:name="_Toc245434934"/>
      <w:bookmarkStart w:id="54" w:name="_Toc245283808"/>
      <w:bookmarkStart w:id="55" w:name="_Toc245283706"/>
      <w:r>
        <w:rPr>
          <w:rFonts w:ascii="宋体" w:hAnsi="宋体" w:cs="宋体"/>
          <w:color w:val="auto"/>
          <w:highlight w:val="none"/>
        </w:rPr>
        <w:t>投标方列出包括附件和投标方外购设备在内的定购产品所参照的规范标准和标准号，且这些规范标准和标准号包括任何修改或补充部分的最新版本或修订本，上述内容均编在建议书中。任何与本招标技术条件书相关条款不同的内容都指出，并详细说明原因。</w:t>
      </w:r>
      <w:bookmarkEnd w:id="53"/>
      <w:bookmarkEnd w:id="54"/>
      <w:bookmarkEnd w:id="55"/>
    </w:p>
    <w:p>
      <w:pPr>
        <w:pStyle w:val="32"/>
        <w:spacing w:line="360" w:lineRule="auto"/>
        <w:ind w:left="0"/>
        <w:outlineLvl w:val="9"/>
        <w:rPr>
          <w:rFonts w:ascii="宋体" w:hAnsi="宋体" w:eastAsia="宋体" w:cs="宋体"/>
          <w:color w:val="auto"/>
          <w:highlight w:val="none"/>
        </w:rPr>
      </w:pPr>
      <w:bookmarkStart w:id="56" w:name="_Toc245283707"/>
      <w:bookmarkStart w:id="57" w:name="_Toc245283809"/>
      <w:bookmarkStart w:id="58" w:name="_Toc245434935"/>
      <w:r>
        <w:rPr>
          <w:rFonts w:ascii="宋体" w:hAnsi="宋体" w:cs="宋体"/>
          <w:color w:val="auto"/>
          <w:highlight w:val="none"/>
        </w:rPr>
        <w:t>投标方提供的设备符合最新的、可适用的标准，但投标方可以提供经招标方认可的符合产地同类工艺国家标准的设备或材料。</w:t>
      </w:r>
      <w:bookmarkEnd w:id="56"/>
      <w:bookmarkEnd w:id="57"/>
      <w:bookmarkEnd w:id="58"/>
    </w:p>
    <w:p>
      <w:pPr>
        <w:pStyle w:val="32"/>
        <w:spacing w:line="360" w:lineRule="auto"/>
        <w:ind w:left="0"/>
        <w:outlineLvl w:val="9"/>
        <w:rPr>
          <w:rFonts w:ascii="宋体" w:hAnsi="宋体" w:eastAsia="宋体" w:cs="宋体"/>
          <w:color w:val="auto"/>
          <w:highlight w:val="none"/>
        </w:rPr>
      </w:pPr>
      <w:bookmarkStart w:id="59" w:name="_Toc245434936"/>
      <w:bookmarkStart w:id="60" w:name="_Toc245283708"/>
      <w:bookmarkStart w:id="61" w:name="_Toc245283810"/>
      <w:r>
        <w:rPr>
          <w:rFonts w:ascii="宋体" w:hAnsi="宋体" w:cs="宋体"/>
          <w:color w:val="auto"/>
          <w:highlight w:val="none"/>
        </w:rPr>
        <w:t>投标方在本规范书中未说明的条款，符合相应的国际标准及建议。若投标方的设备包含自己专用标准，也需在建议书中具体说明，并附上相应的详细技术资料。</w:t>
      </w:r>
      <w:bookmarkEnd w:id="59"/>
      <w:bookmarkEnd w:id="60"/>
      <w:bookmarkEnd w:id="61"/>
    </w:p>
    <w:p>
      <w:pPr>
        <w:pStyle w:val="32"/>
        <w:spacing w:line="360" w:lineRule="auto"/>
        <w:ind w:left="0"/>
        <w:outlineLvl w:val="9"/>
        <w:rPr>
          <w:rFonts w:ascii="宋体" w:hAnsi="宋体" w:eastAsia="宋体" w:cs="宋体"/>
          <w:color w:val="auto"/>
          <w:highlight w:val="none"/>
        </w:rPr>
      </w:pPr>
      <w:bookmarkStart w:id="62" w:name="_Toc245283710"/>
      <w:bookmarkStart w:id="63" w:name="_Toc245434938"/>
      <w:bookmarkStart w:id="64" w:name="_Toc245283812"/>
      <w:r>
        <w:rPr>
          <w:rFonts w:ascii="宋体" w:hAnsi="宋体" w:cs="宋体"/>
          <w:color w:val="auto"/>
          <w:highlight w:val="none"/>
        </w:rPr>
        <w:t>投标方未经招标方同意，不得以任何形式向第三方公开本招标技术条件书。</w:t>
      </w:r>
      <w:bookmarkEnd w:id="62"/>
      <w:bookmarkEnd w:id="63"/>
      <w:bookmarkEnd w:id="64"/>
    </w:p>
    <w:p>
      <w:pPr>
        <w:pStyle w:val="32"/>
        <w:spacing w:line="360" w:lineRule="auto"/>
        <w:ind w:left="0"/>
        <w:outlineLvl w:val="9"/>
        <w:rPr>
          <w:rFonts w:ascii="宋体" w:hAnsi="宋体" w:eastAsia="宋体" w:cs="宋体"/>
          <w:color w:val="auto"/>
          <w:highlight w:val="none"/>
        </w:rPr>
      </w:pPr>
      <w:bookmarkStart w:id="65" w:name="_Toc245283711"/>
      <w:bookmarkStart w:id="66" w:name="_Toc245434939"/>
      <w:bookmarkStart w:id="67" w:name="_Toc245283813"/>
      <w:r>
        <w:rPr>
          <w:rFonts w:ascii="宋体" w:hAnsi="宋体" w:cs="宋体"/>
          <w:color w:val="auto"/>
          <w:highlight w:val="none"/>
        </w:rPr>
        <w:t>本招标技术条件书未尽事宜，由招标方和投标方在合同技术谈判时协商确定。</w:t>
      </w:r>
      <w:bookmarkEnd w:id="65"/>
      <w:bookmarkEnd w:id="66"/>
      <w:bookmarkEnd w:id="67"/>
    </w:p>
    <w:p>
      <w:pPr>
        <w:pStyle w:val="32"/>
        <w:spacing w:line="360" w:lineRule="auto"/>
        <w:ind w:left="0"/>
        <w:outlineLvl w:val="9"/>
        <w:rPr>
          <w:rFonts w:ascii="宋体" w:hAnsi="宋体" w:eastAsia="宋体" w:cs="宋体"/>
          <w:color w:val="auto"/>
          <w:highlight w:val="none"/>
        </w:rPr>
      </w:pPr>
      <w:bookmarkStart w:id="68" w:name="_Toc245434940"/>
      <w:bookmarkStart w:id="69" w:name="_Toc245283814"/>
      <w:bookmarkStart w:id="70" w:name="_Toc245283712"/>
      <w:r>
        <w:rPr>
          <w:rFonts w:ascii="宋体" w:hAnsi="宋体" w:cs="宋体"/>
          <w:color w:val="auto"/>
          <w:highlight w:val="none"/>
        </w:rPr>
        <w:t>本招标技术条件书解释权属招标方所有。</w:t>
      </w:r>
      <w:bookmarkEnd w:id="68"/>
      <w:bookmarkEnd w:id="69"/>
      <w:bookmarkEnd w:id="70"/>
    </w:p>
    <w:p>
      <w:pPr>
        <w:pStyle w:val="32"/>
        <w:spacing w:line="360" w:lineRule="auto"/>
        <w:ind w:left="0"/>
        <w:outlineLvl w:val="9"/>
        <w:rPr>
          <w:rFonts w:ascii="宋体" w:hAnsi="宋体" w:eastAsia="宋体" w:cs="宋体"/>
          <w:color w:val="auto"/>
          <w:highlight w:val="none"/>
        </w:rPr>
      </w:pPr>
      <w:r>
        <w:rPr>
          <w:rFonts w:ascii="宋体" w:hAnsi="宋体" w:cs="宋体"/>
          <w:color w:val="auto"/>
          <w:highlight w:val="none"/>
        </w:rPr>
        <w:t>中标人提供的产品若不符合国家相关政策，由中标人免费进行更换。</w:t>
      </w:r>
    </w:p>
    <w:p>
      <w:pPr>
        <w:pStyle w:val="33"/>
        <w:rPr>
          <w:rFonts w:ascii="宋体" w:hAnsi="宋体" w:eastAsia="宋体" w:cs="宋体"/>
          <w:color w:val="auto"/>
          <w:highlight w:val="none"/>
        </w:rPr>
      </w:pPr>
    </w:p>
    <w:p>
      <w:pPr>
        <w:pStyle w:val="33"/>
        <w:rPr>
          <w:rFonts w:ascii="宋体" w:hAnsi="宋体" w:eastAsia="宋体" w:cs="宋体"/>
          <w:color w:val="auto"/>
          <w:highlight w:val="none"/>
        </w:rPr>
      </w:pP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71" w:name="_Toc352233454"/>
      <w:bookmarkStart w:id="72" w:name="_Toc10585"/>
      <w:r>
        <w:rPr>
          <w:rFonts w:ascii="宋体" w:hAnsi="宋体" w:cs="宋体"/>
          <w:szCs w:val="24"/>
          <w:highlight w:val="none"/>
        </w:rPr>
        <w:t>范围</w:t>
      </w:r>
      <w:bookmarkEnd w:id="71"/>
      <w:bookmarkEnd w:id="72"/>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本标书适应于本</w:t>
      </w:r>
      <w:r>
        <w:rPr>
          <w:rFonts w:ascii="宋体" w:hAnsi="宋体" w:cs="宋体"/>
          <w:b w:val="0"/>
          <w:szCs w:val="24"/>
          <w:highlight w:val="none"/>
        </w:rPr>
        <w:t>次招标设备的设计</w:t>
      </w:r>
      <w:r>
        <w:rPr>
          <w:rFonts w:ascii="宋体" w:hAnsi="宋体" w:cs="宋体"/>
          <w:b w:val="0"/>
          <w:szCs w:val="24"/>
          <w:highlight w:val="none"/>
        </w:rPr>
        <w:t>、制造、装配、工厂试验、交付、现场安装和试验的指导、监督以及试运行工作。</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现场安装和试验在招标方的指导和监督下由投标方完成。</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本标书未说明，但又与设计、制造、装配、试验、运输、包装、保管、安装和运行维护有关的技术要求，按条款</w:t>
      </w:r>
      <w:r>
        <w:rPr>
          <w:rFonts w:eastAsia="宋体" w:cs="宋体"/>
          <w:b w:val="0"/>
          <w:szCs w:val="24"/>
          <w:highlight w:val="none"/>
        </w:rPr>
        <w:t>3</w:t>
      </w:r>
      <w:r>
        <w:rPr>
          <w:rFonts w:ascii="宋体" w:hAnsi="宋体" w:cs="宋体"/>
          <w:b w:val="0"/>
          <w:szCs w:val="24"/>
          <w:highlight w:val="none"/>
        </w:rPr>
        <w:t>所规定的有关标准执行。</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投标方应按本标书的要求提供全新的、合格的设备及其附属设备、备品备件、专用工具和仪器。</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投标方所提供的组件或附件如需向第三方外购时，投标方应对质量向招标方负责，并提供相应出厂和验收证明。</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cs="宋体"/>
          <w:b w:val="0"/>
          <w:szCs w:val="24"/>
          <w:highlight w:val="none"/>
          <w:lang w:eastAsia="zh-CN"/>
        </w:rPr>
        <w:t>本技术规范书为</w:t>
      </w:r>
      <w:r>
        <w:rPr>
          <w:rFonts w:hint="eastAsia" w:cs="宋体"/>
          <w:b w:val="0"/>
          <w:bCs w:val="0"/>
          <w:color w:val="000000"/>
          <w:kern w:val="0"/>
          <w:sz w:val="24"/>
          <w:szCs w:val="24"/>
          <w:highlight w:val="none"/>
          <w:lang w:val="en-US" w:eastAsia="zh-CN" w:bidi="ar-SA"/>
        </w:rPr>
        <w:t>桂林培训评价基地（南溪）多功能教室应急电源购置安装—屏柜</w:t>
      </w:r>
      <w:r>
        <w:rPr>
          <w:rFonts w:cs="宋体"/>
          <w:b w:val="0"/>
          <w:bCs w:val="0"/>
          <w:color w:val="000000"/>
          <w:kern w:val="0"/>
          <w:sz w:val="24"/>
          <w:szCs w:val="24"/>
          <w:highlight w:val="none"/>
          <w:lang w:val="en-US" w:eastAsia="zh-CN" w:bidi="ar-SA"/>
        </w:rPr>
        <w:t>技术规范</w:t>
      </w:r>
      <w:r>
        <w:rPr>
          <w:rFonts w:cs="宋体"/>
          <w:b w:val="0"/>
          <w:szCs w:val="24"/>
          <w:highlight w:val="none"/>
          <w:lang w:eastAsia="zh-CN"/>
        </w:rPr>
        <w:t>（详见表</w:t>
      </w:r>
      <w:r>
        <w:rPr>
          <w:rFonts w:cs="宋体"/>
          <w:b w:val="0"/>
          <w:szCs w:val="24"/>
          <w:highlight w:val="none"/>
          <w:lang w:val="en-US" w:eastAsia="zh-CN"/>
        </w:rPr>
        <w:t>1）</w:t>
      </w:r>
      <w:r>
        <w:rPr>
          <w:rFonts w:cs="宋体"/>
          <w:b w:val="0"/>
          <w:szCs w:val="24"/>
          <w:highlight w:val="none"/>
          <w:lang w:eastAsia="zh-CN"/>
        </w:rPr>
        <w:t>，</w:t>
      </w:r>
      <w:r>
        <w:rPr>
          <w:rFonts w:ascii="宋体" w:hAnsi="宋体" w:cs="宋体"/>
          <w:b w:val="0"/>
          <w:szCs w:val="24"/>
          <w:highlight w:val="none"/>
        </w:rPr>
        <w:t>投标方提供设备具体规格、数量</w:t>
      </w:r>
      <w:r>
        <w:rPr>
          <w:rFonts w:cs="宋体"/>
          <w:b w:val="0"/>
          <w:szCs w:val="24"/>
          <w:highlight w:val="none"/>
          <w:lang w:eastAsia="zh-CN"/>
        </w:rPr>
        <w:t>如下（详见表</w:t>
      </w:r>
      <w:r>
        <w:rPr>
          <w:rFonts w:cs="宋体"/>
          <w:b w:val="0"/>
          <w:szCs w:val="24"/>
          <w:highlight w:val="none"/>
          <w:lang w:val="en-US" w:eastAsia="zh-CN"/>
        </w:rPr>
        <w:t>1）</w:t>
      </w:r>
      <w:r>
        <w:rPr>
          <w:rFonts w:ascii="宋体" w:hAnsi="宋体" w:cs="宋体"/>
          <w:b w:val="0"/>
          <w:szCs w:val="24"/>
          <w:highlight w:val="none"/>
        </w:rPr>
        <w:t>，投标方要确保供货范围完整，需满足本技术规范的供货要求及技术、功能、性能等要求，并以能满足用户安装、运行要求为原则。若签订合同后，在安装、调试、运行中发现缺项，则由投标方负责免费补充。</w:t>
      </w:r>
    </w:p>
    <w:p>
      <w:pPr>
        <w:rPr>
          <w:rFonts w:ascii="宋体" w:hAnsi="宋体" w:eastAsia="宋体" w:cs="宋体"/>
          <w:color w:val="auto"/>
          <w:highlight w:val="none"/>
        </w:rPr>
      </w:pPr>
      <w:r>
        <w:rPr>
          <w:highlight w:val="none"/>
        </w:rPr>
        <w:br w:type="page"/>
      </w:r>
    </w:p>
    <w:p>
      <w:pPr>
        <w:spacing w:before="0" w:after="0"/>
        <w:jc w:val="both"/>
        <w:rPr>
          <w:rFonts w:ascii="宋体" w:hAnsi="宋体" w:eastAsia="宋体" w:cs="宋体"/>
          <w:color w:val="auto"/>
          <w:highlight w:val="none"/>
        </w:rPr>
      </w:pPr>
      <w:r>
        <w:rPr>
          <w:rFonts w:ascii="宋体" w:hAnsi="宋体" w:cs="宋体"/>
          <w:color w:val="auto"/>
          <w:highlight w:val="none"/>
        </w:rPr>
        <w:t>表</w:t>
      </w:r>
      <w:r>
        <w:rPr>
          <w:rFonts w:eastAsia="宋体" w:cs="宋体"/>
          <w:color w:val="auto"/>
          <w:highlight w:val="none"/>
        </w:rPr>
        <w:t>1</w:t>
      </w:r>
      <w:r>
        <w:rPr>
          <w:rFonts w:cs="宋体"/>
          <w:color w:val="auto"/>
          <w:highlight w:val="none"/>
          <w:lang w:eastAsia="zh-CN"/>
        </w:rPr>
        <w:t>采购</w:t>
      </w:r>
      <w:r>
        <w:rPr>
          <w:rFonts w:hint="eastAsia" w:cs="宋体"/>
          <w:color w:val="auto"/>
          <w:highlight w:val="none"/>
          <w:lang w:eastAsia="zh-CN"/>
        </w:rPr>
        <w:t>屏柜</w:t>
      </w:r>
      <w:r>
        <w:rPr>
          <w:rFonts w:ascii="宋体" w:hAnsi="宋体" w:cs="宋体"/>
          <w:color w:val="auto"/>
          <w:highlight w:val="none"/>
        </w:rPr>
        <w:t>技术规格一览表</w:t>
      </w:r>
    </w:p>
    <w:tbl>
      <w:tblPr>
        <w:tblStyle w:val="17"/>
        <w:tblW w:w="8307" w:type="dxa"/>
        <w:jc w:val="center"/>
        <w:tblLayout w:type="fixed"/>
        <w:tblCellMar>
          <w:top w:w="0" w:type="dxa"/>
          <w:left w:w="28" w:type="dxa"/>
          <w:bottom w:w="0" w:type="dxa"/>
          <w:right w:w="28" w:type="dxa"/>
        </w:tblCellMar>
      </w:tblPr>
      <w:tblGrid>
        <w:gridCol w:w="564"/>
        <w:gridCol w:w="1144"/>
        <w:gridCol w:w="480"/>
        <w:gridCol w:w="4082"/>
        <w:gridCol w:w="438"/>
        <w:gridCol w:w="1059"/>
        <w:gridCol w:w="540"/>
      </w:tblGrid>
      <w:tr>
        <w:trPr>
          <w:trHeight w:val="493" w:hRule="atLeast"/>
          <w:tblHeader/>
          <w:jc w:val="center"/>
        </w:trPr>
        <w:tc>
          <w:tcPr>
            <w:tcW w:w="564" w:type="dxa"/>
            <w:vMerge w:val="restart"/>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序号</w:t>
            </w:r>
          </w:p>
        </w:tc>
        <w:tc>
          <w:tcPr>
            <w:tcW w:w="1144" w:type="dxa"/>
            <w:vMerge w:val="restart"/>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名  称</w:t>
            </w:r>
          </w:p>
        </w:tc>
        <w:tc>
          <w:tcPr>
            <w:tcW w:w="480" w:type="dxa"/>
            <w:vMerge w:val="restart"/>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单位</w:t>
            </w:r>
          </w:p>
        </w:tc>
        <w:tc>
          <w:tcPr>
            <w:tcW w:w="4520" w:type="dxa"/>
            <w:gridSpan w:val="2"/>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项目要求</w:t>
            </w:r>
          </w:p>
        </w:tc>
        <w:tc>
          <w:tcPr>
            <w:tcW w:w="1599" w:type="dxa"/>
            <w:gridSpan w:val="2"/>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投标方保证</w:t>
            </w:r>
          </w:p>
        </w:tc>
      </w:tr>
      <w:tr>
        <w:tblPrEx>
          <w:tblCellMar>
            <w:top w:w="0" w:type="dxa"/>
            <w:left w:w="28" w:type="dxa"/>
            <w:bottom w:w="0" w:type="dxa"/>
            <w:right w:w="28" w:type="dxa"/>
          </w:tblCellMar>
        </w:tblPrEx>
        <w:trPr>
          <w:trHeight w:val="435" w:hRule="atLeast"/>
          <w:tblHeader/>
          <w:jc w:val="center"/>
        </w:trPr>
        <w:tc>
          <w:tcPr>
            <w:tcW w:w="564" w:type="dxa"/>
            <w:vMerge w:val="continue"/>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p>
        </w:tc>
        <w:tc>
          <w:tcPr>
            <w:tcW w:w="1144" w:type="dxa"/>
            <w:vMerge w:val="continue"/>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p>
        </w:tc>
        <w:tc>
          <w:tcPr>
            <w:tcW w:w="480" w:type="dxa"/>
            <w:vMerge w:val="continue"/>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p>
        </w:tc>
        <w:tc>
          <w:tcPr>
            <w:tcW w:w="4082"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型式、规格</w:t>
            </w:r>
          </w:p>
        </w:tc>
        <w:tc>
          <w:tcPr>
            <w:tcW w:w="438"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数量</w:t>
            </w:r>
          </w:p>
        </w:tc>
        <w:tc>
          <w:tcPr>
            <w:tcW w:w="1059"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型式、规格</w:t>
            </w:r>
          </w:p>
        </w:tc>
        <w:tc>
          <w:tcPr>
            <w:tcW w:w="540"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ascii="宋体" w:hAnsi="宋体" w:cs="宋体"/>
                <w:sz w:val="24"/>
                <w:szCs w:val="24"/>
                <w:highlight w:val="none"/>
              </w:rPr>
              <w:t>数量</w:t>
            </w:r>
          </w:p>
        </w:tc>
      </w:tr>
      <w:tr>
        <w:tblPrEx>
          <w:tblCellMar>
            <w:top w:w="0" w:type="dxa"/>
            <w:left w:w="28" w:type="dxa"/>
            <w:bottom w:w="0" w:type="dxa"/>
            <w:right w:w="28" w:type="dxa"/>
          </w:tblCellMar>
        </w:tblPrEx>
        <w:trPr>
          <w:cantSplit/>
          <w:trHeight w:val="5797" w:hRule="atLeast"/>
          <w:jc w:val="center"/>
        </w:trPr>
        <w:tc>
          <w:tcPr>
            <w:tcW w:w="564"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rPr>
            </w:pPr>
            <w:r>
              <w:rPr>
                <w:rFonts w:cs="宋体"/>
                <w:kern w:val="2"/>
                <w:sz w:val="24"/>
                <w:szCs w:val="24"/>
                <w:highlight w:val="none"/>
                <w:lang w:val="en-US" w:eastAsia="zh-CN" w:bidi="ar-SA"/>
              </w:rPr>
              <w:t>1</w:t>
            </w:r>
          </w:p>
        </w:tc>
        <w:tc>
          <w:tcPr>
            <w:tcW w:w="1144"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color w:val="auto"/>
                <w:highlight w:val="none"/>
              </w:rPr>
            </w:pPr>
            <w:r>
              <w:rPr>
                <w:rFonts w:hint="eastAsia" w:ascii="宋体" w:hAnsi="宋体" w:cs="宋体"/>
                <w:color w:val="auto"/>
                <w:kern w:val="0"/>
                <w:sz w:val="24"/>
                <w:szCs w:val="24"/>
                <w:highlight w:val="none"/>
                <w:lang w:val="en-US" w:eastAsia="zh-CN" w:bidi="ar-SA"/>
              </w:rPr>
              <w:t>屏柜</w:t>
            </w:r>
          </w:p>
        </w:tc>
        <w:tc>
          <w:tcPr>
            <w:tcW w:w="480" w:type="dxa"/>
            <w:tcBorders>
              <w:top w:val="single" w:color="000000" w:sz="6" w:space="0"/>
              <w:left w:val="single" w:color="000000" w:sz="6" w:space="0"/>
              <w:bottom w:val="single" w:color="000000" w:sz="6" w:space="0"/>
              <w:right w:val="single" w:color="000000" w:sz="6" w:space="0"/>
            </w:tcBorders>
            <w:vAlign w:val="center"/>
          </w:tcPr>
          <w:p>
            <w:pPr>
              <w:suppressAutoHyphens/>
              <w:spacing w:before="0" w:after="0"/>
              <w:jc w:val="center"/>
              <w:rPr>
                <w:rFonts w:ascii="宋体" w:hAnsi="宋体" w:eastAsia="宋体" w:cs="宋体"/>
                <w:sz w:val="24"/>
                <w:szCs w:val="24"/>
                <w:highlight w:val="none"/>
                <w:lang w:val="en-US" w:eastAsia="zh-CN"/>
              </w:rPr>
            </w:pPr>
            <w:r>
              <w:rPr>
                <w:rFonts w:ascii="宋体" w:hAnsi="宋体" w:cs="宋体"/>
                <w:sz w:val="24"/>
                <w:szCs w:val="24"/>
                <w:highlight w:val="none"/>
                <w:lang w:val="en-US" w:eastAsia="zh-CN"/>
              </w:rPr>
              <w:t>台</w:t>
            </w:r>
          </w:p>
        </w:tc>
        <w:tc>
          <w:tcPr>
            <w:tcW w:w="4082" w:type="dxa"/>
            <w:tcBorders>
              <w:top w:val="single" w:color="000000" w:sz="6" w:space="0"/>
              <w:left w:val="single" w:color="000000" w:sz="6" w:space="0"/>
              <w:bottom w:val="single" w:color="000000" w:sz="6" w:space="0"/>
              <w:right w:val="single" w:color="000000" w:sz="6" w:space="0"/>
            </w:tcBorders>
            <w:vAlign w:val="center"/>
          </w:tcPr>
          <w:p>
            <w:pPr>
              <w:pStyle w:val="2"/>
              <w:suppressAutoHyphens/>
              <w:spacing w:before="0" w:after="120" w:line="240" w:lineRule="auto"/>
              <w:jc w:val="left"/>
              <w:rPr>
                <w:rFonts w:ascii="宋体" w:hAnsi="宋体" w:eastAsia="宋体"/>
                <w:b w:val="0"/>
                <w:bCs w:val="0"/>
                <w:highlight w:val="none"/>
              </w:rPr>
            </w:pPr>
            <w:r>
              <w:rPr>
                <w:rFonts w:ascii="宋体" w:hAnsi="宋体" w:eastAsia="宋体" w:cs="宋体"/>
                <w:b w:val="0"/>
                <w:bCs w:val="0"/>
                <w:color w:val="000000"/>
                <w:sz w:val="24"/>
                <w:szCs w:val="24"/>
                <w:highlight w:val="none"/>
                <w:lang w:eastAsia="zh-CN"/>
              </w:rPr>
              <w:t>（承重≥1000公斤，柜内外防火阻断≥120分钟）</w:t>
            </w:r>
          </w:p>
          <w:p>
            <w:pPr>
              <w:pStyle w:val="2"/>
              <w:suppressAutoHyphens/>
              <w:spacing w:before="0" w:after="120" w:line="240" w:lineRule="auto"/>
              <w:jc w:val="left"/>
              <w:rPr>
                <w:rFonts w:ascii="宋体" w:hAnsi="宋体" w:eastAsia="宋体"/>
                <w:b w:val="0"/>
                <w:bCs w:val="0"/>
                <w:highlight w:val="none"/>
              </w:rPr>
            </w:pPr>
            <w:r>
              <w:rPr>
                <w:rFonts w:ascii="宋体" w:hAnsi="宋体" w:eastAsia="宋体" w:cs="宋体"/>
                <w:b w:val="0"/>
                <w:bCs w:val="0"/>
                <w:color w:val="000000"/>
                <w:sz w:val="24"/>
                <w:szCs w:val="24"/>
                <w:highlight w:val="none"/>
                <w:lang w:eastAsia="zh-CN"/>
              </w:rPr>
              <w:t>1、</w:t>
            </w:r>
            <w:r>
              <w:rPr>
                <w:rFonts w:ascii="宋体" w:hAnsi="宋体" w:eastAsia="宋体" w:cs="宋体;SimSun"/>
                <w:b w:val="0"/>
                <w:bCs w:val="0"/>
                <w:color w:val="000000"/>
                <w:sz w:val="24"/>
                <w:szCs w:val="24"/>
                <w:highlight w:val="none"/>
                <w:lang w:eastAsia="zh-CN"/>
              </w:rPr>
              <w:t>外尺寸：H*W*D≈2000mm*800mm*1000mm；</w:t>
            </w:r>
          </w:p>
          <w:p>
            <w:pPr>
              <w:pStyle w:val="2"/>
              <w:suppressAutoHyphens/>
              <w:spacing w:line="240" w:lineRule="auto"/>
              <w:jc w:val="left"/>
              <w:rPr>
                <w:rFonts w:ascii="宋体" w:hAnsi="宋体" w:eastAsia="宋体"/>
                <w:b w:val="0"/>
                <w:bCs w:val="0"/>
                <w:highlight w:val="none"/>
              </w:rPr>
            </w:pPr>
            <w:r>
              <w:rPr>
                <w:rFonts w:ascii="宋体" w:hAnsi="宋体" w:eastAsia="宋体"/>
                <w:b w:val="0"/>
                <w:bCs w:val="0"/>
                <w:color w:val="000000"/>
                <w:sz w:val="24"/>
                <w:szCs w:val="24"/>
                <w:highlight w:val="none"/>
              </w:rPr>
              <w:t>2、内尺寸：H*W*D</w:t>
            </w:r>
            <w:r>
              <w:rPr>
                <w:rFonts w:ascii="宋体" w:hAnsi="宋体" w:eastAsia="宋体" w:cs="宋体;SimSun"/>
                <w:b w:val="0"/>
                <w:bCs w:val="0"/>
                <w:color w:val="000000"/>
                <w:sz w:val="24"/>
                <w:szCs w:val="24"/>
                <w:highlight w:val="none"/>
                <w:lang w:eastAsia="zh-CN"/>
              </w:rPr>
              <w:t>≈</w:t>
            </w:r>
            <w:r>
              <w:rPr>
                <w:rFonts w:ascii="宋体" w:hAnsi="宋体" w:eastAsia="宋体"/>
                <w:b w:val="0"/>
                <w:bCs w:val="0"/>
                <w:color w:val="000000"/>
                <w:sz w:val="24"/>
                <w:szCs w:val="24"/>
                <w:highlight w:val="none"/>
              </w:rPr>
              <w:t>1800mm*750mm*950mm；</w:t>
            </w:r>
          </w:p>
          <w:p>
            <w:pPr>
              <w:pStyle w:val="3"/>
              <w:suppressAutoHyphens/>
              <w:spacing w:line="240" w:lineRule="auto"/>
              <w:jc w:val="left"/>
              <w:rPr>
                <w:rFonts w:ascii="宋体" w:hAnsi="宋体" w:eastAsia="宋体"/>
                <w:b w:val="0"/>
                <w:bCs w:val="0"/>
                <w:highlight w:val="none"/>
              </w:rPr>
            </w:pPr>
            <w:r>
              <w:rPr>
                <w:rFonts w:ascii="宋体" w:hAnsi="宋体" w:eastAsia="宋体"/>
                <w:b w:val="0"/>
                <w:bCs w:val="0"/>
                <w:color w:val="000000"/>
                <w:sz w:val="24"/>
                <w:szCs w:val="24"/>
                <w:highlight w:val="none"/>
              </w:rPr>
              <w:t>3、柜内布局：1单元1舱、19英寸机架+1块层板+5对L型托条；</w:t>
            </w:r>
          </w:p>
          <w:p>
            <w:pPr>
              <w:suppressAutoHyphens/>
              <w:spacing w:line="240" w:lineRule="auto"/>
              <w:jc w:val="left"/>
              <w:rPr>
                <w:rFonts w:ascii="宋体" w:hAnsi="宋体" w:eastAsia="宋体"/>
                <w:b w:val="0"/>
                <w:bCs w:val="0"/>
                <w:highlight w:val="none"/>
              </w:rPr>
            </w:pPr>
            <w:r>
              <w:rPr>
                <w:rFonts w:ascii="宋体" w:hAnsi="宋体" w:eastAsia="宋体"/>
                <w:b w:val="0"/>
                <w:bCs w:val="0"/>
                <w:color w:val="000000"/>
                <w:sz w:val="24"/>
                <w:szCs w:val="24"/>
                <w:highlight w:val="none"/>
              </w:rPr>
              <w:t>4设备安装方式：落地式底座固定安装；</w:t>
            </w:r>
          </w:p>
          <w:p>
            <w:pPr>
              <w:pStyle w:val="2"/>
              <w:suppressAutoHyphens/>
              <w:spacing w:line="240" w:lineRule="auto"/>
              <w:jc w:val="left"/>
              <w:rPr>
                <w:rFonts w:ascii="宋体" w:hAnsi="宋体" w:eastAsia="宋体"/>
                <w:b w:val="0"/>
                <w:bCs w:val="0"/>
                <w:highlight w:val="none"/>
              </w:rPr>
            </w:pPr>
            <w:r>
              <w:rPr>
                <w:rFonts w:ascii="宋体" w:hAnsi="宋体" w:eastAsia="宋体"/>
                <w:b w:val="0"/>
                <w:bCs w:val="0"/>
                <w:color w:val="000000"/>
                <w:sz w:val="24"/>
                <w:szCs w:val="24"/>
                <w:highlight w:val="none"/>
              </w:rPr>
              <w:t>5、标配≥0.6匹</w:t>
            </w:r>
            <w:r>
              <w:rPr>
                <w:rFonts w:ascii="宋体" w:hAnsi="宋体" w:eastAsia="宋体" w:cs="宋体;SimSun"/>
                <w:b w:val="0"/>
                <w:bCs w:val="0"/>
                <w:color w:val="000000"/>
                <w:sz w:val="24"/>
                <w:szCs w:val="24"/>
                <w:highlight w:val="none"/>
                <w:lang w:eastAsia="zh-CN"/>
              </w:rPr>
              <w:t>工业空调（额定制冷量：1500W）</w:t>
            </w:r>
          </w:p>
          <w:p>
            <w:pPr>
              <w:pStyle w:val="3"/>
              <w:suppressAutoHyphens/>
              <w:spacing w:before="240" w:after="60" w:line="240" w:lineRule="auto"/>
              <w:jc w:val="left"/>
              <w:rPr>
                <w:rFonts w:ascii="宋体" w:hAnsi="宋体" w:eastAsia="宋体"/>
                <w:b w:val="0"/>
                <w:bCs w:val="0"/>
                <w:highlight w:val="none"/>
              </w:rPr>
            </w:pPr>
            <w:r>
              <w:rPr>
                <w:rFonts w:ascii="宋体" w:hAnsi="宋体" w:eastAsia="宋体"/>
                <w:b w:val="0"/>
                <w:bCs w:val="0"/>
                <w:color w:val="000000"/>
                <w:sz w:val="24"/>
                <w:szCs w:val="24"/>
                <w:highlight w:val="none"/>
              </w:rPr>
              <w:t>6、前、后开门，标配户外柜专用锁，</w:t>
            </w:r>
            <w:r>
              <w:rPr>
                <w:rFonts w:ascii="宋体" w:hAnsi="宋体" w:eastAsia="宋体" w:cs="宋体;SimSun"/>
                <w:b w:val="0"/>
                <w:bCs w:val="0"/>
                <w:color w:val="000000"/>
                <w:sz w:val="24"/>
                <w:szCs w:val="24"/>
                <w:highlight w:val="none"/>
                <w:lang w:eastAsia="zh-CN"/>
              </w:rPr>
              <w:t>柜门采用双层镀锌板（外板厚度≥1.2mm，内板厚度≥1.0mm）内夹≥20mm厚PEF阻燃隔热棉三明治结构。</w:t>
            </w:r>
          </w:p>
          <w:p>
            <w:pPr>
              <w:suppressAutoHyphens/>
              <w:spacing w:before="240" w:after="60" w:line="240" w:lineRule="auto"/>
              <w:jc w:val="left"/>
              <w:rPr>
                <w:rFonts w:ascii="宋体" w:hAnsi="宋体" w:eastAsia="宋体" w:cs="宋体;SimSun"/>
                <w:b w:val="0"/>
                <w:bCs w:val="0"/>
                <w:color w:val="000000"/>
                <w:sz w:val="24"/>
                <w:szCs w:val="24"/>
                <w:highlight w:val="none"/>
                <w:lang w:eastAsia="zh-CN"/>
              </w:rPr>
            </w:pPr>
            <w:r>
              <w:rPr>
                <w:rFonts w:ascii="宋体" w:hAnsi="宋体" w:eastAsia="宋体" w:cs="宋体;SimSun"/>
                <w:b w:val="0"/>
                <w:bCs w:val="0"/>
                <w:color w:val="000000"/>
                <w:sz w:val="24"/>
                <w:szCs w:val="24"/>
                <w:highlight w:val="none"/>
                <w:lang w:eastAsia="zh-CN"/>
              </w:rPr>
              <w:t>7、需包含设备运输、固定安装服务及设备安装必须配套材料。</w:t>
            </w:r>
          </w:p>
        </w:tc>
        <w:tc>
          <w:tcPr>
            <w:tcW w:w="438" w:type="dxa"/>
            <w:tcBorders>
              <w:top w:val="single" w:color="000000" w:sz="6" w:space="0"/>
              <w:left w:val="single" w:color="000000" w:sz="6" w:space="0"/>
              <w:bottom w:val="single" w:color="000000" w:sz="6" w:space="0"/>
              <w:right w:val="single" w:color="000000" w:sz="6" w:space="0"/>
            </w:tcBorders>
            <w:vAlign w:val="center"/>
          </w:tcPr>
          <w:p>
            <w:pPr>
              <w:suppressAutoHyphens/>
              <w:snapToGrid w:val="0"/>
              <w:spacing w:before="120" w:after="0"/>
              <w:jc w:val="center"/>
              <w:rPr>
                <w:rFonts w:ascii="宋体" w:hAnsi="宋体" w:eastAsia="宋体" w:cs="宋体"/>
                <w:sz w:val="24"/>
                <w:szCs w:val="24"/>
                <w:highlight w:val="none"/>
                <w:lang w:val="en-US" w:eastAsia="zh-CN"/>
              </w:rPr>
            </w:pPr>
            <w:r>
              <w:rPr>
                <w:rFonts w:eastAsia="宋体" w:cs="宋体"/>
                <w:sz w:val="24"/>
                <w:szCs w:val="24"/>
                <w:highlight w:val="none"/>
                <w:lang w:val="en-US" w:eastAsia="zh-CN"/>
              </w:rPr>
              <w:t>5</w:t>
            </w:r>
          </w:p>
        </w:tc>
        <w:tc>
          <w:tcPr>
            <w:tcW w:w="1059" w:type="dxa"/>
            <w:tcBorders>
              <w:top w:val="single" w:color="000000" w:sz="6" w:space="0"/>
              <w:left w:val="single" w:color="000000" w:sz="6" w:space="0"/>
              <w:bottom w:val="single" w:color="000000" w:sz="6" w:space="0"/>
              <w:right w:val="single" w:color="000000" w:sz="6" w:space="0"/>
            </w:tcBorders>
          </w:tcPr>
          <w:p>
            <w:pPr>
              <w:suppressAutoHyphens/>
              <w:spacing w:before="0" w:after="0"/>
              <w:rPr>
                <w:rFonts w:ascii="宋体" w:hAnsi="宋体" w:eastAsia="宋体" w:cs="宋体"/>
                <w:sz w:val="24"/>
                <w:szCs w:val="24"/>
                <w:highlight w:val="none"/>
              </w:rPr>
            </w:pPr>
          </w:p>
        </w:tc>
        <w:tc>
          <w:tcPr>
            <w:tcW w:w="540" w:type="dxa"/>
            <w:tcBorders>
              <w:top w:val="single" w:color="000000" w:sz="6" w:space="0"/>
              <w:left w:val="single" w:color="000000" w:sz="6" w:space="0"/>
              <w:bottom w:val="single" w:color="000000" w:sz="6" w:space="0"/>
              <w:right w:val="single" w:color="000000" w:sz="6" w:space="0"/>
            </w:tcBorders>
          </w:tcPr>
          <w:p>
            <w:pPr>
              <w:suppressAutoHyphens/>
              <w:spacing w:before="0" w:after="0"/>
              <w:rPr>
                <w:rFonts w:ascii="宋体" w:hAnsi="宋体" w:eastAsia="宋体" w:cs="宋体"/>
                <w:sz w:val="24"/>
                <w:szCs w:val="24"/>
                <w:highlight w:val="none"/>
              </w:rPr>
            </w:pPr>
          </w:p>
        </w:tc>
      </w:tr>
      <w:tr>
        <w:tblPrEx>
          <w:tblCellMar>
            <w:top w:w="0" w:type="dxa"/>
            <w:left w:w="28" w:type="dxa"/>
            <w:bottom w:w="0" w:type="dxa"/>
            <w:right w:w="28" w:type="dxa"/>
          </w:tblCellMar>
        </w:tblPrEx>
        <w:trPr>
          <w:cantSplit/>
          <w:trHeight w:val="660" w:hRule="atLeast"/>
          <w:jc w:val="center"/>
        </w:trPr>
        <w:tc>
          <w:tcPr>
            <w:tcW w:w="1708" w:type="dxa"/>
            <w:gridSpan w:val="2"/>
            <w:tcBorders>
              <w:top w:val="single" w:color="000000" w:sz="6" w:space="0"/>
              <w:left w:val="single" w:color="000000" w:sz="6" w:space="0"/>
              <w:bottom w:val="single" w:color="000000" w:sz="6" w:space="0"/>
              <w:right w:val="single" w:color="000000" w:sz="6" w:space="0"/>
            </w:tcBorders>
            <w:vAlign w:val="center"/>
          </w:tcPr>
          <w:p>
            <w:pPr>
              <w:suppressAutoHyphens/>
              <w:spacing w:before="0" w:after="0" w:line="240" w:lineRule="auto"/>
              <w:rPr>
                <w:rFonts w:cs="宋体"/>
                <w:color w:val="000000"/>
                <w:kern w:val="0"/>
                <w:sz w:val="24"/>
                <w:szCs w:val="24"/>
                <w:highlight w:val="none"/>
                <w:lang w:val="en-US" w:eastAsia="zh-CN" w:bidi="ar-SA"/>
              </w:rPr>
            </w:pPr>
            <w:r>
              <w:rPr>
                <w:rFonts w:ascii="宋体" w:hAnsi="宋体" w:cs="宋体"/>
                <w:sz w:val="24"/>
                <w:szCs w:val="24"/>
                <w:highlight w:val="none"/>
              </w:rPr>
              <w:t>要求报价含</w:t>
            </w:r>
          </w:p>
        </w:tc>
        <w:tc>
          <w:tcPr>
            <w:tcW w:w="6599" w:type="dxa"/>
            <w:gridSpan w:val="5"/>
            <w:tcBorders>
              <w:top w:val="single" w:color="000000" w:sz="6" w:space="0"/>
              <w:left w:val="single" w:color="000000" w:sz="6" w:space="0"/>
              <w:bottom w:val="single" w:color="000000" w:sz="6" w:space="0"/>
              <w:right w:val="single" w:color="000000" w:sz="6" w:space="0"/>
            </w:tcBorders>
            <w:vAlign w:val="center"/>
          </w:tcPr>
          <w:p>
            <w:pPr>
              <w:suppressAutoHyphens/>
              <w:spacing w:before="0" w:after="0"/>
              <w:rPr>
                <w:rFonts w:ascii="宋体" w:hAnsi="宋体" w:eastAsia="宋体" w:cs="宋体"/>
                <w:sz w:val="24"/>
                <w:szCs w:val="24"/>
                <w:highlight w:val="none"/>
              </w:rPr>
            </w:pPr>
          </w:p>
        </w:tc>
      </w:tr>
    </w:tbl>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工厂试验可由投标方在生产厂家内完成。</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投标方应协助招标方解决设备运行中出现的问题。</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szCs w:val="24"/>
          <w:highlight w:val="none"/>
        </w:rPr>
      </w:pPr>
      <w:r>
        <w:rPr>
          <w:rFonts w:ascii="宋体" w:hAnsi="宋体" w:cs="宋体"/>
          <w:b w:val="0"/>
          <w:szCs w:val="24"/>
          <w:highlight w:val="none"/>
        </w:rPr>
        <w:t>设备安装、调试和性能试验合格后方可投运。</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szCs w:val="24"/>
          <w:highlight w:val="none"/>
        </w:rPr>
      </w:pPr>
      <w:r>
        <w:rPr>
          <w:rFonts w:ascii="宋体" w:hAnsi="宋体" w:cs="宋体"/>
          <w:b w:val="0"/>
          <w:szCs w:val="24"/>
          <w:highlight w:val="none"/>
        </w:rPr>
        <w:t>如果安装、调试、性能试验、试运行及质保期内技术指标一项或多项不能满足合同技术部分要求，买卖双方共同分析原因，分清责任，如属制造方面的原因，或涉及索赔部分，按商务部分有关条款执行。</w:t>
      </w: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73" w:name="_Toc15309"/>
      <w:r>
        <w:rPr>
          <w:rFonts w:ascii="宋体" w:hAnsi="宋体" w:cs="宋体"/>
          <w:szCs w:val="24"/>
          <w:highlight w:val="none"/>
        </w:rPr>
        <w:t>应遵循的主要标准</w:t>
      </w:r>
      <w:bookmarkEnd w:id="73"/>
    </w:p>
    <w:p>
      <w:pPr>
        <w:pStyle w:val="5"/>
        <w:keepNext w:val="0"/>
        <w:keepLines w:val="0"/>
        <w:widowControl/>
        <w:numPr>
          <w:ilvl w:val="1"/>
          <w:numId w:val="2"/>
        </w:numPr>
        <w:spacing w:before="200" w:after="0"/>
        <w:jc w:val="left"/>
        <w:rPr>
          <w:rFonts w:ascii="宋体" w:hAnsi="宋体" w:eastAsia="宋体" w:cs="宋体"/>
          <w:b w:val="0"/>
          <w:szCs w:val="24"/>
          <w:highlight w:val="none"/>
        </w:rPr>
      </w:pPr>
      <w:r>
        <w:rPr>
          <w:rFonts w:ascii="宋体" w:hAnsi="宋体" w:cs="宋体"/>
          <w:b w:val="0"/>
          <w:szCs w:val="24"/>
          <w:highlight w:val="none"/>
        </w:rPr>
        <w:t>表</w:t>
      </w:r>
      <w:r>
        <w:rPr>
          <w:rFonts w:eastAsia="宋体" w:cs="宋体"/>
          <w:b w:val="0"/>
          <w:szCs w:val="24"/>
          <w:highlight w:val="none"/>
        </w:rPr>
        <w:t>2</w:t>
      </w:r>
      <w:r>
        <w:rPr>
          <w:rFonts w:ascii="宋体" w:hAnsi="宋体" w:cs="宋体"/>
          <w:b w:val="0"/>
          <w:szCs w:val="24"/>
          <w:highlight w:val="none"/>
        </w:rPr>
        <w:t>所列标准所包含的条文</w:t>
      </w:r>
      <w:r>
        <w:rPr>
          <w:rFonts w:eastAsia="宋体" w:cs="宋体"/>
          <w:b w:val="0"/>
          <w:szCs w:val="24"/>
          <w:highlight w:val="none"/>
        </w:rPr>
        <w:t>,</w:t>
      </w:r>
      <w:r>
        <w:rPr>
          <w:rFonts w:ascii="宋体" w:hAnsi="宋体" w:cs="宋体"/>
          <w:b w:val="0"/>
          <w:szCs w:val="24"/>
          <w:highlight w:val="none"/>
        </w:rPr>
        <w:t>通过在本招标技术文件中引用而构成本招标技术文件的基本条文。在本招标技术文件出版时</w:t>
      </w:r>
      <w:r>
        <w:rPr>
          <w:rFonts w:eastAsia="宋体" w:cs="宋体"/>
          <w:b w:val="0"/>
          <w:szCs w:val="24"/>
          <w:highlight w:val="none"/>
        </w:rPr>
        <w:t xml:space="preserve">, </w:t>
      </w:r>
      <w:r>
        <w:rPr>
          <w:rFonts w:ascii="宋体" w:hAnsi="宋体" w:cs="宋体"/>
          <w:b w:val="0"/>
          <w:szCs w:val="24"/>
          <w:highlight w:val="none"/>
        </w:rPr>
        <w:t>若未指明标准号年份，则使用所列标准的最新版本。如果各标准对同一内容要求有所不同，则需满足最高的标准要求。</w:t>
      </w:r>
    </w:p>
    <w:p>
      <w:pPr>
        <w:jc w:val="center"/>
        <w:rPr>
          <w:rFonts w:ascii="宋体" w:hAnsi="宋体" w:eastAsia="宋体" w:cs="宋体"/>
          <w:highlight w:val="none"/>
        </w:rPr>
      </w:pPr>
      <w:r>
        <w:rPr>
          <w:rFonts w:ascii="宋体" w:hAnsi="宋体" w:cs="宋体"/>
          <w:highlight w:val="none"/>
        </w:rPr>
        <w:t>表</w:t>
      </w:r>
      <w:r>
        <w:rPr>
          <w:rFonts w:eastAsia="宋体" w:cs="宋体"/>
          <w:highlight w:val="none"/>
        </w:rPr>
        <w:t xml:space="preserve">2 </w:t>
      </w:r>
      <w:r>
        <w:rPr>
          <w:rFonts w:ascii="宋体" w:hAnsi="宋体" w:cs="宋体"/>
          <w:highlight w:val="none"/>
        </w:rPr>
        <w:t>设备应遵循主要标准列表</w:t>
      </w:r>
    </w:p>
    <w:tbl>
      <w:tblPr>
        <w:tblStyle w:val="17"/>
        <w:tblW w:w="9037" w:type="dxa"/>
        <w:tblInd w:w="0" w:type="dxa"/>
        <w:tblLayout w:type="fixed"/>
        <w:tblCellMar>
          <w:top w:w="0" w:type="dxa"/>
          <w:left w:w="108" w:type="dxa"/>
          <w:bottom w:w="0" w:type="dxa"/>
          <w:right w:w="108" w:type="dxa"/>
        </w:tblCellMar>
      </w:tblPr>
      <w:tblGrid>
        <w:gridCol w:w="2856"/>
        <w:gridCol w:w="6180"/>
      </w:tblGrid>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标准号</w:t>
            </w:r>
            <w:r>
              <w:rPr>
                <w:rFonts w:eastAsia="宋体" w:cs="宋体"/>
                <w:highlight w:val="none"/>
              </w:rPr>
              <w:t>-</w:t>
            </w:r>
            <w:r>
              <w:rPr>
                <w:rFonts w:ascii="宋体" w:hAnsi="宋体" w:cs="宋体"/>
                <w:highlight w:val="none"/>
              </w:rPr>
              <w:t>年份</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标准名称</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Q/CSG2153073-2020</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南方电网公司全域物联网管理业务指导书（试行）</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Q/CSG118010-2012</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中国南方电网有限责任公司信息安全保障体系</w:t>
            </w:r>
          </w:p>
        </w:tc>
      </w:tr>
      <w:tr>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Q/CSG218008-2014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南方电网有限责任公司信息化项目实施管理办法</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Q/CSG-GXPG218009-2014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广西电网有限责任公司信息化项目实施管理细则</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jc w:val="left"/>
              <w:rPr>
                <w:rFonts w:ascii="宋体" w:hAnsi="宋体" w:eastAsia="宋体" w:cs="宋体"/>
                <w:highlight w:val="none"/>
              </w:rPr>
            </w:pPr>
            <w:r>
              <w:rPr>
                <w:rFonts w:eastAsia="宋体" w:cs="宋体"/>
                <w:highlight w:val="none"/>
              </w:rPr>
              <w:t>Q/CSG218011-2014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南方电网有限责任公司信息化项目进度管理办法</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Q/CSG-GXPG218004-2014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广西电网有限责任公司信息化项目进度管理细则</w:t>
            </w:r>
          </w:p>
        </w:tc>
      </w:tr>
      <w:tr>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Q/CSG218006-2014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南方电网有限责任公司信息化项目验收管理办法</w:t>
            </w:r>
          </w:p>
        </w:tc>
      </w:tr>
      <w:tr>
        <w:tblPrEx>
          <w:tblCellMar>
            <w:top w:w="0" w:type="dxa"/>
            <w:left w:w="108" w:type="dxa"/>
            <w:bottom w:w="0" w:type="dxa"/>
            <w:right w:w="108" w:type="dxa"/>
          </w:tblCellMar>
        </w:tblPrEx>
        <w:tc>
          <w:tcPr>
            <w:tcW w:w="285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eastAsia="宋体" w:cs="宋体"/>
                <w:highlight w:val="none"/>
              </w:rPr>
              <w:t>Q/CSG-GXPG218011-2014</w:t>
            </w:r>
          </w:p>
        </w:tc>
        <w:tc>
          <w:tcPr>
            <w:tcW w:w="618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r>
              <w:rPr>
                <w:rFonts w:ascii="宋体" w:hAnsi="宋体" w:cs="宋体"/>
                <w:highlight w:val="none"/>
              </w:rPr>
              <w:t>广西电网有限责任公司信息化项目验收管理细则</w:t>
            </w:r>
          </w:p>
        </w:tc>
      </w:tr>
    </w:tbl>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74" w:name="_Toc5129"/>
      <w:r>
        <w:rPr>
          <w:rFonts w:ascii="宋体" w:hAnsi="宋体" w:cs="宋体"/>
          <w:szCs w:val="24"/>
          <w:highlight w:val="none"/>
        </w:rPr>
        <w:t>使用条件</w:t>
      </w:r>
      <w:bookmarkEnd w:id="74"/>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bCs w:val="0"/>
          <w:szCs w:val="24"/>
          <w:highlight w:val="none"/>
        </w:rPr>
      </w:pPr>
      <w:r>
        <w:rPr>
          <w:rFonts w:ascii="宋体" w:hAnsi="宋体" w:cs="宋体"/>
          <w:b w:val="0"/>
          <w:bCs w:val="0"/>
          <w:szCs w:val="24"/>
          <w:highlight w:val="none"/>
        </w:rPr>
        <w:t>工作环境温度：</w:t>
      </w:r>
      <w:r>
        <w:rPr>
          <w:rFonts w:eastAsia="宋体" w:cs="宋体"/>
          <w:b w:val="0"/>
          <w:bCs w:val="0"/>
          <w:szCs w:val="24"/>
          <w:highlight w:val="none"/>
        </w:rPr>
        <w:t xml:space="preserve">-10℃ </w:t>
      </w:r>
      <w:r>
        <w:rPr>
          <w:rFonts w:ascii="宋体" w:hAnsi="宋体" w:cs="宋体"/>
          <w:b w:val="0"/>
          <w:bCs w:val="0"/>
          <w:szCs w:val="24"/>
          <w:highlight w:val="none"/>
        </w:rPr>
        <w:t xml:space="preserve">～ </w:t>
      </w:r>
      <w:r>
        <w:rPr>
          <w:rFonts w:eastAsia="宋体" w:cs="宋体"/>
          <w:b w:val="0"/>
          <w:bCs w:val="0"/>
          <w:szCs w:val="24"/>
          <w:highlight w:val="none"/>
        </w:rPr>
        <w:t>55℃</w:t>
      </w:r>
      <w:r>
        <w:rPr>
          <w:rFonts w:ascii="宋体" w:hAnsi="宋体" w:cs="宋体"/>
          <w:b w:val="0"/>
          <w:bCs w:val="0"/>
          <w:szCs w:val="24"/>
          <w:highlight w:val="none"/>
          <w:lang w:eastAsia="zh-CN"/>
        </w:rPr>
        <w:t>；</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bCs w:val="0"/>
          <w:szCs w:val="24"/>
          <w:highlight w:val="none"/>
        </w:rPr>
      </w:pPr>
      <w:r>
        <w:rPr>
          <w:rFonts w:ascii="宋体" w:hAnsi="宋体" w:cs="宋体"/>
          <w:b w:val="0"/>
          <w:bCs w:val="0"/>
          <w:szCs w:val="24"/>
          <w:highlight w:val="none"/>
        </w:rPr>
        <w:t>储存环境温度：</w:t>
      </w:r>
      <w:r>
        <w:rPr>
          <w:rFonts w:eastAsia="宋体" w:cs="宋体"/>
          <w:b w:val="0"/>
          <w:bCs w:val="0"/>
          <w:szCs w:val="24"/>
          <w:highlight w:val="none"/>
        </w:rPr>
        <w:t xml:space="preserve">-40℃ </w:t>
      </w:r>
      <w:r>
        <w:rPr>
          <w:rFonts w:ascii="宋体" w:hAnsi="宋体" w:cs="宋体"/>
          <w:b w:val="0"/>
          <w:bCs w:val="0"/>
          <w:szCs w:val="24"/>
          <w:highlight w:val="none"/>
        </w:rPr>
        <w:t xml:space="preserve">～ </w:t>
      </w:r>
      <w:r>
        <w:rPr>
          <w:rFonts w:eastAsia="宋体" w:cs="宋体"/>
          <w:b w:val="0"/>
          <w:bCs w:val="0"/>
          <w:szCs w:val="24"/>
          <w:highlight w:val="none"/>
        </w:rPr>
        <w:t>80℃</w:t>
      </w:r>
      <w:r>
        <w:rPr>
          <w:rFonts w:ascii="宋体" w:hAnsi="宋体" w:cs="宋体"/>
          <w:b w:val="0"/>
          <w:bCs w:val="0"/>
          <w:szCs w:val="24"/>
          <w:highlight w:val="none"/>
          <w:lang w:eastAsia="zh-CN"/>
        </w:rPr>
        <w:t>；</w:t>
      </w:r>
    </w:p>
    <w:p>
      <w:pPr>
        <w:pStyle w:val="5"/>
        <w:keepNext w:val="0"/>
        <w:keepLines w:val="0"/>
        <w:pageBreakBefore w:val="0"/>
        <w:widowControl/>
        <w:numPr>
          <w:ilvl w:val="1"/>
          <w:numId w:val="2"/>
        </w:numPr>
        <w:overflowPunct w:val="0"/>
        <w:bidi w:val="0"/>
        <w:snapToGrid/>
        <w:jc w:val="left"/>
        <w:textAlignment w:val="auto"/>
        <w:rPr>
          <w:rFonts w:ascii="宋体" w:hAnsi="宋体" w:eastAsia="宋体" w:cs="宋体"/>
          <w:b w:val="0"/>
          <w:bCs w:val="0"/>
          <w:szCs w:val="24"/>
          <w:highlight w:val="none"/>
        </w:rPr>
      </w:pPr>
      <w:r>
        <w:rPr>
          <w:rFonts w:ascii="宋体" w:hAnsi="宋体" w:cs="宋体"/>
          <w:b w:val="0"/>
          <w:bCs w:val="0"/>
          <w:szCs w:val="24"/>
          <w:highlight w:val="none"/>
        </w:rPr>
        <w:t>相对湿度：</w:t>
      </w:r>
      <w:r>
        <w:rPr>
          <w:rFonts w:eastAsia="宋体" w:cs="宋体"/>
          <w:b w:val="0"/>
          <w:bCs w:val="0"/>
          <w:szCs w:val="24"/>
          <w:highlight w:val="none"/>
        </w:rPr>
        <w:t>5</w:t>
      </w:r>
      <w:r>
        <w:rPr>
          <w:rFonts w:ascii="宋体" w:hAnsi="宋体" w:cs="宋体"/>
          <w:b w:val="0"/>
          <w:bCs w:val="0"/>
          <w:szCs w:val="24"/>
          <w:highlight w:val="none"/>
        </w:rPr>
        <w:t>％～</w:t>
      </w:r>
      <w:r>
        <w:rPr>
          <w:rFonts w:eastAsia="宋体" w:cs="宋体"/>
          <w:b w:val="0"/>
          <w:bCs w:val="0"/>
          <w:szCs w:val="24"/>
          <w:highlight w:val="none"/>
        </w:rPr>
        <w:t>95</w:t>
      </w:r>
      <w:r>
        <w:rPr>
          <w:rFonts w:ascii="宋体" w:hAnsi="宋体" w:cs="宋体"/>
          <w:b w:val="0"/>
          <w:bCs w:val="0"/>
          <w:szCs w:val="24"/>
          <w:highlight w:val="none"/>
        </w:rPr>
        <w:t>％，无凝结</w:t>
      </w:r>
      <w:r>
        <w:rPr>
          <w:rFonts w:ascii="宋体" w:hAnsi="宋体" w:cs="宋体"/>
          <w:b w:val="0"/>
          <w:bCs w:val="0"/>
          <w:szCs w:val="24"/>
          <w:highlight w:val="none"/>
          <w:lang w:eastAsia="zh-CN"/>
        </w:rPr>
        <w:t>。</w:t>
      </w: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75" w:name="_Toc18173"/>
      <w:r>
        <w:rPr>
          <w:rFonts w:ascii="宋体" w:hAnsi="宋体" w:cs="宋体"/>
          <w:szCs w:val="24"/>
          <w:highlight w:val="none"/>
        </w:rPr>
        <w:t>技术要求</w:t>
      </w:r>
      <w:bookmarkEnd w:id="75"/>
    </w:p>
    <w:p>
      <w:pPr>
        <w:pStyle w:val="5"/>
        <w:keepNext w:val="0"/>
        <w:keepLines w:val="0"/>
        <w:widowControl/>
        <w:numPr>
          <w:ilvl w:val="1"/>
          <w:numId w:val="2"/>
        </w:numPr>
        <w:spacing w:before="200" w:after="0"/>
        <w:jc w:val="left"/>
        <w:rPr>
          <w:rFonts w:ascii="宋体" w:hAnsi="宋体" w:eastAsia="宋体" w:cs="宋体"/>
          <w:szCs w:val="24"/>
          <w:highlight w:val="none"/>
        </w:rPr>
      </w:pPr>
      <w:r>
        <w:rPr>
          <w:rFonts w:ascii="宋体" w:hAnsi="宋体" w:cs="宋体"/>
          <w:szCs w:val="24"/>
          <w:highlight w:val="none"/>
        </w:rPr>
        <w:t>总体要求</w:t>
      </w:r>
    </w:p>
    <w:p>
      <w:pPr>
        <w:pStyle w:val="5"/>
        <w:keepNext w:val="0"/>
        <w:keepLines w:val="0"/>
        <w:widowControl/>
        <w:numPr>
          <w:ilvl w:val="2"/>
          <w:numId w:val="2"/>
        </w:numPr>
        <w:jc w:val="left"/>
        <w:rPr>
          <w:rFonts w:ascii="宋体" w:hAnsi="宋体" w:eastAsia="宋体" w:cs="宋体"/>
          <w:b w:val="0"/>
          <w:bCs w:val="0"/>
          <w:kern w:val="0"/>
          <w:szCs w:val="24"/>
          <w:highlight w:val="none"/>
        </w:rPr>
      </w:pPr>
      <w:bookmarkStart w:id="76" w:name="_Toc245"/>
      <w:r>
        <w:rPr>
          <w:rFonts w:ascii="宋体" w:hAnsi="宋体" w:cs="宋体"/>
          <w:b w:val="0"/>
          <w:kern w:val="0"/>
          <w:szCs w:val="24"/>
          <w:highlight w:val="none"/>
        </w:rPr>
        <w:t>投标方提供</w:t>
      </w:r>
      <w:r>
        <w:rPr>
          <w:rFonts w:ascii="宋体" w:hAnsi="宋体" w:cs="宋体"/>
          <w:b w:val="0"/>
          <w:bCs w:val="0"/>
          <w:kern w:val="0"/>
          <w:szCs w:val="24"/>
          <w:highlight w:val="none"/>
        </w:rPr>
        <w:t>产品资料、检验报告及原厂证明等文件</w:t>
      </w:r>
      <w:r>
        <w:rPr>
          <w:rFonts w:ascii="宋体" w:hAnsi="宋体" w:cs="宋体"/>
          <w:b w:val="0"/>
          <w:kern w:val="0"/>
          <w:szCs w:val="24"/>
          <w:highlight w:val="none"/>
        </w:rPr>
        <w:t>。</w:t>
      </w:r>
    </w:p>
    <w:p>
      <w:pPr>
        <w:pStyle w:val="5"/>
        <w:keepNext w:val="0"/>
        <w:keepLines w:val="0"/>
        <w:widowControl/>
        <w:numPr>
          <w:ilvl w:val="2"/>
          <w:numId w:val="2"/>
        </w:numPr>
        <w:jc w:val="left"/>
        <w:rPr>
          <w:rFonts w:ascii="宋体" w:hAnsi="宋体" w:eastAsia="宋体" w:cs="宋体"/>
          <w:szCs w:val="24"/>
          <w:highlight w:val="none"/>
        </w:rPr>
      </w:pPr>
      <w:r>
        <w:rPr>
          <w:rFonts w:ascii="宋体" w:hAnsi="宋体" w:cs="宋体"/>
          <w:b w:val="0"/>
          <w:kern w:val="0"/>
          <w:szCs w:val="24"/>
          <w:highlight w:val="none"/>
        </w:rPr>
        <w:t>标“</w:t>
      </w:r>
      <w:r>
        <w:rPr>
          <w:rFonts w:cs="宋体"/>
          <w:b w:val="0"/>
          <w:kern w:val="0"/>
          <w:szCs w:val="24"/>
          <w:highlight w:val="none"/>
          <w:lang w:eastAsia="zh-CN"/>
        </w:rPr>
        <w:t>（重要技术参数）</w:t>
      </w:r>
      <w:r>
        <w:rPr>
          <w:rFonts w:ascii="宋体" w:hAnsi="宋体" w:cs="宋体"/>
          <w:b w:val="0"/>
          <w:kern w:val="0"/>
          <w:szCs w:val="24"/>
          <w:highlight w:val="none"/>
        </w:rPr>
        <w:t>”的技术参数是关键参数，投标设备必须满足指标要求，同时投标方应提供相应的公开宣传资料、产品彩页、网站资料</w:t>
      </w:r>
      <w:r>
        <w:rPr>
          <w:rFonts w:ascii="宋体" w:hAnsi="宋体" w:cs="宋体"/>
          <w:b w:val="0"/>
          <w:kern w:val="0"/>
          <w:szCs w:val="24"/>
          <w:highlight w:val="none"/>
          <w:lang w:eastAsia="zh-CN"/>
        </w:rPr>
        <w:t>、</w:t>
      </w:r>
      <w:r>
        <w:rPr>
          <w:rFonts w:ascii="宋体" w:hAnsi="宋体" w:cs="宋体"/>
          <w:b w:val="0"/>
          <w:kern w:val="0"/>
          <w:szCs w:val="24"/>
          <w:highlight w:val="none"/>
          <w:lang w:val="en-US" w:eastAsia="zh-CN"/>
        </w:rPr>
        <w:t>界面截图、测试报告</w:t>
      </w:r>
      <w:r>
        <w:rPr>
          <w:rFonts w:ascii="宋体" w:hAnsi="宋体" w:cs="宋体"/>
          <w:b w:val="0"/>
          <w:kern w:val="0"/>
          <w:szCs w:val="24"/>
          <w:highlight w:val="none"/>
        </w:rPr>
        <w:t>等进行验证。</w:t>
      </w:r>
      <w:bookmarkEnd w:id="76"/>
    </w:p>
    <w:p>
      <w:pPr>
        <w:pStyle w:val="5"/>
        <w:keepNext w:val="0"/>
        <w:keepLines w:val="0"/>
        <w:widowControl/>
        <w:numPr>
          <w:ilvl w:val="1"/>
          <w:numId w:val="2"/>
        </w:numPr>
        <w:spacing w:before="200" w:after="0"/>
        <w:jc w:val="left"/>
        <w:rPr>
          <w:rFonts w:ascii="宋体" w:hAnsi="宋体" w:eastAsia="宋体" w:cs="宋体"/>
          <w:szCs w:val="24"/>
          <w:highlight w:val="none"/>
        </w:rPr>
      </w:pPr>
      <w:r>
        <w:rPr>
          <w:rFonts w:cs="宋体"/>
          <w:szCs w:val="24"/>
          <w:highlight w:val="none"/>
          <w:lang w:val="en-US" w:eastAsia="zh-CN"/>
        </w:rPr>
        <w:t>户外一体机柜</w:t>
      </w:r>
      <w:bookmarkStart w:id="77" w:name="_Toc31703"/>
      <w:r>
        <w:rPr>
          <w:rFonts w:ascii="宋体" w:hAnsi="宋体" w:cs="宋体"/>
          <w:szCs w:val="24"/>
          <w:highlight w:val="none"/>
          <w:lang w:val="en-US" w:eastAsia="zh-CN"/>
        </w:rPr>
        <w:t>技术要求</w:t>
      </w:r>
    </w:p>
    <w:p>
      <w:pPr>
        <w:pStyle w:val="5"/>
        <w:keepNext w:val="0"/>
        <w:keepLines w:val="0"/>
        <w:widowControl/>
        <w:numPr>
          <w:ilvl w:val="2"/>
          <w:numId w:val="2"/>
        </w:numPr>
        <w:jc w:val="left"/>
        <w:rPr>
          <w:rFonts w:ascii="宋体" w:hAnsi="宋体" w:eastAsia="宋体" w:cs="宋体"/>
          <w:szCs w:val="24"/>
          <w:highlight w:val="none"/>
          <w:lang w:val="en-US"/>
        </w:rPr>
      </w:pPr>
      <w:r>
        <w:rPr>
          <w:rFonts w:hint="eastAsia" w:cs="宋体"/>
          <w:b w:val="0"/>
          <w:bCs w:val="0"/>
          <w:color w:val="000000"/>
          <w:kern w:val="0"/>
          <w:sz w:val="24"/>
          <w:szCs w:val="24"/>
          <w:highlight w:val="none"/>
          <w:lang w:val="en-US" w:eastAsia="zh-CN"/>
        </w:rPr>
        <w:t>屏柜</w:t>
      </w:r>
      <w:r>
        <w:rPr>
          <w:rFonts w:ascii="宋体" w:hAnsi="宋体" w:cs="宋体"/>
          <w:b w:val="0"/>
          <w:bCs w:val="0"/>
          <w:color w:val="000000"/>
          <w:kern w:val="0"/>
          <w:sz w:val="24"/>
          <w:szCs w:val="24"/>
          <w:highlight w:val="none"/>
          <w:lang w:val="en-US" w:eastAsia="zh-CN"/>
        </w:rPr>
        <w:t>（承重≥</w:t>
      </w:r>
      <w:r>
        <w:rPr>
          <w:rFonts w:eastAsia="宋体" w:cs="宋体"/>
          <w:b w:val="0"/>
          <w:bCs w:val="0"/>
          <w:color w:val="000000"/>
          <w:kern w:val="0"/>
          <w:sz w:val="24"/>
          <w:szCs w:val="24"/>
          <w:highlight w:val="none"/>
          <w:lang w:val="en-US" w:eastAsia="zh-CN"/>
        </w:rPr>
        <w:t>1000</w:t>
      </w:r>
      <w:r>
        <w:rPr>
          <w:rFonts w:ascii="宋体" w:hAnsi="宋体" w:cs="宋体"/>
          <w:b w:val="0"/>
          <w:bCs w:val="0"/>
          <w:color w:val="000000"/>
          <w:kern w:val="0"/>
          <w:sz w:val="24"/>
          <w:szCs w:val="24"/>
          <w:highlight w:val="none"/>
          <w:lang w:val="en-US" w:eastAsia="zh-CN"/>
        </w:rPr>
        <w:t>公斤，柜内外防火阻断≥</w:t>
      </w:r>
      <w:r>
        <w:rPr>
          <w:rFonts w:eastAsia="宋体" w:cs="宋体"/>
          <w:b w:val="0"/>
          <w:bCs w:val="0"/>
          <w:color w:val="000000"/>
          <w:kern w:val="0"/>
          <w:sz w:val="24"/>
          <w:szCs w:val="24"/>
          <w:highlight w:val="none"/>
          <w:lang w:val="en-US" w:eastAsia="zh-CN"/>
        </w:rPr>
        <w:t>120</w:t>
      </w:r>
      <w:r>
        <w:rPr>
          <w:rFonts w:ascii="宋体" w:hAnsi="宋体" w:cs="宋体"/>
          <w:b w:val="0"/>
          <w:bCs w:val="0"/>
          <w:color w:val="000000"/>
          <w:kern w:val="0"/>
          <w:sz w:val="24"/>
          <w:szCs w:val="24"/>
          <w:highlight w:val="none"/>
          <w:lang w:val="en-US" w:eastAsia="zh-CN"/>
        </w:rPr>
        <w:t>分钟）；外尺寸：</w:t>
      </w:r>
      <w:r>
        <w:rPr>
          <w:rFonts w:eastAsia="宋体" w:cs="宋体"/>
          <w:b w:val="0"/>
          <w:bCs w:val="0"/>
          <w:color w:val="000000"/>
          <w:kern w:val="0"/>
          <w:sz w:val="24"/>
          <w:szCs w:val="24"/>
          <w:highlight w:val="none"/>
          <w:lang w:val="en-US" w:eastAsia="zh-CN"/>
        </w:rPr>
        <w:t>H*W*D</w:t>
      </w:r>
      <w:r>
        <w:rPr>
          <w:rFonts w:eastAsia="宋体" w:cs="宋体;SimSun"/>
          <w:b w:val="0"/>
          <w:bCs w:val="0"/>
          <w:color w:val="000000"/>
          <w:kern w:val="0"/>
          <w:sz w:val="24"/>
          <w:szCs w:val="24"/>
          <w:highlight w:val="none"/>
          <w:lang w:val="en-US" w:eastAsia="zh-CN"/>
        </w:rPr>
        <w:t>≈</w:t>
      </w:r>
      <w:r>
        <w:rPr>
          <w:rFonts w:eastAsia="宋体" w:cs="宋体"/>
          <w:b w:val="0"/>
          <w:bCs w:val="0"/>
          <w:color w:val="000000"/>
          <w:kern w:val="0"/>
          <w:sz w:val="24"/>
          <w:szCs w:val="24"/>
          <w:highlight w:val="none"/>
          <w:lang w:val="en-US" w:eastAsia="zh-CN"/>
        </w:rPr>
        <w:t>2000mm*800mm*1000mm</w:t>
      </w:r>
      <w:r>
        <w:rPr>
          <w:rFonts w:ascii="宋体" w:hAnsi="宋体" w:cs="宋体"/>
          <w:b w:val="0"/>
          <w:bCs w:val="0"/>
          <w:color w:val="000000"/>
          <w:kern w:val="0"/>
          <w:sz w:val="24"/>
          <w:szCs w:val="24"/>
          <w:highlight w:val="none"/>
          <w:lang w:val="en-US" w:eastAsia="zh-CN"/>
        </w:rPr>
        <w:t>；内尺寸：</w:t>
      </w:r>
      <w:r>
        <w:rPr>
          <w:rFonts w:eastAsia="宋体" w:cs="宋体"/>
          <w:b w:val="0"/>
          <w:bCs w:val="0"/>
          <w:color w:val="000000"/>
          <w:kern w:val="0"/>
          <w:sz w:val="24"/>
          <w:szCs w:val="24"/>
          <w:highlight w:val="none"/>
          <w:lang w:val="en-US" w:eastAsia="zh-CN"/>
        </w:rPr>
        <w:t>H*W*D</w:t>
      </w:r>
      <w:r>
        <w:rPr>
          <w:rFonts w:eastAsia="宋体" w:cs="宋体;SimSun"/>
          <w:b w:val="0"/>
          <w:bCs w:val="0"/>
          <w:color w:val="000000"/>
          <w:kern w:val="0"/>
          <w:sz w:val="24"/>
          <w:szCs w:val="24"/>
          <w:highlight w:val="none"/>
          <w:lang w:val="en-US" w:eastAsia="zh-CN"/>
        </w:rPr>
        <w:t>≈</w:t>
      </w:r>
      <w:r>
        <w:rPr>
          <w:rFonts w:eastAsia="宋体" w:cs="宋体"/>
          <w:b w:val="0"/>
          <w:bCs w:val="0"/>
          <w:color w:val="000000"/>
          <w:kern w:val="0"/>
          <w:sz w:val="24"/>
          <w:szCs w:val="24"/>
          <w:highlight w:val="none"/>
          <w:lang w:val="en-US" w:eastAsia="zh-CN"/>
        </w:rPr>
        <w:t>1800mm*750mm*950mm</w:t>
      </w:r>
      <w:r>
        <w:rPr>
          <w:rFonts w:ascii="宋体" w:hAnsi="宋体" w:cs="宋体"/>
          <w:b w:val="0"/>
          <w:bCs w:val="0"/>
          <w:color w:val="000000"/>
          <w:kern w:val="0"/>
          <w:sz w:val="24"/>
          <w:szCs w:val="24"/>
          <w:highlight w:val="none"/>
          <w:lang w:val="en-US" w:eastAsia="zh-CN"/>
        </w:rPr>
        <w:t>；柜内布局：</w:t>
      </w:r>
      <w:r>
        <w:rPr>
          <w:rFonts w:eastAsia="宋体" w:cs="宋体"/>
          <w:b w:val="0"/>
          <w:bCs w:val="0"/>
          <w:color w:val="000000"/>
          <w:kern w:val="0"/>
          <w:sz w:val="24"/>
          <w:szCs w:val="24"/>
          <w:highlight w:val="none"/>
          <w:lang w:val="en-US" w:eastAsia="zh-CN"/>
        </w:rPr>
        <w:t>1</w:t>
      </w:r>
      <w:r>
        <w:rPr>
          <w:rFonts w:ascii="宋体" w:hAnsi="宋体" w:cs="宋体"/>
          <w:b w:val="0"/>
          <w:bCs w:val="0"/>
          <w:color w:val="000000"/>
          <w:kern w:val="0"/>
          <w:sz w:val="24"/>
          <w:szCs w:val="24"/>
          <w:highlight w:val="none"/>
          <w:lang w:val="en-US" w:eastAsia="zh-CN"/>
        </w:rPr>
        <w:t>单元</w:t>
      </w:r>
      <w:r>
        <w:rPr>
          <w:rFonts w:eastAsia="宋体" w:cs="宋体"/>
          <w:b w:val="0"/>
          <w:bCs w:val="0"/>
          <w:color w:val="000000"/>
          <w:kern w:val="0"/>
          <w:sz w:val="24"/>
          <w:szCs w:val="24"/>
          <w:highlight w:val="none"/>
          <w:lang w:val="en-US" w:eastAsia="zh-CN"/>
        </w:rPr>
        <w:t>1</w:t>
      </w:r>
      <w:r>
        <w:rPr>
          <w:rFonts w:ascii="宋体" w:hAnsi="宋体" w:cs="宋体"/>
          <w:b w:val="0"/>
          <w:bCs w:val="0"/>
          <w:color w:val="000000"/>
          <w:kern w:val="0"/>
          <w:sz w:val="24"/>
          <w:szCs w:val="24"/>
          <w:highlight w:val="none"/>
          <w:lang w:val="en-US" w:eastAsia="zh-CN"/>
        </w:rPr>
        <w:t>舱、</w:t>
      </w:r>
      <w:r>
        <w:rPr>
          <w:rFonts w:eastAsia="宋体" w:cs="宋体"/>
          <w:b w:val="0"/>
          <w:bCs w:val="0"/>
          <w:color w:val="000000"/>
          <w:kern w:val="0"/>
          <w:sz w:val="24"/>
          <w:szCs w:val="24"/>
          <w:highlight w:val="none"/>
          <w:lang w:val="en-US" w:eastAsia="zh-CN"/>
        </w:rPr>
        <w:t>19</w:t>
      </w:r>
      <w:r>
        <w:rPr>
          <w:rFonts w:ascii="宋体" w:hAnsi="宋体" w:cs="宋体"/>
          <w:b w:val="0"/>
          <w:bCs w:val="0"/>
          <w:color w:val="000000"/>
          <w:kern w:val="0"/>
          <w:sz w:val="24"/>
          <w:szCs w:val="24"/>
          <w:highlight w:val="none"/>
          <w:lang w:val="en-US" w:eastAsia="zh-CN"/>
        </w:rPr>
        <w:t>英寸机架</w:t>
      </w:r>
      <w:r>
        <w:rPr>
          <w:rFonts w:eastAsia="宋体" w:cs="宋体"/>
          <w:b w:val="0"/>
          <w:bCs w:val="0"/>
          <w:color w:val="000000"/>
          <w:kern w:val="0"/>
          <w:sz w:val="24"/>
          <w:szCs w:val="24"/>
          <w:highlight w:val="none"/>
          <w:lang w:val="en-US" w:eastAsia="zh-CN"/>
        </w:rPr>
        <w:t>+1</w:t>
      </w:r>
      <w:r>
        <w:rPr>
          <w:rFonts w:ascii="宋体" w:hAnsi="宋体" w:cs="宋体"/>
          <w:b w:val="0"/>
          <w:bCs w:val="0"/>
          <w:color w:val="000000"/>
          <w:kern w:val="0"/>
          <w:sz w:val="24"/>
          <w:szCs w:val="24"/>
          <w:highlight w:val="none"/>
          <w:lang w:val="en-US" w:eastAsia="zh-CN"/>
        </w:rPr>
        <w:t>块层板</w:t>
      </w:r>
      <w:r>
        <w:rPr>
          <w:rFonts w:eastAsia="宋体" w:cs="宋体"/>
          <w:b w:val="0"/>
          <w:bCs w:val="0"/>
          <w:color w:val="000000"/>
          <w:kern w:val="0"/>
          <w:sz w:val="24"/>
          <w:szCs w:val="24"/>
          <w:highlight w:val="none"/>
          <w:lang w:val="en-US" w:eastAsia="zh-CN"/>
        </w:rPr>
        <w:t>+5</w:t>
      </w:r>
      <w:r>
        <w:rPr>
          <w:rFonts w:ascii="宋体" w:hAnsi="宋体" w:cs="宋体"/>
          <w:b w:val="0"/>
          <w:bCs w:val="0"/>
          <w:color w:val="000000"/>
          <w:kern w:val="0"/>
          <w:sz w:val="24"/>
          <w:szCs w:val="24"/>
          <w:highlight w:val="none"/>
          <w:lang w:val="en-US" w:eastAsia="zh-CN"/>
        </w:rPr>
        <w:t>对</w:t>
      </w:r>
      <w:r>
        <w:rPr>
          <w:rFonts w:eastAsia="宋体" w:cs="宋体"/>
          <w:b w:val="0"/>
          <w:bCs w:val="0"/>
          <w:color w:val="000000"/>
          <w:kern w:val="0"/>
          <w:sz w:val="24"/>
          <w:szCs w:val="24"/>
          <w:highlight w:val="none"/>
          <w:lang w:val="en-US" w:eastAsia="zh-CN"/>
        </w:rPr>
        <w:t>L</w:t>
      </w:r>
      <w:r>
        <w:rPr>
          <w:rFonts w:ascii="宋体" w:hAnsi="宋体" w:cs="宋体"/>
          <w:b w:val="0"/>
          <w:bCs w:val="0"/>
          <w:color w:val="000000"/>
          <w:kern w:val="0"/>
          <w:sz w:val="24"/>
          <w:szCs w:val="24"/>
          <w:highlight w:val="none"/>
          <w:lang w:val="en-US" w:eastAsia="zh-CN"/>
        </w:rPr>
        <w:t>型托条；设备安装方式：落地式底座固定安装；标配≥</w:t>
      </w:r>
      <w:r>
        <w:rPr>
          <w:rFonts w:eastAsia="宋体" w:cs="宋体"/>
          <w:b w:val="0"/>
          <w:bCs w:val="0"/>
          <w:color w:val="000000"/>
          <w:kern w:val="0"/>
          <w:sz w:val="24"/>
          <w:szCs w:val="24"/>
          <w:highlight w:val="none"/>
          <w:lang w:val="en-US" w:eastAsia="zh-CN"/>
        </w:rPr>
        <w:t>0.6</w:t>
      </w:r>
      <w:r>
        <w:rPr>
          <w:rFonts w:ascii="宋体" w:hAnsi="宋体" w:cs="宋体"/>
          <w:b w:val="0"/>
          <w:bCs w:val="0"/>
          <w:color w:val="000000"/>
          <w:kern w:val="0"/>
          <w:sz w:val="24"/>
          <w:szCs w:val="24"/>
          <w:highlight w:val="none"/>
          <w:lang w:val="en-US" w:eastAsia="zh-CN"/>
        </w:rPr>
        <w:t>匹工业空调（额定制冷量：</w:t>
      </w:r>
      <w:r>
        <w:rPr>
          <w:rFonts w:eastAsia="宋体" w:cs="宋体"/>
          <w:b w:val="0"/>
          <w:bCs w:val="0"/>
          <w:color w:val="000000"/>
          <w:kern w:val="0"/>
          <w:sz w:val="24"/>
          <w:szCs w:val="24"/>
          <w:highlight w:val="none"/>
          <w:lang w:val="en-US" w:eastAsia="zh-CN"/>
        </w:rPr>
        <w:t>1500W</w:t>
      </w:r>
      <w:r>
        <w:rPr>
          <w:rFonts w:ascii="宋体" w:hAnsi="宋体" w:cs="宋体"/>
          <w:b w:val="0"/>
          <w:bCs w:val="0"/>
          <w:color w:val="000000"/>
          <w:kern w:val="0"/>
          <w:sz w:val="24"/>
          <w:szCs w:val="24"/>
          <w:highlight w:val="none"/>
          <w:lang w:val="en-US" w:eastAsia="zh-CN"/>
        </w:rPr>
        <w:t>）；前、后开门，标配户外柜专用锁，柜门采用双层镀锌板（</w:t>
      </w:r>
      <w:r>
        <w:rPr>
          <w:rFonts w:ascii="宋体" w:hAnsi="宋体" w:cs="宋体"/>
          <w:b/>
          <w:bCs/>
          <w:color w:val="000000"/>
          <w:kern w:val="0"/>
          <w:sz w:val="24"/>
          <w:szCs w:val="24"/>
          <w:highlight w:val="none"/>
          <w:lang w:val="en-US" w:eastAsia="zh-CN"/>
        </w:rPr>
        <w:t>外板厚度</w:t>
      </w:r>
      <w:r>
        <w:rPr>
          <w:rFonts w:ascii="宋体" w:hAnsi="宋体" w:cs="宋体"/>
          <w:b w:val="0"/>
          <w:bCs w:val="0"/>
          <w:color w:val="000000"/>
          <w:kern w:val="0"/>
          <w:sz w:val="24"/>
          <w:szCs w:val="24"/>
          <w:highlight w:val="none"/>
          <w:lang w:val="en-US" w:eastAsia="zh-CN"/>
        </w:rPr>
        <w:t>≥</w:t>
      </w:r>
      <w:r>
        <w:rPr>
          <w:rFonts w:eastAsia="宋体" w:cs="宋体"/>
          <w:b/>
          <w:bCs/>
          <w:color w:val="000000"/>
          <w:kern w:val="0"/>
          <w:sz w:val="24"/>
          <w:szCs w:val="24"/>
          <w:highlight w:val="none"/>
          <w:lang w:val="en-US" w:eastAsia="zh-CN"/>
        </w:rPr>
        <w:t>1.2mm</w:t>
      </w:r>
      <w:r>
        <w:rPr>
          <w:rFonts w:ascii="宋体" w:hAnsi="宋体" w:cs="宋体"/>
          <w:b/>
          <w:bCs/>
          <w:color w:val="000000"/>
          <w:kern w:val="0"/>
          <w:sz w:val="24"/>
          <w:szCs w:val="24"/>
          <w:highlight w:val="none"/>
          <w:lang w:val="en-US" w:eastAsia="zh-CN"/>
        </w:rPr>
        <w:t>，内板厚度</w:t>
      </w:r>
      <w:r>
        <w:rPr>
          <w:rFonts w:ascii="宋体" w:hAnsi="宋体" w:cs="宋体"/>
          <w:b w:val="0"/>
          <w:bCs w:val="0"/>
          <w:color w:val="000000"/>
          <w:kern w:val="0"/>
          <w:sz w:val="24"/>
          <w:szCs w:val="24"/>
          <w:highlight w:val="none"/>
          <w:lang w:val="en-US" w:eastAsia="zh-CN"/>
        </w:rPr>
        <w:t>≥</w:t>
      </w:r>
      <w:r>
        <w:rPr>
          <w:rFonts w:eastAsia="宋体" w:cs="宋体"/>
          <w:b/>
          <w:bCs/>
          <w:color w:val="000000"/>
          <w:kern w:val="0"/>
          <w:sz w:val="24"/>
          <w:szCs w:val="24"/>
          <w:highlight w:val="none"/>
          <w:lang w:val="en-US" w:eastAsia="zh-CN"/>
        </w:rPr>
        <w:t>1.0mm</w:t>
      </w:r>
      <w:r>
        <w:rPr>
          <w:rFonts w:ascii="宋体" w:hAnsi="宋体" w:cs="宋体"/>
          <w:b/>
          <w:bCs/>
          <w:color w:val="000000"/>
          <w:kern w:val="0"/>
          <w:sz w:val="24"/>
          <w:szCs w:val="24"/>
          <w:highlight w:val="none"/>
          <w:lang w:val="en-US" w:eastAsia="zh-CN"/>
        </w:rPr>
        <w:t>）内</w:t>
      </w:r>
      <w:r>
        <w:rPr>
          <w:rFonts w:ascii="宋体" w:hAnsi="宋体" w:cs="宋体"/>
          <w:b w:val="0"/>
          <w:bCs w:val="0"/>
          <w:color w:val="000000"/>
          <w:kern w:val="0"/>
          <w:sz w:val="24"/>
          <w:szCs w:val="24"/>
          <w:highlight w:val="none"/>
          <w:lang w:val="en-US" w:eastAsia="zh-CN"/>
        </w:rPr>
        <w:t>≥</w:t>
      </w:r>
      <w:r>
        <w:rPr>
          <w:rFonts w:ascii="宋体" w:hAnsi="宋体" w:cs="宋体"/>
          <w:b/>
          <w:bCs/>
          <w:color w:val="000000"/>
          <w:kern w:val="0"/>
          <w:sz w:val="24"/>
          <w:szCs w:val="24"/>
          <w:highlight w:val="none"/>
          <w:lang w:val="en-US" w:eastAsia="zh-CN"/>
        </w:rPr>
        <w:t>夹</w:t>
      </w:r>
      <w:r>
        <w:rPr>
          <w:rFonts w:eastAsia="宋体" w:cs="宋体"/>
          <w:b/>
          <w:bCs/>
          <w:color w:val="000000"/>
          <w:kern w:val="0"/>
          <w:sz w:val="24"/>
          <w:szCs w:val="24"/>
          <w:highlight w:val="none"/>
          <w:lang w:val="en-US" w:eastAsia="zh-CN"/>
        </w:rPr>
        <w:t>20mm</w:t>
      </w:r>
      <w:r>
        <w:rPr>
          <w:rFonts w:ascii="宋体" w:hAnsi="宋体" w:cs="宋体"/>
          <w:b/>
          <w:bCs/>
          <w:color w:val="000000"/>
          <w:kern w:val="0"/>
          <w:sz w:val="24"/>
          <w:szCs w:val="24"/>
          <w:highlight w:val="none"/>
          <w:lang w:val="en-US" w:eastAsia="zh-CN"/>
        </w:rPr>
        <w:t>厚</w:t>
      </w:r>
      <w:r>
        <w:rPr>
          <w:rFonts w:eastAsia="宋体" w:cs="宋体"/>
          <w:b w:val="0"/>
          <w:bCs w:val="0"/>
          <w:color w:val="000000"/>
          <w:kern w:val="0"/>
          <w:sz w:val="24"/>
          <w:szCs w:val="24"/>
          <w:highlight w:val="none"/>
          <w:lang w:val="en-US" w:eastAsia="zh-CN"/>
        </w:rPr>
        <w:t>PEF</w:t>
      </w:r>
      <w:r>
        <w:rPr>
          <w:rFonts w:ascii="宋体" w:hAnsi="宋体" w:cs="宋体"/>
          <w:b w:val="0"/>
          <w:bCs w:val="0"/>
          <w:color w:val="000000"/>
          <w:kern w:val="0"/>
          <w:sz w:val="24"/>
          <w:szCs w:val="24"/>
          <w:highlight w:val="none"/>
          <w:lang w:val="en-US" w:eastAsia="zh-CN"/>
        </w:rPr>
        <w:t>阻燃隔热棉三明治结构。</w:t>
      </w:r>
    </w:p>
    <w:p>
      <w:pPr>
        <w:widowControl/>
        <w:jc w:val="left"/>
        <w:rPr>
          <w:rFonts w:ascii="宋体" w:hAnsi="宋体" w:eastAsia="宋体" w:cs="宋体"/>
          <w:szCs w:val="24"/>
          <w:highlight w:val="none"/>
          <w:lang w:val="en-US"/>
        </w:rPr>
      </w:pPr>
    </w:p>
    <w:p>
      <w:pPr>
        <w:widowControl/>
        <w:jc w:val="left"/>
        <w:rPr>
          <w:rFonts w:ascii="宋体" w:hAnsi="宋体" w:eastAsia="宋体" w:cs="宋体"/>
          <w:szCs w:val="24"/>
          <w:highlight w:val="none"/>
          <w:lang w:val="en-US"/>
        </w:rPr>
      </w:pPr>
      <w:r>
        <w:rPr>
          <w:rFonts w:eastAsia="宋体" w:cs="宋体"/>
          <w:b w:val="0"/>
          <w:bCs w:val="0"/>
          <w:color w:val="000000"/>
          <w:kern w:val="0"/>
          <w:sz w:val="24"/>
          <w:szCs w:val="24"/>
          <w:highlight w:val="none"/>
          <w:lang w:val="en-US" w:eastAsia="zh-CN"/>
        </w:rPr>
        <w:t xml:space="preserve">5.2.2  </w:t>
      </w:r>
      <w:r>
        <w:rPr>
          <w:rFonts w:ascii="宋体" w:hAnsi="宋体" w:cs="宋体"/>
          <w:b w:val="0"/>
          <w:bCs w:val="0"/>
          <w:color w:val="000000"/>
          <w:kern w:val="0"/>
          <w:sz w:val="24"/>
          <w:szCs w:val="24"/>
          <w:highlight w:val="none"/>
          <w:lang w:val="en-US" w:eastAsia="zh-CN"/>
        </w:rPr>
        <w:t>柜体技术参数</w:t>
      </w:r>
    </w:p>
    <w:tbl>
      <w:tblPr>
        <w:tblStyle w:val="17"/>
        <w:tblW w:w="8318" w:type="dxa"/>
        <w:tblInd w:w="52" w:type="dxa"/>
        <w:tblLayout w:type="fixed"/>
        <w:tblCellMar>
          <w:top w:w="0" w:type="dxa"/>
          <w:left w:w="108" w:type="dxa"/>
          <w:bottom w:w="0" w:type="dxa"/>
          <w:right w:w="108" w:type="dxa"/>
        </w:tblCellMar>
      </w:tblPr>
      <w:tblGrid>
        <w:gridCol w:w="1196"/>
        <w:gridCol w:w="1741"/>
        <w:gridCol w:w="5381"/>
      </w:tblGrid>
      <w:tr>
        <w:tblPrEx>
          <w:tblCellMar>
            <w:top w:w="0" w:type="dxa"/>
            <w:left w:w="108" w:type="dxa"/>
            <w:bottom w:w="0" w:type="dxa"/>
            <w:right w:w="108" w:type="dxa"/>
          </w:tblCellMar>
        </w:tblPrEx>
        <w:trPr>
          <w:trHeight w:val="555" w:hRule="atLeast"/>
        </w:trPr>
        <w:tc>
          <w:tcPr>
            <w:tcW w:w="1196"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项目</w:t>
            </w: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分类</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技术指标</w:t>
            </w:r>
          </w:p>
        </w:tc>
      </w:tr>
      <w:tr>
        <w:tblPrEx>
          <w:tblCellMar>
            <w:top w:w="0" w:type="dxa"/>
            <w:left w:w="108" w:type="dxa"/>
            <w:bottom w:w="0" w:type="dxa"/>
            <w:right w:w="108" w:type="dxa"/>
          </w:tblCellMar>
        </w:tblPrEx>
        <w:tc>
          <w:tcPr>
            <w:tcW w:w="1196" w:type="dxa"/>
            <w:vMerge w:val="restart"/>
            <w:tcBorders>
              <w:top w:val="single" w:color="000000" w:sz="4" w:space="0"/>
              <w:left w:val="single" w:color="000000" w:sz="4" w:space="0"/>
              <w:bottom w:val="single" w:color="000000" w:sz="4" w:space="0"/>
              <w:right w:val="single" w:color="000000" w:sz="4" w:space="0"/>
            </w:tcBorders>
            <w:vAlign w:val="center"/>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机柜</w:t>
            </w:r>
          </w:p>
        </w:tc>
        <w:tc>
          <w:tcPr>
            <w:tcW w:w="1741" w:type="dxa"/>
            <w:vMerge w:val="restart"/>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尺寸</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b/>
                <w:bCs/>
                <w:highlight w:val="none"/>
              </w:rPr>
            </w:pPr>
            <w:r>
              <w:rPr>
                <w:rFonts w:ascii="宋体;SimSun" w:hAnsi="宋体;SimSun" w:cs="宋体;SimSun"/>
                <w:b/>
                <w:bCs/>
                <w:szCs w:val="21"/>
                <w:highlight w:val="none"/>
              </w:rPr>
              <w:t>外尺寸：H*W*D</w:t>
            </w:r>
            <w:r>
              <w:rPr>
                <w:rFonts w:ascii="宋体;SimSun" w:hAnsi="宋体;SimSun" w:eastAsia="宋体" w:cs="宋体;SimSun"/>
                <w:b w:val="0"/>
                <w:bCs w:val="0"/>
                <w:color w:val="000000"/>
                <w:kern w:val="0"/>
                <w:sz w:val="24"/>
                <w:szCs w:val="24"/>
                <w:highlight w:val="none"/>
                <w:lang w:val="en-US" w:eastAsia="zh-CN"/>
              </w:rPr>
              <w:t>≈</w:t>
            </w:r>
            <w:r>
              <w:rPr>
                <w:rFonts w:ascii="宋体;SimSun" w:hAnsi="宋体;SimSun" w:cs="宋体;SimSun"/>
                <w:b/>
                <w:bCs/>
                <w:szCs w:val="21"/>
                <w:highlight w:val="none"/>
              </w:rPr>
              <w:t>2000mm*800mm*1000mm</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1741" w:type="dxa"/>
            <w:vMerge w:val="continue"/>
            <w:tcBorders>
              <w:top w:val="single" w:color="000000" w:sz="4" w:space="0"/>
              <w:left w:val="single" w:color="000000" w:sz="4" w:space="0"/>
              <w:bottom w:val="single" w:color="000000" w:sz="4" w:space="0"/>
              <w:right w:val="single" w:color="000000" w:sz="4" w:space="0"/>
            </w:tcBorders>
          </w:tcPr>
          <w:p>
            <w:pPr>
              <w:snapToGrid w:val="0"/>
              <w:spacing w:line="288" w:lineRule="auto"/>
              <w:jc w:val="center"/>
              <w:rPr>
                <w:rFonts w:ascii="宋体;SimSun" w:hAnsi="宋体;SimSun" w:cs="宋体;SimSun"/>
                <w:sz w:val="24"/>
                <w:szCs w:val="21"/>
                <w:highlight w:val="none"/>
              </w:rPr>
            </w:pP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b/>
                <w:bCs/>
                <w:highlight w:val="none"/>
              </w:rPr>
            </w:pPr>
            <w:r>
              <w:rPr>
                <w:rFonts w:ascii="宋体;SimSun" w:hAnsi="宋体;SimSun" w:cs="宋体;SimSun"/>
                <w:b/>
                <w:bCs/>
                <w:szCs w:val="21"/>
                <w:highlight w:val="none"/>
              </w:rPr>
              <w:t>内尺寸：H*W*D</w:t>
            </w:r>
            <w:r>
              <w:rPr>
                <w:rFonts w:ascii="宋体;SimSun" w:hAnsi="宋体;SimSun" w:eastAsia="宋体" w:cs="宋体;SimSun"/>
                <w:b w:val="0"/>
                <w:bCs w:val="0"/>
                <w:color w:val="000000"/>
                <w:kern w:val="0"/>
                <w:sz w:val="24"/>
                <w:szCs w:val="24"/>
                <w:highlight w:val="none"/>
                <w:lang w:val="en-US" w:eastAsia="zh-CN"/>
              </w:rPr>
              <w:t>≈</w:t>
            </w:r>
            <w:r>
              <w:rPr>
                <w:rFonts w:ascii="宋体;SimSun" w:hAnsi="宋体;SimSun" w:cs="宋体;SimSun"/>
                <w:b/>
                <w:bCs/>
                <w:szCs w:val="21"/>
                <w:highlight w:val="none"/>
              </w:rPr>
              <w:t>1800mm*750mm*950mm</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布局</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highlight w:val="none"/>
              </w:rPr>
            </w:pPr>
            <w:r>
              <w:rPr>
                <w:rFonts w:ascii="宋体;SimSun" w:hAnsi="宋体;SimSun" w:cs="宋体;SimSun"/>
                <w:szCs w:val="21"/>
                <w:highlight w:val="none"/>
              </w:rPr>
              <w:t>1单元1舱、19英寸机架+1块层板+5对L型托条</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right="0" w:firstLine="480"/>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设备安装方式</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落地式底座固定安装</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right="0" w:firstLine="480"/>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门</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highlight w:val="none"/>
              </w:rPr>
            </w:pPr>
            <w:r>
              <w:rPr>
                <w:rFonts w:ascii="宋体;SimSun" w:hAnsi="宋体;SimSun" w:cs="宋体;SimSun"/>
                <w:szCs w:val="21"/>
                <w:highlight w:val="none"/>
              </w:rPr>
              <w:t>前、后开门，户外柜专用锁（支持挂锁）</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right="0" w:firstLine="480"/>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材质</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镀锌板</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ind w:right="0" w:firstLine="480"/>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保温层</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highlight w:val="none"/>
              </w:rPr>
            </w:pPr>
            <w:r>
              <w:rPr>
                <w:rFonts w:ascii="宋体" w:hAnsi="宋体" w:cs="宋体;SimSun"/>
                <w:b w:val="0"/>
                <w:bCs w:val="0"/>
                <w:color w:val="000000"/>
                <w:sz w:val="24"/>
                <w:szCs w:val="24"/>
                <w:highlight w:val="none"/>
              </w:rPr>
              <w:t>≥</w:t>
            </w:r>
            <w:r>
              <w:rPr>
                <w:rFonts w:ascii="宋体;SimSun" w:hAnsi="宋体;SimSun" w:cs="宋体;SimSun"/>
                <w:szCs w:val="21"/>
                <w:highlight w:val="none"/>
              </w:rPr>
              <w:t>20mm厚PEF隔热棉</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整体结构</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highlight w:val="none"/>
              </w:rPr>
            </w:pPr>
            <w:r>
              <w:rPr>
                <w:rFonts w:ascii="宋体;SimSun" w:hAnsi="宋体;SimSun" w:cs="宋体;SimSun"/>
                <w:szCs w:val="21"/>
                <w:highlight w:val="none"/>
              </w:rPr>
              <w:t>焊接+拼装</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1741"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防护等级</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IP55</w:t>
            </w:r>
          </w:p>
        </w:tc>
      </w:tr>
      <w:tr>
        <w:tblPrEx>
          <w:tblCellMar>
            <w:top w:w="0" w:type="dxa"/>
            <w:left w:w="108" w:type="dxa"/>
            <w:bottom w:w="0" w:type="dxa"/>
            <w:right w:w="108" w:type="dxa"/>
          </w:tblCellMar>
        </w:tblPrEx>
        <w:tc>
          <w:tcPr>
            <w:tcW w:w="1196" w:type="dxa"/>
            <w:vMerge w:val="restart"/>
            <w:tcBorders>
              <w:top w:val="single" w:color="000000" w:sz="4" w:space="0"/>
              <w:left w:val="single" w:color="000000" w:sz="4" w:space="0"/>
              <w:bottom w:val="single" w:color="000000" w:sz="4" w:space="0"/>
              <w:right w:val="single" w:color="000000" w:sz="4" w:space="0"/>
            </w:tcBorders>
          </w:tcPr>
          <w:p>
            <w:pPr>
              <w:snapToGrid w:val="0"/>
              <w:spacing w:line="288" w:lineRule="auto"/>
              <w:jc w:val="center"/>
              <w:rPr>
                <w:rFonts w:ascii="宋体;SimSun" w:hAnsi="宋体;SimSun" w:cs="宋体;SimSun"/>
                <w:b/>
                <w:bCs/>
                <w:sz w:val="24"/>
                <w:szCs w:val="21"/>
                <w:highlight w:val="none"/>
              </w:rPr>
            </w:pPr>
          </w:p>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温度</w:t>
            </w:r>
          </w:p>
        </w:tc>
        <w:tc>
          <w:tcPr>
            <w:tcW w:w="1741" w:type="dxa"/>
            <w:vMerge w:val="restart"/>
            <w:tcBorders>
              <w:top w:val="single" w:color="000000" w:sz="4" w:space="0"/>
              <w:left w:val="single" w:color="000000" w:sz="4" w:space="0"/>
              <w:bottom w:val="single" w:color="000000" w:sz="4" w:space="0"/>
              <w:right w:val="single" w:color="000000" w:sz="4" w:space="0"/>
            </w:tcBorders>
            <w:vAlign w:val="center"/>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温度</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工作温度范围-40℃～+55℃</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tcPr>
          <w:p>
            <w:pPr>
              <w:snapToGrid w:val="0"/>
              <w:spacing w:line="288" w:lineRule="auto"/>
              <w:ind w:right="0" w:firstLine="480"/>
              <w:jc w:val="center"/>
              <w:rPr>
                <w:rFonts w:ascii="宋体;SimSun" w:hAnsi="宋体;SimSun" w:cs="宋体;SimSun"/>
                <w:sz w:val="24"/>
                <w:szCs w:val="21"/>
                <w:highlight w:val="none"/>
              </w:rPr>
            </w:pPr>
          </w:p>
        </w:tc>
        <w:tc>
          <w:tcPr>
            <w:tcW w:w="174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贮存温度范围-50℃～+70℃</w:t>
            </w:r>
          </w:p>
        </w:tc>
      </w:tr>
      <w:tr>
        <w:tblPrEx>
          <w:tblCellMar>
            <w:top w:w="0" w:type="dxa"/>
            <w:left w:w="108" w:type="dxa"/>
            <w:bottom w:w="0" w:type="dxa"/>
            <w:right w:w="108" w:type="dxa"/>
          </w:tblCellMar>
        </w:tblPrEx>
        <w:tc>
          <w:tcPr>
            <w:tcW w:w="1196" w:type="dxa"/>
            <w:vMerge w:val="continue"/>
            <w:tcBorders>
              <w:top w:val="single" w:color="000000" w:sz="4" w:space="0"/>
              <w:left w:val="single" w:color="000000" w:sz="4" w:space="0"/>
              <w:bottom w:val="single" w:color="000000" w:sz="4" w:space="0"/>
              <w:right w:val="single" w:color="000000" w:sz="4" w:space="0"/>
            </w:tcBorders>
          </w:tcPr>
          <w:p>
            <w:pPr>
              <w:snapToGrid w:val="0"/>
              <w:spacing w:line="288" w:lineRule="auto"/>
              <w:ind w:right="0" w:firstLine="480"/>
              <w:jc w:val="center"/>
              <w:rPr>
                <w:rFonts w:ascii="宋体;SimSun" w:hAnsi="宋体;SimSun" w:cs="宋体;SimSun"/>
                <w:sz w:val="24"/>
                <w:szCs w:val="21"/>
                <w:highlight w:val="none"/>
              </w:rPr>
            </w:pPr>
          </w:p>
        </w:tc>
        <w:tc>
          <w:tcPr>
            <w:tcW w:w="1741"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line="288" w:lineRule="auto"/>
              <w:jc w:val="center"/>
              <w:rPr>
                <w:rFonts w:ascii="宋体;SimSun" w:hAnsi="宋体;SimSun" w:cs="宋体;SimSun"/>
                <w:sz w:val="24"/>
                <w:szCs w:val="21"/>
                <w:highlight w:val="none"/>
              </w:rPr>
            </w:pP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运输温度范围-50℃～+70℃</w:t>
            </w:r>
          </w:p>
        </w:tc>
      </w:tr>
      <w:tr>
        <w:tblPrEx>
          <w:tblCellMar>
            <w:top w:w="0" w:type="dxa"/>
            <w:left w:w="108" w:type="dxa"/>
            <w:bottom w:w="0" w:type="dxa"/>
            <w:right w:w="108" w:type="dxa"/>
          </w:tblCellMar>
        </w:tblPrEx>
        <w:tc>
          <w:tcPr>
            <w:tcW w:w="1196"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湿度</w:t>
            </w:r>
          </w:p>
        </w:tc>
        <w:tc>
          <w:tcPr>
            <w:tcW w:w="1741" w:type="dxa"/>
            <w:tcBorders>
              <w:top w:val="single" w:color="000000" w:sz="4" w:space="0"/>
              <w:left w:val="single" w:color="000000" w:sz="4" w:space="0"/>
              <w:bottom w:val="single" w:color="000000" w:sz="4" w:space="0"/>
              <w:right w:val="single" w:color="000000" w:sz="4" w:space="0"/>
            </w:tcBorders>
            <w:vAlign w:val="center"/>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相对湿度</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5%~95%</w:t>
            </w:r>
          </w:p>
        </w:tc>
      </w:tr>
      <w:tr>
        <w:tblPrEx>
          <w:tblCellMar>
            <w:top w:w="0" w:type="dxa"/>
            <w:left w:w="108" w:type="dxa"/>
            <w:bottom w:w="0" w:type="dxa"/>
            <w:right w:w="108" w:type="dxa"/>
          </w:tblCellMar>
        </w:tblPrEx>
        <w:tc>
          <w:tcPr>
            <w:tcW w:w="1196"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压力</w:t>
            </w:r>
          </w:p>
        </w:tc>
        <w:tc>
          <w:tcPr>
            <w:tcW w:w="1741" w:type="dxa"/>
            <w:tcBorders>
              <w:top w:val="single" w:color="000000" w:sz="4" w:space="0"/>
              <w:left w:val="single" w:color="000000" w:sz="4" w:space="0"/>
              <w:bottom w:val="single" w:color="000000" w:sz="4" w:space="0"/>
              <w:right w:val="single" w:color="000000" w:sz="4" w:space="0"/>
            </w:tcBorders>
            <w:vAlign w:val="center"/>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大气压力</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62kpa～101kpa（近似于海拔0m～5000m）</w:t>
            </w:r>
          </w:p>
        </w:tc>
      </w:tr>
      <w:tr>
        <w:tblPrEx>
          <w:tblCellMar>
            <w:top w:w="0" w:type="dxa"/>
            <w:left w:w="108" w:type="dxa"/>
            <w:bottom w:w="0" w:type="dxa"/>
            <w:right w:w="108" w:type="dxa"/>
          </w:tblCellMar>
        </w:tblPrEx>
        <w:tc>
          <w:tcPr>
            <w:tcW w:w="1196" w:type="dxa"/>
            <w:tcBorders>
              <w:top w:val="single" w:color="000000" w:sz="4" w:space="0"/>
              <w:left w:val="single" w:color="000000" w:sz="4" w:space="0"/>
              <w:bottom w:val="single" w:color="000000" w:sz="4" w:space="0"/>
              <w:right w:val="single" w:color="000000" w:sz="4" w:space="0"/>
            </w:tcBorders>
          </w:tcPr>
          <w:p>
            <w:pPr>
              <w:spacing w:line="288" w:lineRule="auto"/>
              <w:jc w:val="center"/>
              <w:rPr>
                <w:rFonts w:ascii="宋体;SimSun" w:hAnsi="宋体;SimSun" w:cs="宋体;SimSun"/>
                <w:b/>
                <w:bCs/>
                <w:sz w:val="24"/>
                <w:highlight w:val="none"/>
              </w:rPr>
            </w:pPr>
            <w:r>
              <w:rPr>
                <w:rFonts w:ascii="宋体;SimSun" w:hAnsi="宋体;SimSun" w:cs="宋体;SimSun"/>
                <w:b/>
                <w:bCs/>
                <w:sz w:val="24"/>
                <w:highlight w:val="none"/>
              </w:rPr>
              <w:t>辐射强度</w:t>
            </w:r>
          </w:p>
        </w:tc>
        <w:tc>
          <w:tcPr>
            <w:tcW w:w="1741" w:type="dxa"/>
            <w:tcBorders>
              <w:top w:val="single" w:color="000000" w:sz="4" w:space="0"/>
              <w:left w:val="single" w:color="000000" w:sz="4" w:space="0"/>
              <w:bottom w:val="single" w:color="000000" w:sz="4" w:space="0"/>
              <w:right w:val="single" w:color="000000" w:sz="4" w:space="0"/>
            </w:tcBorders>
            <w:vAlign w:val="center"/>
          </w:tcPr>
          <w:p>
            <w:pPr>
              <w:spacing w:line="288" w:lineRule="auto"/>
              <w:jc w:val="center"/>
              <w:rPr>
                <w:rFonts w:ascii="宋体;SimSun" w:hAnsi="宋体;SimSun" w:cs="宋体;SimSun"/>
                <w:szCs w:val="21"/>
                <w:highlight w:val="none"/>
              </w:rPr>
            </w:pPr>
            <w:r>
              <w:rPr>
                <w:rFonts w:ascii="宋体;SimSun" w:hAnsi="宋体;SimSun" w:cs="宋体;SimSun"/>
                <w:szCs w:val="21"/>
                <w:highlight w:val="none"/>
              </w:rPr>
              <w:t>太阳辐射强度</w:t>
            </w:r>
          </w:p>
        </w:tc>
        <w:tc>
          <w:tcPr>
            <w:tcW w:w="5381" w:type="dxa"/>
            <w:tcBorders>
              <w:top w:val="single" w:color="000000" w:sz="4" w:space="0"/>
              <w:left w:val="single" w:color="000000" w:sz="4" w:space="0"/>
              <w:bottom w:val="single" w:color="000000" w:sz="4" w:space="0"/>
              <w:right w:val="single" w:color="000000" w:sz="4" w:space="0"/>
            </w:tcBorders>
          </w:tcPr>
          <w:p>
            <w:pPr>
              <w:spacing w:line="288" w:lineRule="auto"/>
              <w:jc w:val="left"/>
              <w:rPr>
                <w:rFonts w:ascii="宋体;SimSun" w:hAnsi="宋体;SimSun" w:cs="宋体;SimSun"/>
                <w:szCs w:val="21"/>
                <w:highlight w:val="none"/>
              </w:rPr>
            </w:pPr>
            <w:r>
              <w:rPr>
                <w:rFonts w:ascii="宋体;SimSun" w:hAnsi="宋体;SimSun" w:cs="宋体;SimSun"/>
                <w:szCs w:val="21"/>
                <w:highlight w:val="none"/>
              </w:rPr>
              <w:t>1120×(1±5%)W/m2</w:t>
            </w:r>
          </w:p>
        </w:tc>
      </w:tr>
    </w:tbl>
    <w:p>
      <w:pPr>
        <w:pStyle w:val="2"/>
        <w:widowControl/>
        <w:jc w:val="left"/>
        <w:rPr>
          <w:rFonts w:ascii="宋体" w:hAnsi="宋体" w:eastAsia="宋体" w:cs="宋体"/>
          <w:szCs w:val="24"/>
          <w:highlight w:val="none"/>
          <w:lang w:val="en-US"/>
        </w:rPr>
      </w:pPr>
    </w:p>
    <w:p>
      <w:pPr>
        <w:widowControl/>
        <w:spacing w:line="240" w:lineRule="auto"/>
        <w:ind w:left="0" w:firstLine="0"/>
        <w:jc w:val="left"/>
        <w:rPr>
          <w:rFonts w:ascii="宋体" w:hAnsi="宋体" w:eastAsia="宋体" w:cs="宋体"/>
          <w:b w:val="0"/>
          <w:bCs w:val="0"/>
          <w:color w:val="000000"/>
          <w:kern w:val="0"/>
          <w:sz w:val="24"/>
          <w:szCs w:val="24"/>
          <w:highlight w:val="none"/>
          <w:lang w:val="en-US" w:eastAsia="zh-CN"/>
        </w:rPr>
      </w:pPr>
      <w:r>
        <w:rPr>
          <w:rFonts w:eastAsia="宋体" w:cs="宋体"/>
          <w:b w:val="0"/>
          <w:bCs w:val="0"/>
          <w:color w:val="000000"/>
          <w:kern w:val="0"/>
          <w:sz w:val="24"/>
          <w:szCs w:val="24"/>
          <w:highlight w:val="none"/>
          <w:lang w:val="en-US" w:eastAsia="zh-CN"/>
        </w:rPr>
        <w:t xml:space="preserve">5.2.3  </w:t>
      </w:r>
      <w:r>
        <w:rPr>
          <w:rFonts w:ascii="宋体" w:hAnsi="宋体" w:cs="宋体"/>
          <w:b w:val="0"/>
          <w:bCs w:val="0"/>
          <w:color w:val="000000"/>
          <w:kern w:val="0"/>
          <w:sz w:val="24"/>
          <w:szCs w:val="24"/>
          <w:highlight w:val="none"/>
          <w:lang w:val="en-US" w:eastAsia="zh-CN"/>
        </w:rPr>
        <w:t>制冷模块技术参数</w:t>
      </w:r>
    </w:p>
    <w:tbl>
      <w:tblPr>
        <w:tblStyle w:val="17"/>
        <w:tblW w:w="8445" w:type="dxa"/>
        <w:jc w:val="center"/>
        <w:tblLayout w:type="fixed"/>
        <w:tblCellMar>
          <w:top w:w="0" w:type="dxa"/>
          <w:left w:w="108" w:type="dxa"/>
          <w:bottom w:w="0" w:type="dxa"/>
          <w:right w:w="108" w:type="dxa"/>
        </w:tblCellMar>
      </w:tblPr>
      <w:tblGrid>
        <w:gridCol w:w="1167"/>
        <w:gridCol w:w="3632"/>
        <w:gridCol w:w="1034"/>
        <w:gridCol w:w="2611"/>
      </w:tblGrid>
      <w:tr>
        <w:tblPrEx>
          <w:tblCellMar>
            <w:top w:w="0" w:type="dxa"/>
            <w:left w:w="108" w:type="dxa"/>
            <w:bottom w:w="0" w:type="dxa"/>
            <w:right w:w="108" w:type="dxa"/>
          </w:tblCellMar>
        </w:tblPrEx>
        <w:trPr>
          <w:trHeight w:val="567" w:hRule="atLeast"/>
          <w:jc w:val="center"/>
        </w:trPr>
        <w:tc>
          <w:tcPr>
            <w:tcW w:w="1167" w:type="dxa"/>
            <w:tcBorders>
              <w:top w:val="single" w:color="000000" w:sz="12" w:space="0"/>
              <w:left w:val="single" w:color="000000" w:sz="12" w:space="0"/>
              <w:bottom w:val="single" w:color="000000" w:sz="8" w:space="0"/>
              <w:right w:val="single" w:color="000000" w:sz="8" w:space="0"/>
            </w:tcBorders>
            <w:shd w:val="clear" w:color="auto" w:fill="D9D9D9"/>
            <w:vAlign w:val="center"/>
          </w:tcPr>
          <w:p>
            <w:pPr>
              <w:spacing w:line="312" w:lineRule="auto"/>
              <w:jc w:val="center"/>
              <w:rPr>
                <w:rFonts w:ascii="宋体" w:hAnsi="宋体" w:eastAsia="宋体" w:cs="Arial"/>
                <w:b w:val="0"/>
                <w:bCs w:val="0"/>
                <w:sz w:val="24"/>
                <w:highlight w:val="none"/>
              </w:rPr>
            </w:pPr>
            <w:r>
              <w:rPr>
                <w:rFonts w:ascii="宋体" w:hAnsi="宋体" w:cs="Arial"/>
                <w:b w:val="0"/>
                <w:bCs w:val="0"/>
                <w:sz w:val="24"/>
                <w:highlight w:val="none"/>
              </w:rPr>
              <w:t>类型</w:t>
            </w:r>
          </w:p>
        </w:tc>
        <w:tc>
          <w:tcPr>
            <w:tcW w:w="3632" w:type="dxa"/>
            <w:tcBorders>
              <w:top w:val="single" w:color="000000" w:sz="12" w:space="0"/>
              <w:left w:val="single" w:color="000000" w:sz="8" w:space="0"/>
              <w:bottom w:val="single" w:color="000000" w:sz="8" w:space="0"/>
              <w:right w:val="single" w:color="000000" w:sz="8" w:space="0"/>
            </w:tcBorders>
            <w:shd w:val="clear" w:color="auto" w:fill="D9D9D9"/>
            <w:vAlign w:val="center"/>
          </w:tcPr>
          <w:p>
            <w:pPr>
              <w:spacing w:line="312" w:lineRule="auto"/>
              <w:jc w:val="center"/>
              <w:rPr>
                <w:rFonts w:ascii="宋体" w:hAnsi="宋体" w:eastAsia="宋体" w:cs="Arial"/>
                <w:b w:val="0"/>
                <w:bCs w:val="0"/>
                <w:sz w:val="24"/>
                <w:highlight w:val="none"/>
              </w:rPr>
            </w:pPr>
            <w:r>
              <w:rPr>
                <w:rFonts w:ascii="宋体" w:hAnsi="宋体" w:cs="Arial"/>
                <w:b w:val="0"/>
                <w:bCs w:val="0"/>
                <w:sz w:val="24"/>
                <w:highlight w:val="none"/>
              </w:rPr>
              <w:t>名称</w:t>
            </w:r>
          </w:p>
        </w:tc>
        <w:tc>
          <w:tcPr>
            <w:tcW w:w="1034" w:type="dxa"/>
            <w:tcBorders>
              <w:top w:val="single" w:color="000000" w:sz="12" w:space="0"/>
              <w:left w:val="single" w:color="000000" w:sz="8" w:space="0"/>
              <w:bottom w:val="single" w:color="000000" w:sz="8" w:space="0"/>
              <w:right w:val="single" w:color="000000" w:sz="8" w:space="0"/>
            </w:tcBorders>
            <w:shd w:val="clear" w:color="auto" w:fill="D9D9D9"/>
            <w:vAlign w:val="center"/>
          </w:tcPr>
          <w:p>
            <w:pPr>
              <w:spacing w:line="312" w:lineRule="auto"/>
              <w:jc w:val="center"/>
              <w:rPr>
                <w:rFonts w:ascii="宋体" w:hAnsi="宋体" w:eastAsia="宋体" w:cs="Arial"/>
                <w:b w:val="0"/>
                <w:bCs w:val="0"/>
                <w:sz w:val="24"/>
                <w:highlight w:val="none"/>
              </w:rPr>
            </w:pPr>
            <w:r>
              <w:rPr>
                <w:rFonts w:ascii="宋体" w:hAnsi="宋体" w:cs="Arial"/>
                <w:b w:val="0"/>
                <w:bCs w:val="0"/>
                <w:sz w:val="24"/>
                <w:highlight w:val="none"/>
              </w:rPr>
              <w:t>单位</w:t>
            </w:r>
          </w:p>
        </w:tc>
        <w:tc>
          <w:tcPr>
            <w:tcW w:w="2611" w:type="dxa"/>
            <w:tcBorders>
              <w:top w:val="single" w:color="000000" w:sz="12" w:space="0"/>
              <w:left w:val="single" w:color="000000" w:sz="8" w:space="0"/>
              <w:bottom w:val="single" w:color="000000" w:sz="8" w:space="0"/>
              <w:right w:val="single" w:color="000000" w:sz="12" w:space="0"/>
            </w:tcBorders>
            <w:shd w:val="clear" w:color="auto" w:fill="D9D9D9"/>
            <w:vAlign w:val="center"/>
          </w:tcPr>
          <w:p>
            <w:pPr>
              <w:spacing w:line="312" w:lineRule="auto"/>
              <w:jc w:val="center"/>
              <w:rPr>
                <w:rFonts w:ascii="宋体" w:hAnsi="宋体" w:eastAsia="宋体" w:cs="Arial"/>
                <w:b w:val="0"/>
                <w:bCs w:val="0"/>
                <w:sz w:val="24"/>
                <w:highlight w:val="none"/>
              </w:rPr>
            </w:pPr>
            <w:r>
              <w:rPr>
                <w:rFonts w:ascii="宋体" w:hAnsi="宋体" w:cs="Arial"/>
                <w:b w:val="0"/>
                <w:bCs w:val="0"/>
                <w:sz w:val="24"/>
                <w:highlight w:val="none"/>
              </w:rPr>
              <w:t>参数</w:t>
            </w:r>
          </w:p>
        </w:tc>
      </w:tr>
      <w:tr>
        <w:tblPrEx>
          <w:tblCellMar>
            <w:top w:w="0" w:type="dxa"/>
            <w:left w:w="108" w:type="dxa"/>
            <w:bottom w:w="0" w:type="dxa"/>
            <w:right w:w="108" w:type="dxa"/>
          </w:tblCellMar>
        </w:tblPrEx>
        <w:trPr>
          <w:trHeight w:val="567" w:hRule="atLeast"/>
          <w:jc w:val="center"/>
        </w:trPr>
        <w:tc>
          <w:tcPr>
            <w:tcW w:w="1167" w:type="dxa"/>
            <w:vMerge w:val="restart"/>
            <w:tcBorders>
              <w:top w:val="single" w:color="000000" w:sz="8" w:space="0"/>
              <w:left w:val="single" w:color="000000" w:sz="12" w:space="0"/>
              <w:bottom w:val="single" w:color="000000" w:sz="8" w:space="0"/>
              <w:right w:val="single" w:color="000000" w:sz="8" w:space="0"/>
            </w:tcBorders>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尺寸及安装</w:t>
            </w:r>
          </w:p>
        </w:tc>
        <w:tc>
          <w:tcPr>
            <w:tcW w:w="3632" w:type="dxa"/>
            <w:tcBorders>
              <w:top w:val="single" w:color="000000" w:sz="8" w:space="0"/>
              <w:left w:val="single" w:color="000000" w:sz="8" w:space="0"/>
              <w:bottom w:val="single" w:color="000000" w:sz="8" w:space="0"/>
              <w:right w:val="single" w:color="000000" w:sz="8" w:space="0"/>
            </w:tcBorders>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外形尺寸</w:t>
            </w:r>
            <w:r>
              <w:rPr>
                <w:rFonts w:eastAsia="宋体" w:cs="Arial"/>
                <w:b w:val="0"/>
                <w:bCs w:val="0"/>
                <w:szCs w:val="21"/>
                <w:highlight w:val="none"/>
              </w:rPr>
              <w:t>(</w:t>
            </w:r>
            <w:r>
              <w:rPr>
                <w:rFonts w:ascii="宋体" w:hAnsi="宋体" w:cs="Arial"/>
                <w:b w:val="0"/>
                <w:bCs w:val="0"/>
                <w:szCs w:val="21"/>
                <w:highlight w:val="none"/>
              </w:rPr>
              <w:t>高</w:t>
            </w:r>
            <w:r>
              <w:rPr>
                <w:rFonts w:eastAsia="宋体" w:cs="Arial"/>
                <w:b w:val="0"/>
                <w:bCs w:val="0"/>
                <w:szCs w:val="21"/>
                <w:highlight w:val="none"/>
              </w:rPr>
              <w:t>*</w:t>
            </w:r>
            <w:r>
              <w:rPr>
                <w:rFonts w:ascii="宋体" w:hAnsi="宋体" w:cs="Arial"/>
                <w:b w:val="0"/>
                <w:bCs w:val="0"/>
                <w:szCs w:val="21"/>
                <w:highlight w:val="none"/>
              </w:rPr>
              <w:t>宽</w:t>
            </w:r>
            <w:r>
              <w:rPr>
                <w:rFonts w:eastAsia="宋体" w:cs="Arial"/>
                <w:b w:val="0"/>
                <w:bCs w:val="0"/>
                <w:szCs w:val="21"/>
                <w:highlight w:val="none"/>
              </w:rPr>
              <w:t>*</w:t>
            </w:r>
            <w:r>
              <w:rPr>
                <w:rFonts w:ascii="宋体" w:hAnsi="宋体" w:cs="Arial"/>
                <w:b w:val="0"/>
                <w:bCs w:val="0"/>
                <w:szCs w:val="21"/>
                <w:highlight w:val="none"/>
              </w:rPr>
              <w:t>深</w:t>
            </w:r>
            <w:r>
              <w:rPr>
                <w:rFonts w:eastAsia="宋体" w:cs="Arial"/>
                <w:b w:val="0"/>
                <w:bCs w:val="0"/>
                <w:szCs w:val="21"/>
                <w:highlight w:val="none"/>
              </w:rPr>
              <w:t>)</w:t>
            </w:r>
          </w:p>
        </w:tc>
        <w:tc>
          <w:tcPr>
            <w:tcW w:w="1034" w:type="dxa"/>
            <w:tcBorders>
              <w:top w:val="single" w:color="000000" w:sz="8" w:space="0"/>
              <w:left w:val="single" w:color="000000" w:sz="8" w:space="0"/>
              <w:bottom w:val="single" w:color="000000" w:sz="8" w:space="0"/>
              <w:right w:val="single" w:color="000000" w:sz="8" w:space="0"/>
            </w:tcBorders>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mm</w:t>
            </w:r>
          </w:p>
        </w:tc>
        <w:tc>
          <w:tcPr>
            <w:tcW w:w="2611" w:type="dxa"/>
            <w:tcBorders>
              <w:top w:val="single" w:color="000000" w:sz="8" w:space="0"/>
              <w:left w:val="single" w:color="000000" w:sz="8" w:space="0"/>
              <w:bottom w:val="single" w:color="000000" w:sz="8" w:space="0"/>
              <w:right w:val="single" w:color="000000" w:sz="12" w:space="0"/>
            </w:tcBorders>
            <w:vAlign w:val="center"/>
          </w:tcPr>
          <w:p>
            <w:pPr>
              <w:jc w:val="center"/>
              <w:rPr>
                <w:rFonts w:hint="default" w:ascii="宋体" w:hAnsi="宋体" w:eastAsia="宋体"/>
                <w:b w:val="0"/>
                <w:bCs w:val="0"/>
                <w:highlight w:val="none"/>
                <w:lang w:val="en-US" w:eastAsia="zh-CN"/>
              </w:rPr>
            </w:pPr>
            <w:r>
              <w:rPr>
                <w:rFonts w:eastAsia="宋体" w:cs="Arial"/>
                <w:b w:val="0"/>
                <w:bCs w:val="0"/>
                <w:szCs w:val="21"/>
                <w:highlight w:val="none"/>
              </w:rPr>
              <w:t>746*446*200</w:t>
            </w:r>
            <w:r>
              <w:rPr>
                <w:rFonts w:hint="eastAsia" w:cs="Arial"/>
                <w:b w:val="0"/>
                <w:bCs w:val="0"/>
                <w:szCs w:val="21"/>
                <w:highlight w:val="none"/>
                <w:lang w:val="en-US" w:eastAsia="zh-CN"/>
              </w:rPr>
              <w:t xml:space="preserve">  </w:t>
            </w:r>
            <w:r>
              <w:rPr>
                <w:rFonts w:ascii="宋体;SimSun" w:hAnsi="宋体;SimSun" w:cs="宋体;SimSun"/>
                <w:szCs w:val="21"/>
                <w:highlight w:val="none"/>
              </w:rPr>
              <w:t>±5%</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含法兰外形尺寸</w:t>
            </w:r>
            <w:r>
              <w:rPr>
                <w:rFonts w:eastAsia="宋体" w:cs="Arial"/>
                <w:b w:val="0"/>
                <w:bCs w:val="0"/>
                <w:szCs w:val="21"/>
                <w:highlight w:val="none"/>
              </w:rPr>
              <w:t>(</w:t>
            </w:r>
            <w:r>
              <w:rPr>
                <w:rFonts w:ascii="宋体" w:hAnsi="宋体" w:cs="Arial"/>
                <w:b w:val="0"/>
                <w:bCs w:val="0"/>
                <w:szCs w:val="21"/>
                <w:highlight w:val="none"/>
              </w:rPr>
              <w:t>高</w:t>
            </w:r>
            <w:r>
              <w:rPr>
                <w:rFonts w:eastAsia="宋体" w:cs="Arial"/>
                <w:b w:val="0"/>
                <w:bCs w:val="0"/>
                <w:szCs w:val="21"/>
                <w:highlight w:val="none"/>
              </w:rPr>
              <w:t>*</w:t>
            </w:r>
            <w:r>
              <w:rPr>
                <w:rFonts w:ascii="宋体" w:hAnsi="宋体" w:cs="Arial"/>
                <w:b w:val="0"/>
                <w:bCs w:val="0"/>
                <w:szCs w:val="21"/>
                <w:highlight w:val="none"/>
              </w:rPr>
              <w:t>宽</w:t>
            </w:r>
            <w:r>
              <w:rPr>
                <w:rFonts w:eastAsia="宋体" w:cs="Arial"/>
                <w:b w:val="0"/>
                <w:bCs w:val="0"/>
                <w:szCs w:val="21"/>
                <w:highlight w:val="none"/>
              </w:rPr>
              <w:t>*</w:t>
            </w:r>
            <w:r>
              <w:rPr>
                <w:rFonts w:ascii="宋体" w:hAnsi="宋体" w:cs="Arial"/>
                <w:b w:val="0"/>
                <w:bCs w:val="0"/>
                <w:szCs w:val="21"/>
                <w:highlight w:val="none"/>
              </w:rPr>
              <w:t>深</w:t>
            </w:r>
            <w:r>
              <w:rPr>
                <w:rFonts w:eastAsia="宋体" w:cs="Arial"/>
                <w:b w:val="0"/>
                <w:bCs w:val="0"/>
                <w:szCs w:val="21"/>
                <w:highlight w:val="none"/>
              </w:rPr>
              <w:t>)</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mm</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eastAsia="宋体" w:cs="Arial"/>
                <w:b w:val="0"/>
                <w:bCs w:val="0"/>
                <w:szCs w:val="21"/>
                <w:highlight w:val="none"/>
              </w:rPr>
              <w:t>784*484*200</w:t>
            </w:r>
            <w:r>
              <w:rPr>
                <w:rFonts w:hint="eastAsia" w:cs="Arial"/>
                <w:b w:val="0"/>
                <w:bCs w:val="0"/>
                <w:szCs w:val="21"/>
                <w:highlight w:val="none"/>
                <w:lang w:val="en-US" w:eastAsia="zh-CN"/>
              </w:rPr>
              <w:t xml:space="preserve">  </w:t>
            </w:r>
            <w:r>
              <w:rPr>
                <w:rFonts w:ascii="宋体;SimSun" w:hAnsi="宋体;SimSun" w:cs="宋体;SimSun"/>
                <w:szCs w:val="21"/>
                <w:highlight w:val="none"/>
              </w:rPr>
              <w:t>±5%</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重量</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Kg</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宋体;SimSun"/>
                <w:b w:val="0"/>
                <w:bCs w:val="0"/>
                <w:szCs w:val="21"/>
                <w:highlight w:val="none"/>
              </w:rPr>
            </w:pPr>
            <w:r>
              <w:rPr>
                <w:rFonts w:eastAsia="宋体" w:cs="宋体;SimSun"/>
                <w:b w:val="0"/>
                <w:bCs w:val="0"/>
                <w:szCs w:val="21"/>
                <w:highlight w:val="none"/>
              </w:rPr>
              <w:t>24</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安装方式</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嵌入式安装</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安装环境</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户外</w:t>
            </w:r>
          </w:p>
        </w:tc>
      </w:tr>
      <w:tr>
        <w:tblPrEx>
          <w:tblCellMar>
            <w:top w:w="0" w:type="dxa"/>
            <w:left w:w="108" w:type="dxa"/>
            <w:bottom w:w="0" w:type="dxa"/>
            <w:right w:w="108" w:type="dxa"/>
          </w:tblCellMar>
        </w:tblPrEx>
        <w:trPr>
          <w:trHeight w:val="567" w:hRule="atLeast"/>
          <w:jc w:val="center"/>
        </w:trPr>
        <w:tc>
          <w:tcPr>
            <w:tcW w:w="1167" w:type="dxa"/>
            <w:vMerge w:val="restart"/>
            <w:tcBorders>
              <w:top w:val="single" w:color="000000" w:sz="8" w:space="0"/>
              <w:left w:val="single" w:color="000000" w:sz="12"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环境及保护</w:t>
            </w: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工作环境温度</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-40</w:t>
            </w:r>
            <w:r>
              <w:rPr>
                <w:rFonts w:ascii="宋体" w:hAnsi="宋体" w:cs="Arial"/>
                <w:b w:val="0"/>
                <w:bCs w:val="0"/>
                <w:szCs w:val="21"/>
                <w:highlight w:val="none"/>
              </w:rPr>
              <w:t>至</w:t>
            </w:r>
            <w:r>
              <w:rPr>
                <w:rFonts w:eastAsia="宋体" w:cs="Arial"/>
                <w:b w:val="0"/>
                <w:bCs w:val="0"/>
                <w:szCs w:val="21"/>
                <w:highlight w:val="none"/>
              </w:rPr>
              <w:t>+55</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噪音</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dB(A)</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w:t>
            </w:r>
            <w:r>
              <w:rPr>
                <w:rFonts w:eastAsia="宋体" w:cs="Arial"/>
                <w:b w:val="0"/>
                <w:bCs w:val="0"/>
                <w:szCs w:val="21"/>
                <w:highlight w:val="none"/>
              </w:rPr>
              <w:t>65</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寿命</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Years</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&gt;10</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防护等级</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IP55</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制冷剂</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R134a</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RoHS</w:t>
            </w:r>
            <w:r>
              <w:rPr>
                <w:rFonts w:ascii="宋体" w:hAnsi="宋体" w:cs="Arial"/>
                <w:b w:val="0"/>
                <w:bCs w:val="0"/>
                <w:szCs w:val="21"/>
                <w:highlight w:val="none"/>
              </w:rPr>
              <w:t>认证</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eastAsia="宋体" w:cs="Arial"/>
                <w:b w:val="0"/>
                <w:bCs w:val="0"/>
                <w:szCs w:val="21"/>
                <w:highlight w:val="none"/>
              </w:rPr>
              <w:t>yes</w:t>
            </w:r>
          </w:p>
        </w:tc>
      </w:tr>
      <w:tr>
        <w:tblPrEx>
          <w:tblCellMar>
            <w:top w:w="0" w:type="dxa"/>
            <w:left w:w="108" w:type="dxa"/>
            <w:bottom w:w="0" w:type="dxa"/>
            <w:right w:w="108" w:type="dxa"/>
          </w:tblCellMar>
        </w:tblPrEx>
        <w:trPr>
          <w:trHeight w:val="567" w:hRule="atLeast"/>
          <w:jc w:val="center"/>
        </w:trPr>
        <w:tc>
          <w:tcPr>
            <w:tcW w:w="1167" w:type="dxa"/>
            <w:vMerge w:val="restart"/>
            <w:tcBorders>
              <w:top w:val="single" w:color="000000" w:sz="8" w:space="0"/>
              <w:left w:val="single" w:color="000000" w:sz="12"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性能</w:t>
            </w: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电源范围</w:t>
            </w:r>
          </w:p>
        </w:tc>
        <w:tc>
          <w:tcPr>
            <w:tcW w:w="3645" w:type="dxa"/>
            <w:gridSpan w:val="2"/>
            <w:tcBorders>
              <w:top w:val="single" w:color="000000" w:sz="8" w:space="0"/>
              <w:left w:val="single" w:color="000000" w:sz="8" w:space="0"/>
              <w:bottom w:val="single" w:color="000000" w:sz="8" w:space="0"/>
              <w:right w:val="single" w:color="000000" w:sz="12" w:space="0"/>
            </w:tcBorders>
            <w:shd w:val="clear" w:color="auto" w:fill="FFFFFF"/>
            <w:vAlign w:val="center"/>
          </w:tcPr>
          <w:p>
            <w:pPr>
              <w:spacing w:line="312" w:lineRule="auto"/>
              <w:jc w:val="center"/>
              <w:rPr>
                <w:rFonts w:ascii="宋体" w:hAnsi="宋体" w:eastAsia="宋体"/>
                <w:b w:val="0"/>
                <w:bCs w:val="0"/>
                <w:highlight w:val="none"/>
              </w:rPr>
            </w:pPr>
            <w:r>
              <w:rPr>
                <w:rFonts w:eastAsia="宋体" w:cs="宋体;SimSun"/>
                <w:b w:val="0"/>
                <w:bCs w:val="0"/>
                <w:szCs w:val="21"/>
                <w:highlight w:val="none"/>
              </w:rPr>
              <w:t>220±15%VAC~50Hz</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制冷量</w:t>
            </w:r>
            <w:r>
              <w:rPr>
                <w:rFonts w:eastAsia="宋体" w:cs="Arial"/>
                <w:b w:val="0"/>
                <w:bCs w:val="0"/>
                <w:szCs w:val="21"/>
                <w:highlight w:val="none"/>
              </w:rPr>
              <w:t>(L35/L35)</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宋体;SimSun"/>
                <w:b w:val="0"/>
                <w:bCs w:val="0"/>
                <w:szCs w:val="21"/>
                <w:highlight w:val="none"/>
              </w:rPr>
            </w:pPr>
            <w:r>
              <w:rPr>
                <w:rFonts w:eastAsia="宋体" w:cs="宋体;SimSun"/>
                <w:b w:val="0"/>
                <w:bCs w:val="0"/>
                <w:szCs w:val="21"/>
                <w:highlight w:val="none"/>
              </w:rPr>
              <w:t>W</w:t>
            </w:r>
          </w:p>
        </w:tc>
        <w:tc>
          <w:tcPr>
            <w:tcW w:w="2611" w:type="dxa"/>
            <w:tcBorders>
              <w:top w:val="single" w:color="000000" w:sz="4"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ascii="宋体" w:hAnsi="宋体" w:cs="Arial"/>
                <w:b w:val="0"/>
                <w:bCs w:val="0"/>
                <w:color w:val="000000"/>
                <w:sz w:val="24"/>
                <w:szCs w:val="24"/>
                <w:highlight w:val="none"/>
              </w:rPr>
              <w:t>≥</w:t>
            </w:r>
            <w:r>
              <w:rPr>
                <w:rFonts w:eastAsia="宋体" w:cs="Arial"/>
                <w:b w:val="0"/>
                <w:bCs w:val="0"/>
                <w:szCs w:val="21"/>
                <w:highlight w:val="none"/>
              </w:rPr>
              <w:t>1500</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额定功率</w:t>
            </w:r>
            <w:r>
              <w:rPr>
                <w:rFonts w:eastAsia="宋体" w:cs="Arial"/>
                <w:b w:val="0"/>
                <w:bCs w:val="0"/>
                <w:szCs w:val="21"/>
                <w:highlight w:val="none"/>
              </w:rPr>
              <w:t>(L35/L35)</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宋体;SimSun"/>
                <w:b w:val="0"/>
                <w:bCs w:val="0"/>
                <w:szCs w:val="21"/>
                <w:highlight w:val="none"/>
              </w:rPr>
            </w:pPr>
            <w:r>
              <w:rPr>
                <w:rFonts w:eastAsia="宋体" w:cs="宋体;SimSun"/>
                <w:b w:val="0"/>
                <w:bCs w:val="0"/>
                <w:szCs w:val="21"/>
                <w:highlight w:val="none"/>
              </w:rPr>
              <w:t>W</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ascii="宋体" w:hAnsi="宋体" w:cs="Arial"/>
                <w:b w:val="0"/>
                <w:bCs w:val="0"/>
                <w:color w:val="000000"/>
                <w:sz w:val="24"/>
                <w:szCs w:val="24"/>
                <w:highlight w:val="none"/>
              </w:rPr>
              <w:t>≥</w:t>
            </w:r>
            <w:r>
              <w:rPr>
                <w:rFonts w:eastAsia="宋体" w:cs="Arial"/>
                <w:b w:val="0"/>
                <w:bCs w:val="0"/>
                <w:szCs w:val="21"/>
                <w:highlight w:val="none"/>
              </w:rPr>
              <w:t>580</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额定电流</w:t>
            </w:r>
            <w:r>
              <w:rPr>
                <w:rFonts w:eastAsia="宋体" w:cs="Arial"/>
                <w:b w:val="0"/>
                <w:bCs w:val="0"/>
                <w:szCs w:val="21"/>
                <w:highlight w:val="none"/>
              </w:rPr>
              <w:t>(L35/L35)</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宋体;SimSun"/>
                <w:b w:val="0"/>
                <w:bCs w:val="0"/>
                <w:szCs w:val="21"/>
                <w:highlight w:val="none"/>
              </w:rPr>
            </w:pPr>
            <w:r>
              <w:rPr>
                <w:rFonts w:eastAsia="宋体" w:cs="宋体;SimSun"/>
                <w:b w:val="0"/>
                <w:bCs w:val="0"/>
                <w:szCs w:val="21"/>
                <w:highlight w:val="none"/>
              </w:rPr>
              <w:t>A</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ascii="宋体" w:hAnsi="宋体" w:cs="Arial"/>
                <w:b w:val="0"/>
                <w:bCs w:val="0"/>
                <w:color w:val="000000"/>
                <w:sz w:val="24"/>
                <w:szCs w:val="24"/>
                <w:highlight w:val="none"/>
              </w:rPr>
              <w:t>≥</w:t>
            </w:r>
            <w:r>
              <w:rPr>
                <w:rFonts w:eastAsia="宋体" w:cs="Arial"/>
                <w:b w:val="0"/>
                <w:bCs w:val="0"/>
                <w:szCs w:val="21"/>
                <w:highlight w:val="none"/>
              </w:rPr>
              <w:t>2.6</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最大工作电流</w:t>
            </w:r>
          </w:p>
        </w:tc>
        <w:tc>
          <w:tcPr>
            <w:tcW w:w="1034"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312" w:lineRule="auto"/>
              <w:jc w:val="center"/>
              <w:rPr>
                <w:rFonts w:ascii="宋体" w:hAnsi="宋体" w:eastAsia="宋体" w:cs="宋体;SimSun"/>
                <w:b w:val="0"/>
                <w:bCs w:val="0"/>
                <w:szCs w:val="21"/>
                <w:highlight w:val="none"/>
              </w:rPr>
            </w:pPr>
            <w:r>
              <w:rPr>
                <w:rFonts w:eastAsia="宋体" w:cs="宋体;SimSun"/>
                <w:b w:val="0"/>
                <w:bCs w:val="0"/>
                <w:szCs w:val="21"/>
                <w:highlight w:val="none"/>
              </w:rPr>
              <w:t>A</w:t>
            </w:r>
          </w:p>
        </w:tc>
        <w:tc>
          <w:tcPr>
            <w:tcW w:w="2611" w:type="dxa"/>
            <w:tcBorders>
              <w:top w:val="single" w:color="000000" w:sz="8" w:space="0"/>
              <w:left w:val="single" w:color="000000" w:sz="8" w:space="0"/>
              <w:bottom w:val="single" w:color="000000" w:sz="8"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ascii="宋体" w:hAnsi="宋体" w:cs="Arial"/>
                <w:b w:val="0"/>
                <w:bCs w:val="0"/>
                <w:color w:val="000000"/>
                <w:sz w:val="24"/>
                <w:szCs w:val="24"/>
                <w:highlight w:val="none"/>
              </w:rPr>
              <w:t>≥</w:t>
            </w:r>
            <w:r>
              <w:rPr>
                <w:rFonts w:eastAsia="宋体" w:cs="Arial"/>
                <w:b w:val="0"/>
                <w:bCs w:val="0"/>
                <w:szCs w:val="21"/>
                <w:highlight w:val="none"/>
              </w:rPr>
              <w:t>4.6</w:t>
            </w:r>
          </w:p>
        </w:tc>
      </w:tr>
      <w:tr>
        <w:tblPrEx>
          <w:tblCellMar>
            <w:top w:w="0" w:type="dxa"/>
            <w:left w:w="108" w:type="dxa"/>
            <w:bottom w:w="0" w:type="dxa"/>
            <w:right w:w="108" w:type="dxa"/>
          </w:tblCellMar>
        </w:tblPrEx>
        <w:trPr>
          <w:trHeight w:val="567" w:hRule="atLeast"/>
          <w:jc w:val="center"/>
        </w:trPr>
        <w:tc>
          <w:tcPr>
            <w:tcW w:w="1167" w:type="dxa"/>
            <w:vMerge w:val="continue"/>
            <w:tcBorders>
              <w:top w:val="single" w:color="000000" w:sz="8" w:space="0"/>
              <w:left w:val="single" w:color="000000" w:sz="12" w:space="0"/>
              <w:bottom w:val="single" w:color="000000" w:sz="8" w:space="0"/>
              <w:right w:val="single" w:color="000000" w:sz="8" w:space="0"/>
            </w:tcBorders>
            <w:shd w:val="clear" w:color="auto" w:fill="FFFFFF"/>
            <w:vAlign w:val="center"/>
          </w:tcPr>
          <w:p>
            <w:pPr>
              <w:snapToGrid w:val="0"/>
              <w:spacing w:line="312" w:lineRule="auto"/>
              <w:jc w:val="center"/>
              <w:rPr>
                <w:rFonts w:ascii="宋体" w:hAnsi="宋体" w:eastAsia="宋体" w:cs="Arial"/>
                <w:b w:val="0"/>
                <w:bCs w:val="0"/>
                <w:szCs w:val="21"/>
                <w:highlight w:val="none"/>
              </w:rPr>
            </w:pPr>
          </w:p>
        </w:tc>
        <w:tc>
          <w:tcPr>
            <w:tcW w:w="3632" w:type="dxa"/>
            <w:tcBorders>
              <w:top w:val="single" w:color="000000" w:sz="8" w:space="0"/>
              <w:left w:val="single" w:color="000000" w:sz="8" w:space="0"/>
              <w:bottom w:val="single" w:color="000000" w:sz="12" w:space="0"/>
              <w:right w:val="single" w:color="000000" w:sz="8" w:space="0"/>
            </w:tcBorders>
            <w:shd w:val="clear" w:color="auto" w:fill="FFFFFF"/>
            <w:vAlign w:val="center"/>
          </w:tcPr>
          <w:p>
            <w:pPr>
              <w:spacing w:line="312" w:lineRule="auto"/>
              <w:jc w:val="center"/>
              <w:rPr>
                <w:rFonts w:ascii="宋体" w:hAnsi="宋体" w:eastAsia="宋体" w:cs="Arial"/>
                <w:b w:val="0"/>
                <w:bCs w:val="0"/>
                <w:szCs w:val="21"/>
                <w:highlight w:val="none"/>
              </w:rPr>
            </w:pPr>
            <w:r>
              <w:rPr>
                <w:rFonts w:ascii="宋体" w:hAnsi="宋体" w:cs="Arial"/>
                <w:b w:val="0"/>
                <w:bCs w:val="0"/>
                <w:szCs w:val="21"/>
                <w:highlight w:val="none"/>
              </w:rPr>
              <w:t>循环风量</w:t>
            </w:r>
          </w:p>
        </w:tc>
        <w:tc>
          <w:tcPr>
            <w:tcW w:w="1034" w:type="dxa"/>
            <w:tcBorders>
              <w:top w:val="single" w:color="000000" w:sz="8" w:space="0"/>
              <w:left w:val="single" w:color="000000" w:sz="8" w:space="0"/>
              <w:bottom w:val="single" w:color="000000" w:sz="12" w:space="0"/>
              <w:right w:val="single" w:color="000000" w:sz="8" w:space="0"/>
            </w:tcBorders>
            <w:shd w:val="clear" w:color="auto" w:fill="FFFFFF"/>
            <w:vAlign w:val="center"/>
          </w:tcPr>
          <w:p>
            <w:pPr>
              <w:spacing w:line="312" w:lineRule="auto"/>
              <w:jc w:val="center"/>
              <w:rPr>
                <w:rFonts w:ascii="宋体" w:hAnsi="宋体" w:eastAsia="宋体"/>
                <w:b w:val="0"/>
                <w:bCs w:val="0"/>
                <w:highlight w:val="none"/>
              </w:rPr>
            </w:pPr>
            <w:r>
              <w:rPr>
                <w:rFonts w:eastAsia="宋体" w:cs="宋体;SimSun"/>
                <w:b w:val="0"/>
                <w:bCs w:val="0"/>
                <w:szCs w:val="21"/>
                <w:highlight w:val="none"/>
              </w:rPr>
              <w:t>m</w:t>
            </w:r>
            <w:r>
              <w:rPr>
                <w:rFonts w:eastAsia="宋体" w:cs="宋体;SimSun"/>
                <w:b w:val="0"/>
                <w:bCs w:val="0"/>
                <w:szCs w:val="21"/>
                <w:highlight w:val="none"/>
                <w:vertAlign w:val="superscript"/>
              </w:rPr>
              <w:t>3</w:t>
            </w:r>
            <w:r>
              <w:rPr>
                <w:rFonts w:eastAsia="宋体" w:cs="宋体;SimSun"/>
                <w:b w:val="0"/>
                <w:bCs w:val="0"/>
                <w:szCs w:val="21"/>
                <w:highlight w:val="none"/>
              </w:rPr>
              <w:t>/h</w:t>
            </w:r>
          </w:p>
        </w:tc>
        <w:tc>
          <w:tcPr>
            <w:tcW w:w="2611" w:type="dxa"/>
            <w:tcBorders>
              <w:top w:val="single" w:color="000000" w:sz="8" w:space="0"/>
              <w:left w:val="single" w:color="000000" w:sz="8" w:space="0"/>
              <w:bottom w:val="single" w:color="000000" w:sz="12" w:space="0"/>
              <w:right w:val="single" w:color="000000" w:sz="12" w:space="0"/>
            </w:tcBorders>
            <w:shd w:val="clear" w:color="auto" w:fill="FFFFFF"/>
            <w:vAlign w:val="center"/>
          </w:tcPr>
          <w:p>
            <w:pPr>
              <w:jc w:val="center"/>
              <w:rPr>
                <w:rFonts w:ascii="宋体" w:hAnsi="宋体" w:eastAsia="宋体" w:cs="Arial"/>
                <w:b w:val="0"/>
                <w:bCs w:val="0"/>
                <w:szCs w:val="21"/>
                <w:highlight w:val="none"/>
              </w:rPr>
            </w:pPr>
            <w:r>
              <w:rPr>
                <w:rFonts w:ascii="宋体" w:hAnsi="宋体" w:cs="Arial"/>
                <w:b w:val="0"/>
                <w:bCs w:val="0"/>
                <w:color w:val="000000"/>
                <w:sz w:val="24"/>
                <w:szCs w:val="24"/>
                <w:highlight w:val="none"/>
              </w:rPr>
              <w:t>≥</w:t>
            </w:r>
            <w:r>
              <w:rPr>
                <w:rFonts w:eastAsia="宋体" w:cs="Arial"/>
                <w:b w:val="0"/>
                <w:bCs w:val="0"/>
                <w:szCs w:val="21"/>
                <w:highlight w:val="none"/>
              </w:rPr>
              <w:t>370</w:t>
            </w:r>
          </w:p>
        </w:tc>
      </w:tr>
    </w:tbl>
    <w:p>
      <w:pPr>
        <w:widowControl/>
        <w:spacing w:line="240" w:lineRule="auto"/>
        <w:ind w:left="0" w:firstLine="0"/>
        <w:jc w:val="left"/>
        <w:rPr>
          <w:rFonts w:ascii="宋体" w:hAnsi="宋体" w:eastAsia="宋体" w:cs="宋体"/>
          <w:b w:val="0"/>
          <w:bCs w:val="0"/>
          <w:color w:val="000000"/>
          <w:kern w:val="0"/>
          <w:sz w:val="24"/>
          <w:szCs w:val="24"/>
          <w:highlight w:val="none"/>
          <w:lang w:val="en-US" w:eastAsia="zh-CN"/>
        </w:rPr>
      </w:pPr>
    </w:p>
    <w:p>
      <w:pPr>
        <w:pStyle w:val="2"/>
        <w:rPr>
          <w:rFonts w:ascii="宋体" w:hAnsi="宋体" w:eastAsia="宋体"/>
          <w:b/>
          <w:bCs/>
          <w:sz w:val="28"/>
          <w:szCs w:val="28"/>
          <w:highlight w:val="none"/>
        </w:rPr>
      </w:pPr>
      <w:r>
        <w:rPr>
          <w:rFonts w:ascii="宋体" w:hAnsi="宋体" w:eastAsia="宋体" w:cs="宋体;SimSun"/>
          <w:b/>
          <w:sz w:val="28"/>
          <w:szCs w:val="28"/>
          <w:highlight w:val="none"/>
        </w:rPr>
        <w:t>类似实物</w:t>
      </w:r>
      <w:r>
        <w:rPr>
          <w:rFonts w:hint="eastAsia" w:cs="宋体;SimSun"/>
          <w:b/>
          <w:sz w:val="28"/>
          <w:szCs w:val="28"/>
          <w:highlight w:val="none"/>
          <w:lang w:eastAsia="zh-CN"/>
        </w:rPr>
        <w:t>参考</w:t>
      </w:r>
      <w:r>
        <w:rPr>
          <w:rFonts w:ascii="宋体" w:hAnsi="宋体" w:eastAsia="宋体" w:cs="宋体;SimSun"/>
          <w:b/>
          <w:sz w:val="28"/>
          <w:szCs w:val="28"/>
          <w:highlight w:val="none"/>
        </w:rPr>
        <w:t>图</w:t>
      </w:r>
      <w:r>
        <w:rPr>
          <w:rFonts w:hint="eastAsia" w:cs="宋体;SimSun"/>
          <w:b/>
          <w:sz w:val="28"/>
          <w:szCs w:val="28"/>
          <w:highlight w:val="none"/>
          <w:lang w:eastAsia="zh-CN"/>
        </w:rPr>
        <w:t>：</w:t>
      </w:r>
    </w:p>
    <w:p>
      <w:pPr>
        <w:pStyle w:val="3"/>
        <w:jc w:val="left"/>
        <w:rPr>
          <w:rFonts w:hint="eastAsia"/>
          <w:highlight w:val="none"/>
          <w:lang w:val="en-US" w:eastAsia="zh-CN"/>
        </w:rPr>
      </w:pP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drawing>
          <wp:inline distT="0" distB="0" distL="0" distR="0">
            <wp:extent cx="1235075" cy="1440180"/>
            <wp:effectExtent l="0" t="0" r="3175" b="7620"/>
            <wp:docPr id="12" name="图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像6"/>
                    <pic:cNvPicPr>
                      <a:picLocks noChangeAspect="1" noChangeArrowheads="1"/>
                    </pic:cNvPicPr>
                  </pic:nvPicPr>
                  <pic:blipFill>
                    <a:blip r:embed="rId16"/>
                    <a:srcRect l="5469" t="24847" r="-1" b="-1"/>
                    <a:stretch>
                      <a:fillRect/>
                    </a:stretch>
                  </pic:blipFill>
                  <pic:spPr>
                    <a:xfrm>
                      <a:off x="0" y="0"/>
                      <a:ext cx="1235075" cy="1440180"/>
                    </a:xfrm>
                    <a:prstGeom prst="rect">
                      <a:avLst/>
                    </a:prstGeom>
                    <a:noFill/>
                  </pic:spPr>
                </pic:pic>
              </a:graphicData>
            </a:graphic>
          </wp:inline>
        </w:drawing>
      </w: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drawing>
          <wp:inline distT="0" distB="0" distL="0" distR="0">
            <wp:extent cx="1094105" cy="1458595"/>
            <wp:effectExtent l="0" t="0" r="10795" b="8255"/>
            <wp:docPr id="11" name="图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像5"/>
                    <pic:cNvPicPr>
                      <a:picLocks noChangeAspect="1" noChangeArrowheads="1"/>
                    </pic:cNvPicPr>
                  </pic:nvPicPr>
                  <pic:blipFill>
                    <a:blip r:embed="rId17"/>
                    <a:srcRect l="-1" t="-1" r="-1" b="-1"/>
                    <a:stretch>
                      <a:fillRect/>
                    </a:stretch>
                  </pic:blipFill>
                  <pic:spPr>
                    <a:xfrm>
                      <a:off x="0" y="0"/>
                      <a:ext cx="1094105" cy="1458595"/>
                    </a:xfrm>
                    <a:prstGeom prst="rect">
                      <a:avLst/>
                    </a:prstGeom>
                    <a:noFill/>
                  </pic:spPr>
                </pic:pic>
              </a:graphicData>
            </a:graphic>
          </wp:inline>
        </w:drawing>
      </w: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drawing>
          <wp:inline distT="0" distB="0" distL="0" distR="0">
            <wp:extent cx="1108710" cy="1478915"/>
            <wp:effectExtent l="0" t="0" r="15240" b="6985"/>
            <wp:docPr id="13" name="图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像7"/>
                    <pic:cNvPicPr>
                      <a:picLocks noChangeAspect="1" noChangeArrowheads="1"/>
                    </pic:cNvPicPr>
                  </pic:nvPicPr>
                  <pic:blipFill>
                    <a:blip r:embed="rId18"/>
                    <a:srcRect l="-1" t="-1" r="-1" b="-1"/>
                    <a:stretch>
                      <a:fillRect/>
                    </a:stretch>
                  </pic:blipFill>
                  <pic:spPr>
                    <a:xfrm>
                      <a:off x="0" y="0"/>
                      <a:ext cx="1108710" cy="1478915"/>
                    </a:xfrm>
                    <a:prstGeom prst="rect">
                      <a:avLst/>
                    </a:prstGeom>
                    <a:noFill/>
                  </pic:spPr>
                </pic:pic>
              </a:graphicData>
            </a:graphic>
          </wp:inline>
        </w:drawing>
      </w: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drawing>
          <wp:inline distT="0" distB="0" distL="0" distR="0">
            <wp:extent cx="1106170" cy="1475740"/>
            <wp:effectExtent l="0" t="0" r="17780" b="10160"/>
            <wp:docPr id="16" name="图像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像10"/>
                    <pic:cNvPicPr>
                      <a:picLocks noChangeAspect="1" noChangeArrowheads="1"/>
                    </pic:cNvPicPr>
                  </pic:nvPicPr>
                  <pic:blipFill>
                    <a:blip r:embed="rId19"/>
                    <a:srcRect l="-1" t="-1" r="-1" b="-1"/>
                    <a:stretch>
                      <a:fillRect/>
                    </a:stretch>
                  </pic:blipFill>
                  <pic:spPr>
                    <a:xfrm>
                      <a:off x="0" y="0"/>
                      <a:ext cx="1106170" cy="1475740"/>
                    </a:xfrm>
                    <a:prstGeom prst="rect">
                      <a:avLst/>
                    </a:prstGeom>
                    <a:noFill/>
                  </pic:spPr>
                </pic:pic>
              </a:graphicData>
            </a:graphic>
          </wp:inline>
        </w:drawing>
      </w: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r>
        <w:rPr>
          <w:rFonts w:ascii="宋体" w:hAnsi="宋体" w:cs="宋体"/>
          <w:szCs w:val="24"/>
          <w:highlight w:val="none"/>
        </w:rPr>
        <w:t>试验及验收</w:t>
      </w:r>
      <w:bookmarkEnd w:id="77"/>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验收要求</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招标方将负责对现场安装和测试进行指导，投标方的工程师将完成现场试验验收。</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在现场验收完成后，双方的代表将签署设备到货验收清单。</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验收计划由投标方准备，交招标方审查同意。</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为有利于系统的安装、投运和测试，投标方应派出有经验的专家提供技术服务。</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在现场安装、投运及验收过程中，投标方应对损坏的设备负责。</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备品备件、文档资料均作为验收的一部分。</w:t>
      </w: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78" w:name="_Toc12820"/>
      <w:r>
        <w:rPr>
          <w:rFonts w:ascii="宋体" w:hAnsi="宋体" w:cs="宋体"/>
          <w:szCs w:val="24"/>
          <w:highlight w:val="none"/>
        </w:rPr>
        <w:t>监造、包装、运输、安装及质量保证</w:t>
      </w:r>
      <w:bookmarkEnd w:id="78"/>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bookmarkStart w:id="79" w:name="_Toc296962415"/>
      <w:bookmarkStart w:id="80" w:name="_Toc296962416"/>
      <w:bookmarkStart w:id="81" w:name="_Toc240452888"/>
      <w:bookmarkStart w:id="82" w:name="_Toc289089107"/>
      <w:bookmarkStart w:id="83" w:name="_Toc296359234"/>
      <w:bookmarkStart w:id="84" w:name="_Toc296359235"/>
      <w:r>
        <w:rPr>
          <w:rFonts w:ascii="宋体" w:hAnsi="宋体" w:cs="宋体"/>
          <w:b w:val="0"/>
          <w:kern w:val="0"/>
          <w:szCs w:val="24"/>
          <w:highlight w:val="none"/>
        </w:rPr>
        <w:t>设备制造完成并通过试验后应及时包装</w:t>
      </w:r>
      <w:r>
        <w:rPr>
          <w:rFonts w:eastAsia="宋体" w:cs="宋体"/>
          <w:b w:val="0"/>
          <w:kern w:val="0"/>
          <w:szCs w:val="24"/>
          <w:highlight w:val="none"/>
        </w:rPr>
        <w:t xml:space="preserve">, </w:t>
      </w:r>
      <w:r>
        <w:rPr>
          <w:rFonts w:ascii="宋体" w:hAnsi="宋体" w:cs="宋体"/>
          <w:b w:val="0"/>
          <w:kern w:val="0"/>
          <w:szCs w:val="24"/>
          <w:highlight w:val="none"/>
        </w:rPr>
        <w:t>否则应得到切实的保护</w:t>
      </w:r>
      <w:r>
        <w:rPr>
          <w:rFonts w:eastAsia="宋体" w:cs="宋体"/>
          <w:b w:val="0"/>
          <w:kern w:val="0"/>
          <w:szCs w:val="24"/>
          <w:highlight w:val="none"/>
        </w:rPr>
        <w:t xml:space="preserve">, </w:t>
      </w:r>
      <w:r>
        <w:rPr>
          <w:rFonts w:ascii="宋体" w:hAnsi="宋体" w:cs="宋体"/>
          <w:b w:val="0"/>
          <w:kern w:val="0"/>
          <w:szCs w:val="24"/>
          <w:highlight w:val="none"/>
        </w:rPr>
        <w:t>确保其不受污损。</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所有部件经妥善包装或装箱后</w:t>
      </w:r>
      <w:r>
        <w:rPr>
          <w:rFonts w:eastAsia="宋体" w:cs="宋体"/>
          <w:b w:val="0"/>
          <w:kern w:val="0"/>
          <w:szCs w:val="24"/>
          <w:highlight w:val="none"/>
        </w:rPr>
        <w:t>,</w:t>
      </w:r>
      <w:r>
        <w:rPr>
          <w:rFonts w:ascii="宋体" w:hAnsi="宋体" w:cs="宋体"/>
          <w:b w:val="0"/>
          <w:kern w:val="0"/>
          <w:szCs w:val="24"/>
          <w:highlight w:val="none"/>
        </w:rPr>
        <w:t>在运输过程中尚应采取其它防护措施</w:t>
      </w:r>
      <w:r>
        <w:rPr>
          <w:rFonts w:eastAsia="宋体" w:cs="宋体"/>
          <w:b w:val="0"/>
          <w:kern w:val="0"/>
          <w:szCs w:val="24"/>
          <w:highlight w:val="none"/>
        </w:rPr>
        <w:t>,</w:t>
      </w:r>
      <w:r>
        <w:rPr>
          <w:rFonts w:ascii="宋体" w:hAnsi="宋体" w:cs="宋体"/>
          <w:b w:val="0"/>
          <w:kern w:val="0"/>
          <w:szCs w:val="24"/>
          <w:highlight w:val="none"/>
        </w:rPr>
        <w:t>以免散失损坏或被盗。</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在包装箱外应标明需方的订货号、发货号。</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各种包装应能确保各零部件在运输过程中不致遭到损坏、丢失、变形、受潮和腐蚀。</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包装箱上应有明显的包装储运图示标志。</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整体产品或分别运输的部件都要适合运输和装载的要求。</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随产品提供的技术资料应完整无缺。</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订购的新型产品除应满足本招标技术文件外， 投标方还应提供产品的鉴定证书。</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ilvl w:val="1"/>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柜内的各种元件</w:t>
      </w:r>
      <w:r>
        <w:rPr>
          <w:rFonts w:eastAsia="宋体" w:cs="宋体"/>
          <w:b w:val="0"/>
          <w:kern w:val="0"/>
          <w:szCs w:val="24"/>
          <w:highlight w:val="none"/>
        </w:rPr>
        <w:t>,</w:t>
      </w:r>
      <w:r>
        <w:rPr>
          <w:rFonts w:ascii="宋体" w:hAnsi="宋体" w:cs="宋体"/>
          <w:b w:val="0"/>
          <w:kern w:val="0"/>
          <w:szCs w:val="24"/>
          <w:highlight w:val="none"/>
        </w:rPr>
        <w:t>应选择具有生产许可证的专业制造厂家的产品。</w:t>
      </w:r>
      <w:bookmarkEnd w:id="79"/>
      <w:bookmarkEnd w:id="80"/>
      <w:bookmarkEnd w:id="81"/>
      <w:bookmarkEnd w:id="82"/>
      <w:bookmarkEnd w:id="83"/>
      <w:bookmarkEnd w:id="84"/>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85" w:name="_Toc5930"/>
      <w:r>
        <w:rPr>
          <w:rFonts w:ascii="宋体" w:hAnsi="宋体" w:cs="宋体"/>
          <w:szCs w:val="24"/>
          <w:highlight w:val="none"/>
        </w:rPr>
        <w:t>双方工作安排</w:t>
      </w:r>
      <w:bookmarkEnd w:id="85"/>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招标方职责</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负责对本招标书进行解释。</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招标方保留对本招标书增删、修改的权利。</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招标方有权对投标方的技术建议书的内容进行取舍。</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授予合同前，招标方有权要求投标方提供产品功能演示，以验证投标方投标产品满足功能要求。</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协助投标方开展现场相关工作。</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确认投标方提供的相关资料和文件。</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负责提供现场安装的条件及必要的支持。</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协助现场设备布置。</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组织现场验收。</w:t>
      </w:r>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投标方职责</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投标方负责提供投标范围内所有硬件设备以及这些设备之间的联接线缆并保证所提供的所有设备的质量、性能均满足要求。</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提供设备自现场验收后，质量保证期内的免费修理、维护服务。投标方应积极配合系统集成商处理现场故障。</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提供完整的设备文档（包括硬件和软件的文档）。投标方必须对最终提供的全部技术资料的准确性负责。</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在现场验收前，投标方应负责提供设备稳定运行最新版本的软件，并在现场验收后的质量保证期内免费负责这些软件版本的更新。</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负责承担现场验收相关事宜，编写相关验收大纲。</w:t>
      </w:r>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现场服务及售后服务</w:t>
      </w:r>
    </w:p>
    <w:p>
      <w:pPr>
        <w:pStyle w:val="5"/>
        <w:keepNext w:val="0"/>
        <w:keepLines w:val="0"/>
        <w:widowControl/>
        <w:numPr>
          <w:ilvl w:val="2"/>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现场服务要求</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投标方应派人员到现场负责安装、调试、测试、验收、试运行，并负责解决合同设备制造及性能等方面的有关问题，详细解答合同范围内招标方提出的问题。</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对招标方选购的与本合同设备有关的配套设备，投标方有提供技术配合的义务，并不由此而增加任何费用。</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投标方到招标方现场进行设备安装及维修人员必须为其正式员工。</w:t>
      </w:r>
    </w:p>
    <w:p>
      <w:pPr>
        <w:pStyle w:val="5"/>
        <w:keepNext w:val="0"/>
        <w:keepLines w:val="0"/>
        <w:widowControl/>
        <w:numPr>
          <w:ilvl w:val="2"/>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售后服务要求</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在承诺的质量保证期内，投标方应提供</w:t>
      </w:r>
      <w:r>
        <w:rPr>
          <w:rFonts w:eastAsia="宋体" w:cs="宋体"/>
          <w:b w:val="0"/>
          <w:kern w:val="0"/>
          <w:szCs w:val="24"/>
          <w:highlight w:val="none"/>
        </w:rPr>
        <w:t>7×24</w:t>
      </w:r>
      <w:r>
        <w:rPr>
          <w:rFonts w:ascii="宋体" w:hAnsi="宋体" w:cs="宋体"/>
          <w:b w:val="0"/>
          <w:kern w:val="0"/>
          <w:szCs w:val="24"/>
          <w:highlight w:val="none"/>
        </w:rPr>
        <w:t>小时的技术支持服务，提供固定的技术负责人及联络电话、传真号码、</w:t>
      </w:r>
      <w:r>
        <w:rPr>
          <w:rFonts w:eastAsia="宋体" w:cs="宋体"/>
          <w:b w:val="0"/>
          <w:kern w:val="0"/>
          <w:szCs w:val="24"/>
          <w:highlight w:val="none"/>
        </w:rPr>
        <w:t>e-mail</w:t>
      </w:r>
      <w:r>
        <w:rPr>
          <w:rFonts w:ascii="宋体" w:hAnsi="宋体" w:cs="宋体"/>
          <w:b w:val="0"/>
          <w:kern w:val="0"/>
          <w:szCs w:val="24"/>
          <w:highlight w:val="none"/>
        </w:rPr>
        <w:t>地址等。</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质保期内硬件故障时，投标方必须在用户提出维护要求的</w:t>
      </w:r>
      <w:r>
        <w:rPr>
          <w:rFonts w:eastAsia="宋体" w:cs="宋体"/>
          <w:b w:val="0"/>
          <w:kern w:val="0"/>
          <w:szCs w:val="24"/>
          <w:highlight w:val="none"/>
        </w:rPr>
        <w:t>4</w:t>
      </w:r>
      <w:r>
        <w:rPr>
          <w:rFonts w:ascii="宋体" w:hAnsi="宋体" w:cs="宋体"/>
          <w:b w:val="0"/>
          <w:kern w:val="0"/>
          <w:szCs w:val="24"/>
          <w:highlight w:val="none"/>
        </w:rPr>
        <w:t>小时内作出响应，所提供的替代硬件设备的性能应等于和高于原产品的性能，</w:t>
      </w:r>
      <w:r>
        <w:rPr>
          <w:rFonts w:eastAsia="宋体" w:cs="宋体"/>
          <w:b w:val="0"/>
          <w:kern w:val="0"/>
          <w:szCs w:val="24"/>
          <w:highlight w:val="none"/>
        </w:rPr>
        <w:t>24</w:t>
      </w:r>
      <w:r>
        <w:rPr>
          <w:rFonts w:ascii="宋体" w:hAnsi="宋体" w:cs="宋体"/>
          <w:b w:val="0"/>
          <w:kern w:val="0"/>
          <w:szCs w:val="24"/>
          <w:highlight w:val="none"/>
        </w:rPr>
        <w:t>小时内故障应得以解决。</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在承诺的质量保证期内，投标方应免费提供系统软件升级、培训、设计联络、技术服务，优惠提供有关扩建工程的软件扩容服务。</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在用户发现软件故障时，投标方必须在用户提出维护要求的</w:t>
      </w:r>
      <w:r>
        <w:rPr>
          <w:rFonts w:eastAsia="宋体" w:cs="宋体"/>
          <w:b w:val="0"/>
          <w:kern w:val="0"/>
          <w:szCs w:val="24"/>
          <w:highlight w:val="none"/>
        </w:rPr>
        <w:t>2</w:t>
      </w:r>
      <w:r>
        <w:rPr>
          <w:rFonts w:ascii="宋体" w:hAnsi="宋体" w:cs="宋体"/>
          <w:b w:val="0"/>
          <w:kern w:val="0"/>
          <w:szCs w:val="24"/>
          <w:highlight w:val="none"/>
        </w:rPr>
        <w:t>小时内作出响应，</w:t>
      </w:r>
      <w:r>
        <w:rPr>
          <w:rFonts w:eastAsia="宋体" w:cs="宋体"/>
          <w:b w:val="0"/>
          <w:kern w:val="0"/>
          <w:szCs w:val="24"/>
          <w:highlight w:val="none"/>
        </w:rPr>
        <w:t>12</w:t>
      </w:r>
      <w:r>
        <w:rPr>
          <w:rFonts w:ascii="宋体" w:hAnsi="宋体" w:cs="宋体"/>
          <w:b w:val="0"/>
          <w:kern w:val="0"/>
          <w:szCs w:val="24"/>
          <w:highlight w:val="none"/>
        </w:rPr>
        <w:t>小时内提交故障分析报告和解决方案，</w:t>
      </w:r>
      <w:r>
        <w:rPr>
          <w:rFonts w:eastAsia="宋体" w:cs="宋体"/>
          <w:b w:val="0"/>
          <w:kern w:val="0"/>
          <w:szCs w:val="24"/>
          <w:highlight w:val="none"/>
        </w:rPr>
        <w:t>24</w:t>
      </w:r>
      <w:r>
        <w:rPr>
          <w:rFonts w:ascii="宋体" w:hAnsi="宋体" w:cs="宋体"/>
          <w:b w:val="0"/>
          <w:kern w:val="0"/>
          <w:szCs w:val="24"/>
          <w:highlight w:val="none"/>
        </w:rPr>
        <w:t>小时内故障得以解决。</w:t>
      </w:r>
    </w:p>
    <w:p>
      <w:pPr>
        <w:pStyle w:val="5"/>
        <w:keepNext w:val="0"/>
        <w:keepLines w:val="0"/>
        <w:widowControl/>
        <w:numPr>
          <w:ilvl w:val="3"/>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对于用户提出的软件性能提高、功能增加等改进要求，如属“招标技术文件”或“合同”的范畴，投标方应在</w:t>
      </w:r>
      <w:r>
        <w:rPr>
          <w:rFonts w:eastAsia="宋体" w:cs="宋体"/>
          <w:b w:val="0"/>
          <w:kern w:val="0"/>
          <w:szCs w:val="24"/>
          <w:highlight w:val="none"/>
        </w:rPr>
        <w:t>2</w:t>
      </w:r>
      <w:r>
        <w:rPr>
          <w:rFonts w:ascii="宋体" w:hAnsi="宋体" w:cs="宋体"/>
          <w:b w:val="0"/>
          <w:kern w:val="0"/>
          <w:szCs w:val="24"/>
          <w:highlight w:val="none"/>
        </w:rPr>
        <w:t>周内予以解决；如属“招标技术文件”或“合同”以外的功能开发，也应提供优惠服务。</w:t>
      </w:r>
    </w:p>
    <w:p>
      <w:pPr>
        <w:pStyle w:val="5"/>
        <w:keepNext w:val="0"/>
        <w:keepLines w:val="0"/>
        <w:widowControl/>
        <w:numPr>
          <w:ilvl w:val="3"/>
          <w:numId w:val="2"/>
        </w:numPr>
        <w:spacing w:before="200" w:after="0"/>
        <w:jc w:val="left"/>
        <w:rPr>
          <w:rFonts w:ascii="宋体" w:hAnsi="宋体" w:eastAsia="宋体" w:cs="宋体"/>
          <w:b w:val="0"/>
          <w:color w:val="auto"/>
          <w:kern w:val="0"/>
          <w:szCs w:val="24"/>
          <w:highlight w:val="none"/>
        </w:rPr>
      </w:pPr>
      <w:r>
        <w:rPr>
          <w:rFonts w:ascii="宋体" w:hAnsi="宋体" w:cs="宋体"/>
          <w:b w:val="0"/>
          <w:color w:val="auto"/>
          <w:kern w:val="0"/>
          <w:szCs w:val="24"/>
          <w:highlight w:val="none"/>
        </w:rPr>
        <w:t>投标方（服务商、供应商）</w:t>
      </w:r>
      <w:r>
        <w:rPr>
          <w:rFonts w:cs="宋体"/>
          <w:b w:val="0"/>
          <w:color w:val="auto"/>
          <w:kern w:val="0"/>
          <w:szCs w:val="24"/>
          <w:highlight w:val="none"/>
          <w:lang w:eastAsia="zh-CN"/>
        </w:rPr>
        <w:t>应按招标方要求做好资料收集归档等工作</w:t>
      </w:r>
      <w:r>
        <w:rPr>
          <w:rFonts w:ascii="宋体" w:hAnsi="宋体" w:cs="宋体"/>
          <w:b w:val="0"/>
          <w:color w:val="auto"/>
          <w:kern w:val="0"/>
          <w:szCs w:val="24"/>
          <w:highlight w:val="none"/>
        </w:rPr>
        <w:t>，根据归档范围负责自“项目准备”至“项目验收”阶段的项目文件收集、整理、组卷，并按规定时限向招标方项目负责人移交。</w:t>
      </w:r>
    </w:p>
    <w:p>
      <w:pPr>
        <w:pStyle w:val="4"/>
        <w:keepNext w:val="0"/>
        <w:keepLines w:val="0"/>
        <w:widowControl/>
        <w:numPr>
          <w:ilvl w:val="0"/>
          <w:numId w:val="2"/>
        </w:numPr>
        <w:spacing w:before="480" w:after="0"/>
        <w:contextualSpacing/>
        <w:jc w:val="left"/>
        <w:rPr>
          <w:rFonts w:ascii="宋体" w:hAnsi="宋体" w:eastAsia="宋体" w:cs="宋体"/>
          <w:szCs w:val="24"/>
          <w:highlight w:val="none"/>
        </w:rPr>
      </w:pPr>
      <w:bookmarkStart w:id="86" w:name="_Toc32243"/>
      <w:r>
        <w:rPr>
          <w:rFonts w:ascii="宋体" w:hAnsi="宋体" w:cs="宋体"/>
          <w:szCs w:val="24"/>
          <w:highlight w:val="none"/>
        </w:rPr>
        <w:t>备品备件及主要工器具</w:t>
      </w:r>
      <w:bookmarkEnd w:id="86"/>
    </w:p>
    <w:p>
      <w:pPr>
        <w:pStyle w:val="5"/>
        <w:keepNext w:val="0"/>
        <w:keepLines w:val="0"/>
        <w:widowControl/>
        <w:spacing w:before="200" w:after="0"/>
        <w:ind w:firstLine="480"/>
        <w:jc w:val="left"/>
        <w:rPr>
          <w:rFonts w:ascii="宋体" w:hAnsi="宋体" w:eastAsia="宋体" w:cs="宋体"/>
          <w:b w:val="0"/>
          <w:kern w:val="0"/>
          <w:szCs w:val="24"/>
          <w:highlight w:val="none"/>
        </w:rPr>
      </w:pPr>
      <w:r>
        <w:rPr>
          <w:rFonts w:ascii="宋体" w:hAnsi="宋体" w:cs="宋体"/>
          <w:b w:val="0"/>
          <w:kern w:val="0"/>
          <w:szCs w:val="24"/>
          <w:highlight w:val="none"/>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备品备件</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投标方应保证</w:t>
      </w:r>
      <w:r>
        <w:rPr>
          <w:rFonts w:cs="宋体"/>
          <w:b w:val="0"/>
          <w:kern w:val="0"/>
          <w:szCs w:val="24"/>
          <w:highlight w:val="none"/>
          <w:lang w:eastAsia="zh-CN"/>
        </w:rPr>
        <w:t>设备在保修期内能提供</w:t>
      </w:r>
      <w:r>
        <w:rPr>
          <w:rFonts w:ascii="宋体" w:hAnsi="宋体" w:cs="宋体"/>
          <w:b w:val="0"/>
          <w:kern w:val="0"/>
          <w:szCs w:val="24"/>
          <w:highlight w:val="none"/>
        </w:rPr>
        <w:t>备品备件及与其可兼容的插件替代品。当投标方</w:t>
      </w:r>
      <w:r>
        <w:rPr>
          <w:rFonts w:cs="宋体"/>
          <w:b w:val="0"/>
          <w:kern w:val="0"/>
          <w:szCs w:val="24"/>
          <w:highlight w:val="none"/>
          <w:lang w:eastAsia="zh-CN"/>
        </w:rPr>
        <w:t>无法提供备品备件</w:t>
      </w:r>
      <w:r>
        <w:rPr>
          <w:rFonts w:ascii="宋体" w:hAnsi="宋体" w:cs="宋体"/>
          <w:b w:val="0"/>
          <w:kern w:val="0"/>
          <w:szCs w:val="24"/>
          <w:highlight w:val="none"/>
        </w:rPr>
        <w:t>时，应预先告知招标方。投标方应在该期限内向招标方提供最优惠的价格，满足招标方购买时的要求。</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投标方应对所提供设备联调及运维所必须的备品备件提出建议和报价。</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投标方应提供有关备品备件的保管储藏资料，如存放期限、所需的干燥器等。</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所有备品备件的一些主要部件</w:t>
      </w:r>
      <w:r>
        <w:rPr>
          <w:rFonts w:eastAsia="宋体" w:cs="宋体"/>
          <w:b w:val="0"/>
          <w:kern w:val="0"/>
          <w:szCs w:val="24"/>
          <w:highlight w:val="none"/>
        </w:rPr>
        <w:t>(</w:t>
      </w:r>
      <w:r>
        <w:rPr>
          <w:rFonts w:ascii="宋体" w:hAnsi="宋体" w:cs="宋体"/>
          <w:b w:val="0"/>
          <w:kern w:val="0"/>
          <w:szCs w:val="24"/>
          <w:highlight w:val="none"/>
        </w:rPr>
        <w:t>如印刷电路板</w:t>
      </w:r>
      <w:r>
        <w:rPr>
          <w:rFonts w:eastAsia="宋体" w:cs="宋体"/>
          <w:b w:val="0"/>
          <w:kern w:val="0"/>
          <w:szCs w:val="24"/>
          <w:highlight w:val="none"/>
        </w:rPr>
        <w:t>)</w:t>
      </w:r>
      <w:r>
        <w:rPr>
          <w:rFonts w:ascii="宋体" w:hAnsi="宋体" w:cs="宋体"/>
          <w:b w:val="0"/>
          <w:kern w:val="0"/>
          <w:szCs w:val="24"/>
          <w:highlight w:val="none"/>
        </w:rPr>
        <w:t>在发运前，都应逐一进行测试，以保证在系统中正常运行。</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kern w:val="0"/>
          <w:szCs w:val="24"/>
          <w:highlight w:val="none"/>
        </w:rPr>
        <w:t>备品备件应是新品，与设备同型号、同工艺。</w:t>
      </w:r>
    </w:p>
    <w:p>
      <w:pPr>
        <w:pStyle w:val="5"/>
        <w:keepNext w:val="0"/>
        <w:keepLines w:val="0"/>
        <w:widowControl/>
        <w:numPr>
          <w:ilvl w:val="1"/>
          <w:numId w:val="2"/>
        </w:numPr>
        <w:spacing w:before="200" w:after="0"/>
        <w:jc w:val="left"/>
        <w:rPr>
          <w:rFonts w:ascii="宋体" w:hAnsi="宋体" w:eastAsia="宋体" w:cs="宋体"/>
          <w:kern w:val="0"/>
          <w:szCs w:val="24"/>
          <w:highlight w:val="none"/>
        </w:rPr>
      </w:pPr>
      <w:r>
        <w:rPr>
          <w:rFonts w:ascii="宋体" w:hAnsi="宋体" w:cs="宋体"/>
          <w:kern w:val="0"/>
          <w:szCs w:val="24"/>
          <w:highlight w:val="none"/>
        </w:rPr>
        <w:t>专用工具</w:t>
      </w:r>
    </w:p>
    <w:p>
      <w:pPr>
        <w:pStyle w:val="5"/>
        <w:keepNext w:val="0"/>
        <w:keepLines w:val="0"/>
        <w:widowControl/>
        <w:numPr>
          <w:ilvl w:val="2"/>
          <w:numId w:val="2"/>
        </w:numPr>
        <w:spacing w:before="200" w:after="0"/>
        <w:jc w:val="left"/>
        <w:rPr>
          <w:rFonts w:ascii="宋体" w:hAnsi="宋体" w:eastAsia="宋体" w:cs="宋体"/>
          <w:b w:val="0"/>
          <w:kern w:val="0"/>
          <w:szCs w:val="24"/>
          <w:highlight w:val="none"/>
        </w:rPr>
      </w:pPr>
      <w:r>
        <w:rPr>
          <w:rFonts w:ascii="宋体" w:hAnsi="宋体" w:cs="宋体"/>
          <w:b w:val="0"/>
          <w:bCs w:val="0"/>
          <w:kern w:val="0"/>
          <w:szCs w:val="24"/>
          <w:highlight w:val="none"/>
        </w:rPr>
        <w:t>投标方应推荐用于维修和安装设备的专用工具，此类工具是用户难于从当地市场买到，专用工具至少应包括下列项目</w:t>
      </w:r>
      <w:r>
        <w:rPr>
          <w:rFonts w:ascii="宋体" w:hAnsi="宋体" w:cs="宋体"/>
          <w:b w:val="0"/>
          <w:kern w:val="0"/>
          <w:szCs w:val="24"/>
          <w:highlight w:val="none"/>
        </w:rPr>
        <w:t>。</w:t>
      </w:r>
    </w:p>
    <w:p>
      <w:pPr>
        <w:rPr>
          <w:rFonts w:ascii="宋体" w:hAnsi="宋体" w:eastAsia="宋体" w:cs="宋体"/>
          <w:kern w:val="0"/>
          <w:highlight w:val="none"/>
        </w:rPr>
      </w:pPr>
      <w:r>
        <w:rPr>
          <w:rFonts w:eastAsia="宋体" w:cs="宋体"/>
          <w:kern w:val="0"/>
          <w:highlight w:val="none"/>
        </w:rPr>
        <w:t xml:space="preserve">9.2.2 </w:t>
      </w:r>
      <w:r>
        <w:rPr>
          <w:rFonts w:ascii="宋体" w:hAnsi="宋体" w:cs="宋体"/>
          <w:kern w:val="0"/>
          <w:highlight w:val="none"/>
        </w:rPr>
        <w:t>专用测试设备、仪器；</w:t>
      </w:r>
    </w:p>
    <w:p>
      <w:pPr>
        <w:rPr>
          <w:rFonts w:ascii="宋体" w:hAnsi="宋体" w:eastAsia="宋体" w:cs="宋体"/>
          <w:kern w:val="0"/>
          <w:highlight w:val="none"/>
        </w:rPr>
      </w:pPr>
      <w:r>
        <w:rPr>
          <w:rFonts w:eastAsia="宋体" w:cs="宋体"/>
          <w:kern w:val="0"/>
          <w:highlight w:val="none"/>
        </w:rPr>
        <w:t xml:space="preserve">9.2.3 </w:t>
      </w:r>
      <w:r>
        <w:rPr>
          <w:rFonts w:ascii="宋体" w:hAnsi="宋体" w:cs="宋体"/>
          <w:kern w:val="0"/>
          <w:highlight w:val="none"/>
        </w:rPr>
        <w:t>专用工具、夹具、卡具；</w:t>
      </w:r>
    </w:p>
    <w:p>
      <w:pPr>
        <w:rPr>
          <w:rFonts w:ascii="宋体" w:hAnsi="宋体" w:eastAsia="宋体" w:cs="宋体"/>
          <w:kern w:val="0"/>
          <w:highlight w:val="none"/>
        </w:rPr>
      </w:pPr>
      <w:r>
        <w:rPr>
          <w:rFonts w:eastAsia="宋体" w:cs="宋体"/>
          <w:kern w:val="0"/>
          <w:highlight w:val="none"/>
        </w:rPr>
        <w:t xml:space="preserve">9.2.4 </w:t>
      </w:r>
      <w:r>
        <w:rPr>
          <w:rFonts w:ascii="宋体" w:hAnsi="宋体" w:cs="宋体"/>
          <w:kern w:val="0"/>
          <w:highlight w:val="none"/>
        </w:rPr>
        <w:t>除专用工具外，投标方还应向招标方提供一份推荐的维修测试常用的标准工具清单，格式见表</w:t>
      </w:r>
      <w:r>
        <w:rPr>
          <w:rFonts w:eastAsia="宋体" w:cs="宋体"/>
          <w:kern w:val="0"/>
          <w:highlight w:val="none"/>
        </w:rPr>
        <w:t>3</w:t>
      </w:r>
      <w:r>
        <w:rPr>
          <w:rFonts w:ascii="宋体" w:hAnsi="宋体" w:cs="宋体"/>
          <w:kern w:val="0"/>
          <w:highlight w:val="none"/>
        </w:rPr>
        <w:t>。</w:t>
      </w:r>
    </w:p>
    <w:p>
      <w:pPr>
        <w:ind w:left="366"/>
        <w:jc w:val="center"/>
        <w:rPr>
          <w:rFonts w:ascii="宋体" w:hAnsi="宋体" w:eastAsia="宋体" w:cs="宋体"/>
          <w:highlight w:val="none"/>
        </w:rPr>
      </w:pPr>
      <w:r>
        <w:rPr>
          <w:rFonts w:ascii="宋体" w:hAnsi="宋体" w:cs="宋体"/>
          <w:highlight w:val="none"/>
        </w:rPr>
        <w:t>表</w:t>
      </w:r>
      <w:r>
        <w:rPr>
          <w:rFonts w:eastAsia="宋体" w:cs="宋体"/>
          <w:highlight w:val="none"/>
        </w:rPr>
        <w:t xml:space="preserve">3 </w:t>
      </w:r>
      <w:r>
        <w:rPr>
          <w:rFonts w:ascii="宋体" w:hAnsi="宋体" w:cs="宋体"/>
          <w:highlight w:val="none"/>
        </w:rPr>
        <w:t>常用标准工具清单</w:t>
      </w:r>
    </w:p>
    <w:tbl>
      <w:tblPr>
        <w:tblStyle w:val="17"/>
        <w:tblW w:w="8090" w:type="dxa"/>
        <w:jc w:val="center"/>
        <w:tblLayout w:type="fixed"/>
        <w:tblCellMar>
          <w:top w:w="0" w:type="dxa"/>
          <w:left w:w="108" w:type="dxa"/>
          <w:bottom w:w="0" w:type="dxa"/>
          <w:right w:w="108" w:type="dxa"/>
        </w:tblCellMar>
      </w:tblPr>
      <w:tblGrid>
        <w:gridCol w:w="859"/>
        <w:gridCol w:w="1135"/>
        <w:gridCol w:w="1136"/>
        <w:gridCol w:w="1415"/>
        <w:gridCol w:w="567"/>
        <w:gridCol w:w="851"/>
        <w:gridCol w:w="1157"/>
        <w:gridCol w:w="969"/>
      </w:tblGrid>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序号</w:t>
            </w:r>
          </w:p>
        </w:tc>
        <w:tc>
          <w:tcPr>
            <w:tcW w:w="1135"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设备名称</w:t>
            </w:r>
          </w:p>
        </w:tc>
        <w:tc>
          <w:tcPr>
            <w:tcW w:w="1136"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型号规格</w:t>
            </w:r>
          </w:p>
        </w:tc>
        <w:tc>
          <w:tcPr>
            <w:tcW w:w="1415"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技术说明</w:t>
            </w:r>
          </w:p>
        </w:tc>
        <w:tc>
          <w:tcPr>
            <w:tcW w:w="567"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单位</w:t>
            </w:r>
          </w:p>
        </w:tc>
        <w:tc>
          <w:tcPr>
            <w:tcW w:w="851"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数量</w:t>
            </w:r>
          </w:p>
        </w:tc>
        <w:tc>
          <w:tcPr>
            <w:tcW w:w="1157"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生产厂家</w:t>
            </w:r>
          </w:p>
        </w:tc>
        <w:tc>
          <w:tcPr>
            <w:tcW w:w="969"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distribute"/>
              <w:rPr>
                <w:rFonts w:ascii="宋体" w:hAnsi="宋体" w:eastAsia="宋体" w:cs="宋体"/>
                <w:b/>
                <w:sz w:val="24"/>
                <w:highlight w:val="none"/>
              </w:rPr>
            </w:pPr>
            <w:r>
              <w:rPr>
                <w:rFonts w:ascii="宋体" w:hAnsi="宋体" w:cs="宋体"/>
                <w:b/>
                <w:sz w:val="24"/>
                <w:highlight w:val="none"/>
              </w:rPr>
              <w:t>是否专用工具</w:t>
            </w:r>
          </w:p>
        </w:tc>
      </w:tr>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85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41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56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851"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157"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969"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bl>
    <w:p>
      <w:pPr>
        <w:rPr>
          <w:rFonts w:ascii="宋体" w:hAnsi="宋体" w:eastAsia="宋体" w:cs="宋体"/>
          <w:kern w:val="0"/>
          <w:highlight w:val="none"/>
        </w:rPr>
      </w:pPr>
    </w:p>
    <w:p>
      <w:pPr>
        <w:pStyle w:val="4"/>
        <w:keepNext w:val="0"/>
        <w:keepLines w:val="0"/>
        <w:widowControl/>
        <w:numPr>
          <w:ilvl w:val="0"/>
          <w:numId w:val="2"/>
        </w:numPr>
        <w:spacing w:before="480" w:after="0"/>
        <w:ind w:left="366" w:hanging="425"/>
        <w:contextualSpacing/>
        <w:jc w:val="left"/>
        <w:rPr>
          <w:rFonts w:ascii="宋体" w:hAnsi="宋体" w:eastAsia="宋体" w:cs="宋体"/>
          <w:szCs w:val="24"/>
          <w:highlight w:val="none"/>
        </w:rPr>
      </w:pPr>
      <w:bookmarkStart w:id="87" w:name="_Toc13249"/>
      <w:r>
        <w:rPr>
          <w:rFonts w:ascii="宋体" w:hAnsi="宋体" w:cs="宋体"/>
          <w:szCs w:val="24"/>
          <w:highlight w:val="none"/>
        </w:rPr>
        <w:t>技术性能偏差表</w:t>
      </w:r>
      <w:bookmarkEnd w:id="87"/>
    </w:p>
    <w:p>
      <w:pPr>
        <w:jc w:val="center"/>
        <w:rPr>
          <w:rFonts w:ascii="宋体" w:hAnsi="宋体" w:eastAsia="宋体" w:cs="宋体"/>
          <w:highlight w:val="none"/>
        </w:rPr>
      </w:pPr>
      <w:r>
        <w:rPr>
          <w:rFonts w:ascii="宋体" w:hAnsi="宋体" w:cs="宋体"/>
          <w:highlight w:val="none"/>
        </w:rPr>
        <w:t>表</w:t>
      </w:r>
      <w:r>
        <w:rPr>
          <w:rFonts w:cs="宋体"/>
          <w:highlight w:val="none"/>
          <w:lang w:val="en-US" w:eastAsia="zh-CN"/>
        </w:rPr>
        <w:t>4</w:t>
      </w:r>
      <w:r>
        <w:rPr>
          <w:rFonts w:eastAsia="宋体" w:cs="宋体"/>
          <w:highlight w:val="none"/>
        </w:rPr>
        <w:t xml:space="preserve"> </w:t>
      </w:r>
      <w:r>
        <w:rPr>
          <w:rFonts w:ascii="宋体" w:hAnsi="宋体" w:cs="宋体"/>
          <w:highlight w:val="none"/>
        </w:rPr>
        <w:t>技术性能偏差表</w:t>
      </w:r>
    </w:p>
    <w:tbl>
      <w:tblPr>
        <w:tblStyle w:val="17"/>
        <w:tblW w:w="8729" w:type="dxa"/>
        <w:jc w:val="center"/>
        <w:tblLayout w:type="fixed"/>
        <w:tblCellMar>
          <w:top w:w="0" w:type="dxa"/>
          <w:left w:w="108" w:type="dxa"/>
          <w:bottom w:w="0" w:type="dxa"/>
          <w:right w:w="108" w:type="dxa"/>
        </w:tblCellMar>
      </w:tblPr>
      <w:tblGrid>
        <w:gridCol w:w="575"/>
        <w:gridCol w:w="1018"/>
        <w:gridCol w:w="2836"/>
        <w:gridCol w:w="1606"/>
        <w:gridCol w:w="2694"/>
      </w:tblGrid>
      <w:tr>
        <w:tblPrEx>
          <w:tblCellMar>
            <w:top w:w="0" w:type="dxa"/>
            <w:left w:w="108" w:type="dxa"/>
            <w:bottom w:w="0" w:type="dxa"/>
            <w:right w:w="108" w:type="dxa"/>
          </w:tblCellMar>
        </w:tblPrEx>
        <w:trPr>
          <w:cantSplit/>
          <w:jc w:val="center"/>
        </w:trPr>
        <w:tc>
          <w:tcPr>
            <w:tcW w:w="575" w:type="dxa"/>
            <w:vMerge w:val="restart"/>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ascii="宋体" w:hAnsi="宋体" w:eastAsia="宋体" w:cs="宋体"/>
                <w:highlight w:val="none"/>
              </w:rPr>
            </w:pPr>
            <w:r>
              <w:rPr>
                <w:rFonts w:ascii="宋体" w:hAnsi="宋体" w:cs="宋体"/>
                <w:highlight w:val="none"/>
              </w:rPr>
              <w:t>序号</w:t>
            </w:r>
          </w:p>
        </w:tc>
        <w:tc>
          <w:tcPr>
            <w:tcW w:w="3854" w:type="dxa"/>
            <w:gridSpan w:val="2"/>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ascii="宋体" w:hAnsi="宋体" w:eastAsia="宋体" w:cs="宋体"/>
                <w:highlight w:val="none"/>
              </w:rPr>
            </w:pPr>
            <w:r>
              <w:rPr>
                <w:rFonts w:ascii="宋体" w:hAnsi="宋体" w:cs="宋体"/>
                <w:highlight w:val="none"/>
              </w:rPr>
              <w:t>投标文件</w:t>
            </w:r>
          </w:p>
        </w:tc>
        <w:tc>
          <w:tcPr>
            <w:tcW w:w="4300" w:type="dxa"/>
            <w:gridSpan w:val="2"/>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ascii="宋体" w:hAnsi="宋体" w:eastAsia="宋体" w:cs="宋体"/>
                <w:highlight w:val="none"/>
              </w:rPr>
            </w:pPr>
            <w:r>
              <w:rPr>
                <w:rFonts w:ascii="宋体" w:hAnsi="宋体" w:cs="宋体"/>
                <w:highlight w:val="none"/>
              </w:rPr>
              <w:t>投标文件</w:t>
            </w:r>
          </w:p>
        </w:tc>
      </w:tr>
      <w:tr>
        <w:tblPrEx>
          <w:tblCellMar>
            <w:top w:w="0" w:type="dxa"/>
            <w:left w:w="108" w:type="dxa"/>
            <w:bottom w:w="0" w:type="dxa"/>
            <w:right w:w="108" w:type="dxa"/>
          </w:tblCellMar>
        </w:tblPrEx>
        <w:trPr>
          <w:cantSplit/>
          <w:jc w:val="center"/>
        </w:trPr>
        <w:tc>
          <w:tcPr>
            <w:tcW w:w="575" w:type="dxa"/>
            <w:vMerge w:val="continue"/>
            <w:tcBorders>
              <w:top w:val="single" w:color="000000" w:sz="4" w:space="0"/>
              <w:left w:val="single" w:color="000000" w:sz="4" w:space="0"/>
              <w:bottom w:val="single" w:color="000000" w:sz="4" w:space="0"/>
              <w:right w:val="single" w:color="000000" w:sz="4" w:space="0"/>
            </w:tcBorders>
            <w:vAlign w:val="center"/>
          </w:tcPr>
          <w:p>
            <w:pPr>
              <w:suppressAutoHyphens/>
              <w:spacing w:before="0" w:after="0"/>
              <w:rPr>
                <w:rFonts w:cs="宋体"/>
                <w:highlight w:val="none"/>
              </w:rPr>
            </w:pPr>
          </w:p>
        </w:tc>
        <w:tc>
          <w:tcPr>
            <w:tcW w:w="1018"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cs="宋体"/>
                <w:highlight w:val="none"/>
              </w:rPr>
            </w:pPr>
            <w:r>
              <w:rPr>
                <w:rFonts w:cs="宋体"/>
                <w:highlight w:val="none"/>
              </w:rPr>
              <w:t>条目</w:t>
            </w:r>
          </w:p>
        </w:tc>
        <w:tc>
          <w:tcPr>
            <w:tcW w:w="2836"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cs="宋体"/>
                <w:highlight w:val="none"/>
              </w:rPr>
            </w:pPr>
            <w:r>
              <w:rPr>
                <w:rFonts w:cs="宋体"/>
                <w:highlight w:val="none"/>
              </w:rPr>
              <w:t>简要内容</w:t>
            </w:r>
          </w:p>
        </w:tc>
        <w:tc>
          <w:tcPr>
            <w:tcW w:w="1606"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cs="宋体"/>
                <w:highlight w:val="none"/>
              </w:rPr>
            </w:pPr>
            <w:r>
              <w:rPr>
                <w:rFonts w:cs="宋体"/>
                <w:highlight w:val="none"/>
              </w:rPr>
              <w:t>条目</w:t>
            </w:r>
          </w:p>
        </w:tc>
        <w:tc>
          <w:tcPr>
            <w:tcW w:w="2694" w:type="dxa"/>
            <w:tcBorders>
              <w:top w:val="single" w:color="000000" w:sz="4" w:space="0"/>
              <w:left w:val="single" w:color="000000" w:sz="4" w:space="0"/>
              <w:bottom w:val="single" w:color="000000" w:sz="4" w:space="0"/>
              <w:right w:val="single" w:color="000000" w:sz="4" w:space="0"/>
            </w:tcBorders>
            <w:vAlign w:val="center"/>
          </w:tcPr>
          <w:p>
            <w:pPr>
              <w:suppressAutoHyphens/>
              <w:spacing w:before="0" w:after="0"/>
              <w:jc w:val="center"/>
              <w:rPr>
                <w:rFonts w:cs="宋体"/>
                <w:highlight w:val="none"/>
              </w:rPr>
            </w:pPr>
            <w:r>
              <w:rPr>
                <w:rFonts w:cs="宋体"/>
                <w:highlight w:val="none"/>
              </w:rPr>
              <w:t>简要内容</w:t>
            </w: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blPrEx>
          <w:tblCellMar>
            <w:top w:w="0" w:type="dxa"/>
            <w:left w:w="108" w:type="dxa"/>
            <w:bottom w:w="0" w:type="dxa"/>
            <w:right w:w="108" w:type="dxa"/>
          </w:tblCellMar>
        </w:tblPrEx>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r>
        <w:trPr>
          <w:jc w:val="center"/>
        </w:trPr>
        <w:tc>
          <w:tcPr>
            <w:tcW w:w="575"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018"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83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1606"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c>
          <w:tcPr>
            <w:tcW w:w="2694"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tc>
      </w:tr>
    </w:tbl>
    <w:p>
      <w:pPr>
        <w:pStyle w:val="4"/>
        <w:keepNext w:val="0"/>
        <w:keepLines w:val="0"/>
        <w:widowControl/>
        <w:numPr>
          <w:ilvl w:val="0"/>
          <w:numId w:val="2"/>
        </w:numPr>
        <w:spacing w:before="480" w:after="0"/>
        <w:ind w:left="366" w:hanging="425"/>
        <w:contextualSpacing/>
        <w:jc w:val="left"/>
        <w:rPr>
          <w:rFonts w:ascii="宋体" w:hAnsi="宋体" w:eastAsia="宋体" w:cs="宋体"/>
          <w:szCs w:val="24"/>
          <w:highlight w:val="none"/>
        </w:rPr>
      </w:pPr>
      <w:bookmarkStart w:id="88" w:name="_Toc8825"/>
      <w:r>
        <w:rPr>
          <w:rFonts w:ascii="宋体" w:hAnsi="宋体" w:cs="宋体"/>
          <w:szCs w:val="24"/>
          <w:highlight w:val="none"/>
        </w:rPr>
        <w:t>投标方需要说明的其它问题</w:t>
      </w:r>
      <w:bookmarkEnd w:id="88"/>
    </w:p>
    <w:tbl>
      <w:tblPr>
        <w:tblStyle w:val="17"/>
        <w:tblW w:w="8700" w:type="dxa"/>
        <w:tblInd w:w="-75" w:type="dxa"/>
        <w:tblLayout w:type="fixed"/>
        <w:tblCellMar>
          <w:top w:w="0" w:type="dxa"/>
          <w:left w:w="108" w:type="dxa"/>
          <w:bottom w:w="0" w:type="dxa"/>
          <w:right w:w="108" w:type="dxa"/>
        </w:tblCellMar>
      </w:tblPr>
      <w:tblGrid>
        <w:gridCol w:w="8700"/>
      </w:tblGrid>
      <w:tr>
        <w:tblPrEx>
          <w:tblCellMar>
            <w:top w:w="0" w:type="dxa"/>
            <w:left w:w="108" w:type="dxa"/>
            <w:bottom w:w="0" w:type="dxa"/>
            <w:right w:w="108" w:type="dxa"/>
          </w:tblCellMar>
        </w:tblPrEx>
        <w:trPr>
          <w:trHeight w:val="1712" w:hRule="atLeast"/>
        </w:trPr>
        <w:tc>
          <w:tcPr>
            <w:tcW w:w="8700" w:type="dxa"/>
            <w:tcBorders>
              <w:top w:val="single" w:color="000000" w:sz="4" w:space="0"/>
              <w:left w:val="single" w:color="000000" w:sz="4" w:space="0"/>
              <w:bottom w:val="single" w:color="000000" w:sz="4" w:space="0"/>
              <w:right w:val="single" w:color="000000" w:sz="4" w:space="0"/>
            </w:tcBorders>
          </w:tcPr>
          <w:p>
            <w:pPr>
              <w:suppressAutoHyphens/>
              <w:spacing w:before="0" w:after="0"/>
              <w:rPr>
                <w:rFonts w:ascii="宋体" w:hAnsi="宋体" w:eastAsia="宋体" w:cs="宋体"/>
                <w:highlight w:val="none"/>
              </w:rPr>
            </w:pPr>
          </w:p>
          <w:p>
            <w:pPr>
              <w:suppressAutoHyphens/>
              <w:spacing w:before="0" w:after="0"/>
              <w:rPr>
                <w:rFonts w:ascii="宋体" w:hAnsi="宋体" w:eastAsia="宋体" w:cs="宋体"/>
                <w:highlight w:val="none"/>
              </w:rPr>
            </w:pPr>
          </w:p>
          <w:p>
            <w:pPr>
              <w:suppressAutoHyphens/>
              <w:spacing w:before="0" w:after="0"/>
              <w:rPr>
                <w:rFonts w:ascii="宋体" w:hAnsi="宋体" w:eastAsia="宋体" w:cs="宋体"/>
                <w:highlight w:val="none"/>
              </w:rPr>
            </w:pPr>
          </w:p>
          <w:p>
            <w:pPr>
              <w:suppressAutoHyphens/>
              <w:spacing w:before="0" w:after="0"/>
              <w:rPr>
                <w:rFonts w:ascii="宋体" w:hAnsi="宋体" w:eastAsia="宋体" w:cs="宋体"/>
                <w:highlight w:val="none"/>
              </w:rPr>
            </w:pPr>
          </w:p>
          <w:p>
            <w:pPr>
              <w:suppressAutoHyphens/>
              <w:spacing w:before="0" w:after="0"/>
              <w:rPr>
                <w:rFonts w:ascii="宋体" w:hAnsi="宋体" w:eastAsia="宋体" w:cs="宋体"/>
                <w:highlight w:val="none"/>
              </w:rPr>
            </w:pPr>
          </w:p>
        </w:tc>
      </w:tr>
    </w:tbl>
    <w:p>
      <w:pPr>
        <w:rPr>
          <w:rFonts w:cs="宋体"/>
          <w:highlight w:val="none"/>
        </w:rPr>
      </w:pPr>
    </w:p>
    <w:p>
      <w:pPr>
        <w:rPr>
          <w:highlight w:val="none"/>
        </w:rPr>
      </w:pPr>
    </w:p>
    <w:sectPr>
      <w:headerReference r:id="rId10" w:type="first"/>
      <w:footerReference r:id="rId13" w:type="first"/>
      <w:headerReference r:id="rId8" w:type="default"/>
      <w:footerReference r:id="rId11" w:type="default"/>
      <w:headerReference r:id="rId9" w:type="even"/>
      <w:footerReference r:id="rId12" w:type="even"/>
      <w:pgSz w:w="11906" w:h="16838"/>
      <w:pgMar w:top="1440" w:right="1797" w:bottom="1440" w:left="1797" w:header="851" w:footer="992" w:gutter="0"/>
      <w:pgNumType w:fmt="decimal" w:start="1"/>
      <w:cols w:space="720"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0000000000000000000"/>
    <w:charset w:val="00"/>
    <w:family w:val="auto"/>
    <w:pitch w:val="default"/>
    <w:sig w:usb0="00000000" w:usb1="00000000" w:usb2="00000000" w:usb3="00000000" w:csb0="00000000" w:csb1="00000000"/>
  </w:font>
  <w:font w:name="Liberation Sans">
    <w:panose1 w:val="020B0604020202020204"/>
    <w:charset w:val="86"/>
    <w:family w:val="swiss"/>
    <w:pitch w:val="default"/>
    <w:sig w:usb0="E0000AFF" w:usb1="500078FF" w:usb2="00000021" w:usb3="00000000" w:csb0="600001BF" w:csb1="DFF70000"/>
  </w:font>
  <w:font w:name="思源黑体 CN">
    <w:altName w:val="宋体"/>
    <w:panose1 w:val="00000000000000000000"/>
    <w:charset w:val="00"/>
    <w:family w:val="auto"/>
    <w:pitch w:val="default"/>
    <w:sig w:usb0="00000000" w:usb1="00000000" w:usb2="00000000" w:usb3="00000000" w:csb0="00000000" w:csb1="00000000"/>
  </w:font>
  <w:font w:name="宋体;SimSun">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框架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rgbClr val="FFFFFF"/>
                      </a:lnRef>
                      <a:fillRef idx="0">
                        <a:srgbClr val="FFFFFF"/>
                      </a:fillRef>
                      <a:effectRef idx="0">
                        <a:srgbClr val="FFFFFF"/>
                      </a:effectRef>
                      <a:fontRef idx="minor"/>
                    </wps:style>
                    <wps:txbx>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0</w:t>
                          </w:r>
                          <w:r>
                            <w:rPr>
                              <w:color w:val="000000"/>
                            </w:rPr>
                            <w:fldChar w:fldCharType="end"/>
                          </w:r>
                        </w:p>
                      </w:txbxContent>
                    </wps:txbx>
                    <wps:bodyPr lIns="0" tIns="0" rIns="0" bIns="0" anchor="t">
                      <a:spAutoFit/>
                    </wps:bodyPr>
                  </wps:wsp>
                </a:graphicData>
              </a:graphic>
            </wp:anchor>
          </w:drawing>
        </mc:Choice>
        <mc:Fallback>
          <w:pict>
            <v:rect id="框架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L0Vo5twEAAIADAAAOAAAAZHJzL2Uyb0RvYy54bWytU1tu2zAQ/C/QOxD8&#10;r2UbQVoIloMCRoIAQRsg7QFoirQI8IVd2pIv0GMU6CV6pJyjS0p2Xj/56I80XFKzM7PU6mpwlh0U&#10;oAm+4YvZnDPlZWiN3zX854/rT184wyR8K2zwquFHhfxq/fHDqo+1WoYu2FYBIxKPdR8b3qUU66pC&#10;2SkncBai8rSpAziRaAm7qgXRE7uz1XI+v6z6AG2EIBUiVTfjJp8Y4T2EQWsj1SbIvVM+jaygrEhk&#10;CTsTka+LWq2VTN+1RpWYbTg5TeVJTQhv87Nar0S9AxE7IycJ4j0SXnlywnhqeqbaiCTYHswbKmck&#10;BAw6zWRw1WikJEIuFvNX2Tx0IqrihaLGeA4d/x+t/Ha4B2bahi8588LRwB///Hr8/XeRo+kj1nTi&#10;Id7DtEKC2eegweU3OWBDifN4jlMNiUkqLi4+X1LOknZGSBzV06cRMN2o4FgGDQeaVYlQHO4wjUdP&#10;R3InH66NtVQXtfWsz91elInZemqQNY8qM0rDdpikb0N7JK/21lN++S6cAJzA9gSEl12gWzIKwvh1&#10;n6h7EZVJR6apFw2m2JouUZ7883U59fTjrP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8gFRQc4A&#10;AAABAQAADwAAAAAAAAABACAAAAAiAAAAZHJzL2Rvd25yZXYueG1sUEsBAhQAFAAAAAgAh07iQIvR&#10;Wjm3AQAAgAMAAA4AAAAAAAAAAQAgAAAAHQEAAGRycy9lMm9Eb2MueG1sUEsFBgAAAAAGAAYAWQEA&#10;AEYFAAAAAA==&#10;">
              <v:fill on="f" focussize="0,0"/>
              <v:stroke on="f" weight="0pt"/>
              <v:imagedata o:title=""/>
              <o:lock v:ext="edit" aspectratio="f"/>
              <v:textbox inset="0mm,0mm,0mm,0mm" style="mso-fit-shape-to-text:t;">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0</w:t>
                    </w:r>
                    <w:r>
                      <w:rPr>
                        <w:color w:val="000000"/>
                      </w:rPr>
                      <w:fldChar w:fldCharType="end"/>
                    </w:r>
                  </w:p>
                </w:txbxContent>
              </v:textbox>
              <w10:wrap type="square"/>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53035" cy="172720"/>
              <wp:effectExtent l="0" t="0" r="0" b="0"/>
              <wp:wrapSquare wrapText="bothSides"/>
              <wp:docPr id="5" name="框架2"/>
              <wp:cNvGraphicFramePr/>
              <a:graphic xmlns:a="http://schemas.openxmlformats.org/drawingml/2006/main">
                <a:graphicData uri="http://schemas.microsoft.com/office/word/2010/wordprocessingShape">
                  <wps:wsp>
                    <wps:cNvSpPr/>
                    <wps:spPr>
                      <a:xfrm>
                        <a:off x="0" y="0"/>
                        <a:ext cx="153000" cy="172800"/>
                      </a:xfrm>
                      <a:prstGeom prst="rect">
                        <a:avLst/>
                      </a:prstGeom>
                      <a:noFill/>
                      <a:ln w="0">
                        <a:noFill/>
                      </a:ln>
                    </wps:spPr>
                    <wps:style>
                      <a:lnRef idx="0">
                        <a:srgbClr val="FFFFFF"/>
                      </a:lnRef>
                      <a:fillRef idx="0">
                        <a:srgbClr val="FFFFFF"/>
                      </a:fillRef>
                      <a:effectRef idx="0">
                        <a:srgbClr val="FFFFFF"/>
                      </a:effectRef>
                      <a:fontRef idx="minor"/>
                    </wps:style>
                    <wps:txbx>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wps:txbx>
                    <wps:bodyPr lIns="0" tIns="0" rIns="0" bIns="0" anchor="t">
                      <a:spAutoFit/>
                    </wps:bodyPr>
                  </wps:wsp>
                </a:graphicData>
              </a:graphic>
            </wp:anchor>
          </w:drawing>
        </mc:Choice>
        <mc:Fallback>
          <w:pict>
            <v:rect id="框架2" o:spid="_x0000_s1026" o:spt="1" style="position:absolute;left:0pt;margin-top:0.05pt;height:13.6pt;width:12.0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soKcTc4AAAAD&#10;AQAADwAAAGRycy9kb3ducmV2LnhtbE2PMU/DMBCFdyT+g3VIbNROQRjSOB0Q3aF0YLzGR+wS21Hs&#10;tuHfc51gerp7p3ffa9ZzGMSJpuxTNFAtFAiKXbI+9gZ2H5u7JxC5YLQ4pEgGfijDur2+arC26Rzf&#10;6bQtveCQmGs04EoZaylz5yhgXqSRIntfaQpYeJx6aSc8c3gY5FKpRxnQR/7gcKQXR9339hgMSO8P&#10;+jNU6hU385t71torr425vanUCkShufwdwwWf0aFlpn06RpvFYICLlMtWsLd8YN2z6nuQbSP/s7e/&#10;UEsDBBQAAAAIAIdO4kAA5d/LvAEAAIIDAAAOAAAAZHJzL2Uyb0RvYy54bWytU1GO0zAQ/UfiDpb/&#10;adKihVXUdIVULUJCsNKyB3Adu7FkeyyP26QX4BhIXIIj7TkYO2kXlp/94Cd5Hjtv3nvjrG9GZ9lR&#10;RTTgW75c1JwpL6Ezft/yh2+3b645wyR8Jyx41fKTQn6zef1qPYRGraAH26nIiMRjM4SW9ymFpqpQ&#10;9soJXEBQnjY1RCcSLeO+6qIYiN3ZalXX76oBYhciSIVI1e20yWfG+BJC0NpItQV5cMqniTUqKxJZ&#10;wt4E5JuiVmsl01etUSVmW05OU3lSE8K7/Kw2a9Hsowi9kbME8RIJzzw5YTw1vVBtRRLsEM0/VM7I&#10;CAg6LSS4ajJSEiEXy/pZNve9CKp4oagxXELH/0crvxzvIjNdy68488LRwB9/fn/88WuVoxkCNnTi&#10;PtzFeYUEs89RR5ff5ICNJc7TJU41JiapuLx6W9cUtKSt5fvVNWFiqZ4+DhHTRwWOZdDySNMqIYrj&#10;Z0zT0fOR3MvDrbGW6qKxng25319lYraeGmTVk86M0rgbZ/E76E7k1n7ylGC+DWcQz2B3BsLLHuie&#10;TIIwfDgk6l5EZdKJae5Foym25muUZ//nupx6+nU2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y&#10;gpxNzgAAAAMBAAAPAAAAAAAAAAEAIAAAACIAAABkcnMvZG93bnJldi54bWxQSwECFAAUAAAACACH&#10;TuJAAOXfy7wBAACCAwAADgAAAAAAAAABACAAAAAdAQAAZHJzL2Uyb0RvYy54bWxQSwUGAAAAAAYA&#10;BgBZAQAASwUAAAAA&#10;">
              <v:fill on="f" focussize="0,0"/>
              <v:stroke on="f" weight="0pt"/>
              <v:imagedata o:title=""/>
              <o:lock v:ext="edit" aspectratio="f"/>
              <v:textbox inset="0mm,0mm,0mm,0mm" style="mso-fit-shape-to-text:t;">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v:textbox>
              <w10:wrap type="square"/>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53035" cy="172720"/>
              <wp:effectExtent l="0" t="0" r="0" b="0"/>
              <wp:wrapSquare wrapText="bothSides"/>
              <wp:docPr id="6" name="框架2"/>
              <wp:cNvGraphicFramePr/>
              <a:graphic xmlns:a="http://schemas.openxmlformats.org/drawingml/2006/main">
                <a:graphicData uri="http://schemas.microsoft.com/office/word/2010/wordprocessingShape">
                  <wps:wsp>
                    <wps:cNvSpPr/>
                    <wps:spPr>
                      <a:xfrm>
                        <a:off x="0" y="0"/>
                        <a:ext cx="153000" cy="172800"/>
                      </a:xfrm>
                      <a:prstGeom prst="rect">
                        <a:avLst/>
                      </a:prstGeom>
                      <a:noFill/>
                      <a:ln w="0">
                        <a:noFill/>
                      </a:ln>
                    </wps:spPr>
                    <wps:style>
                      <a:lnRef idx="0">
                        <a:srgbClr val="FFFFFF"/>
                      </a:lnRef>
                      <a:fillRef idx="0">
                        <a:srgbClr val="FFFFFF"/>
                      </a:fillRef>
                      <a:effectRef idx="0">
                        <a:srgbClr val="FFFFFF"/>
                      </a:effectRef>
                      <a:fontRef idx="minor"/>
                    </wps:style>
                    <wps:txbx>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wps:txbx>
                    <wps:bodyPr lIns="0" tIns="0" rIns="0" bIns="0" anchor="t">
                      <a:spAutoFit/>
                    </wps:bodyPr>
                  </wps:wsp>
                </a:graphicData>
              </a:graphic>
            </wp:anchor>
          </w:drawing>
        </mc:Choice>
        <mc:Fallback>
          <w:pict>
            <v:rect id="框架2" o:spid="_x0000_s1026" o:spt="1" style="position:absolute;left:0pt;margin-top:0.05pt;height:13.6pt;width:12.0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soKcTc4AAAAD&#10;AQAADwAAAGRycy9kb3ducmV2LnhtbE2PMU/DMBCFdyT+g3VIbNROQRjSOB0Q3aF0YLzGR+wS21Hs&#10;tuHfc51gerp7p3ffa9ZzGMSJpuxTNFAtFAiKXbI+9gZ2H5u7JxC5YLQ4pEgGfijDur2+arC26Rzf&#10;6bQtveCQmGs04EoZaylz5yhgXqSRIntfaQpYeJx6aSc8c3gY5FKpRxnQR/7gcKQXR9339hgMSO8P&#10;+jNU6hU385t71torr425vanUCkShufwdwwWf0aFlpn06RpvFYICLlMtWsLd8YN2z6nuQbSP/s7e/&#10;UEsDBBQAAAAIAIdO4kBQOHaavAEAAIIDAAAOAAAAZHJzL2Uyb0RvYy54bWytU1GO0zAQ/UfiDpb/&#10;adIillXUdIVULUJCsNKyB3Adu7FkeyyP26QX4BhIXIIj7TkYO2kXlp/94Cd5Hjtv3nvjrG9GZ9lR&#10;RTTgW75c1JwpL6Ezft/yh2+3b645wyR8Jyx41fKTQn6zef1qPYRGraAH26nIiMRjM4SW9ymFpqpQ&#10;9soJXEBQnjY1RCcSLeO+6qIYiN3ZalXXV9UAsQsRpEKk6nba5DNjfAkhaG2k2oI8OOXTxBqVFYks&#10;YW8C8k1Rq7WS6avWqBKzLSenqTypCeFdflabtWj2UYTeyFmCeImEZ56cMJ6aXqi2Igl2iOYfKmdk&#10;BASdFhJcNRkpiZCLZf0sm/teBFW8UNQYLqHj/6OVX453kZmu5VeceeFo4I8/vz/++LXK0QwBGzpx&#10;H+7ivEKC2eeoo8tvcsDGEufpEqcaE5NUXL57W9cUtKSt5fvVNWFiqZ4+DhHTRwWOZdDySNMqIYrj&#10;Z0zT0fOR3MvDrbGW6qKxng25319lYraeGmTVk86M0rgbZ/E76E7k1n7ylGC+DWcQz2B3BsLLHuie&#10;TIIwfDgk6l5EZdKJae5Foym25muUZ//nupx6+nU2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y&#10;gpxNzgAAAAMBAAAPAAAAAAAAAAEAIAAAACIAAABkcnMvZG93bnJldi54bWxQSwECFAAUAAAACACH&#10;TuJAUDh2mrwBAACCAwAADgAAAAAAAAABACAAAAAdAQAAZHJzL2Uyb0RvYy54bWxQSwUGAAAAAAYA&#10;BgBZAQAASwUAAAAA&#10;">
              <v:fill on="f" focussize="0,0"/>
              <v:stroke on="f" weight="0pt"/>
              <v:imagedata o:title=""/>
              <o:lock v:ext="edit" aspectratio="f"/>
              <v:textbox inset="0mm,0mm,0mm,0mm" style="mso-fit-shape-to-text:t;">
                <w:txbxContent>
                  <w:p>
                    <w:pP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left"/>
    </w:pPr>
    <w:r>
      <w:drawing>
        <wp:inline distT="0" distB="0" distL="0" distR="0">
          <wp:extent cx="1562100" cy="266700"/>
          <wp:effectExtent l="0" t="0" r="0" b="0"/>
          <wp:docPr id="3"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tttt"/>
                  <pic:cNvPicPr>
                    <a:picLocks noChangeAspect="1" noChangeArrowheads="1"/>
                  </pic:cNvPicPr>
                </pic:nvPicPr>
                <pic:blipFill>
                  <a:blip r:embed="rId1"/>
                  <a:stretch>
                    <a:fillRect/>
                  </a:stretch>
                </pic:blipFill>
                <pic:spPr>
                  <a:xfrm>
                    <a:off x="0" y="0"/>
                    <a:ext cx="1562100" cy="26670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left"/>
    </w:pPr>
    <w:r>
      <w:drawing>
        <wp:inline distT="0" distB="0" distL="0" distR="0">
          <wp:extent cx="1562100" cy="266700"/>
          <wp:effectExtent l="0" t="0" r="0" b="0"/>
          <wp:docPr id="4"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tttt"/>
                  <pic:cNvPicPr>
                    <a:picLocks noChangeAspect="1" noChangeArrowheads="1"/>
                  </pic:cNvPicPr>
                </pic:nvPicPr>
                <pic:blipFill>
                  <a:blip r:embed="rId1"/>
                  <a:stretch>
                    <a:fillRect/>
                  </a:stretch>
                </pic:blipFill>
                <pic:spPr>
                  <a:xfrm>
                    <a:off x="0" y="0"/>
                    <a:ext cx="1562100" cy="2667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0"/>
        </w:tabs>
        <w:ind w:left="0" w:firstLine="0"/>
      </w:pPr>
      <w:rPr>
        <w:rFonts w:ascii="宋体" w:hAnsi="宋体" w:eastAsia="宋体"/>
        <w:b w:val="0"/>
        <w:i w:val="0"/>
        <w:color w:val="auto"/>
        <w:sz w:val="24"/>
      </w:rPr>
    </w:lvl>
    <w:lvl w:ilvl="1" w:tentative="0">
      <w:start w:val="1"/>
      <w:numFmt w:val="decimal"/>
      <w:lvlText w:val="%1.%2"/>
      <w:lvlJc w:val="left"/>
      <w:pPr>
        <w:tabs>
          <w:tab w:val="left" w:pos="0"/>
        </w:tabs>
        <w:ind w:left="0" w:firstLine="0"/>
      </w:pPr>
      <w:rPr>
        <w:b w:val="0"/>
        <w:color w:val="auto"/>
      </w:rPr>
    </w:lvl>
    <w:lvl w:ilvl="2" w:tentative="0">
      <w:start w:val="1"/>
      <w:numFmt w:val="decimal"/>
      <w:lvlText w:val="%1.%2.%3"/>
      <w:lvlJc w:val="left"/>
      <w:pPr>
        <w:tabs>
          <w:tab w:val="left" w:pos="0"/>
        </w:tabs>
        <w:ind w:left="0" w:firstLine="0"/>
      </w:pPr>
      <w:rPr>
        <w:b w:val="0"/>
      </w:rPr>
    </w:lvl>
    <w:lvl w:ilvl="3" w:tentative="0">
      <w:start w:val="1"/>
      <w:numFmt w:val="decimal"/>
      <w:lvlText w:val="%1.%2.%3.%4"/>
      <w:lvlJc w:val="left"/>
      <w:pPr>
        <w:tabs>
          <w:tab w:val="left" w:pos="0"/>
        </w:tabs>
        <w:ind w:left="0" w:firstLine="0"/>
      </w:pPr>
    </w:lvl>
    <w:lvl w:ilvl="4" w:tentative="0">
      <w:start w:val="1"/>
      <w:numFmt w:val="decimal"/>
      <w:lvlText w:val="%1.%2.%3.%4.%5"/>
      <w:lvlJc w:val="left"/>
      <w:pPr>
        <w:tabs>
          <w:tab w:val="left" w:pos="0"/>
        </w:tabs>
        <w:ind w:left="0" w:firstLine="0"/>
      </w:pPr>
    </w:lvl>
    <w:lvl w:ilvl="5" w:tentative="0">
      <w:start w:val="1"/>
      <w:numFmt w:val="decimal"/>
      <w:lvlText w:val="%1.%2.%3.%4.%5.%6"/>
      <w:lvlJc w:val="left"/>
      <w:pPr>
        <w:tabs>
          <w:tab w:val="left" w:pos="0"/>
        </w:tabs>
        <w:ind w:left="0" w:firstLine="0"/>
      </w:pPr>
    </w:lvl>
    <w:lvl w:ilvl="6" w:tentative="0">
      <w:start w:val="1"/>
      <w:numFmt w:val="decimal"/>
      <w:lvlText w:val="%1.%2.%3.%4.%5.%6.%7"/>
      <w:lvlJc w:val="left"/>
      <w:pPr>
        <w:tabs>
          <w:tab w:val="left" w:pos="0"/>
        </w:tabs>
        <w:ind w:left="0" w:firstLine="0"/>
      </w:pPr>
    </w:lvl>
    <w:lvl w:ilvl="7" w:tentative="0">
      <w:start w:val="1"/>
      <w:numFmt w:val="decimal"/>
      <w:lvlText w:val="%7%1.%2.%3.%4.%5.%6..%8"/>
      <w:lvlJc w:val="left"/>
      <w:pPr>
        <w:tabs>
          <w:tab w:val="left" w:pos="0"/>
        </w:tabs>
        <w:ind w:left="0" w:firstLine="0"/>
      </w:pPr>
    </w:lvl>
    <w:lvl w:ilvl="8" w:tentative="0">
      <w:start w:val="1"/>
      <w:numFmt w:val="decimal"/>
      <w:lvlText w:val="%8%1.%2.%3.%4.%5.%6.%7..%9"/>
      <w:lvlJc w:val="left"/>
      <w:pPr>
        <w:tabs>
          <w:tab w:val="left" w:pos="0"/>
        </w:tabs>
        <w:ind w:left="0" w:firstLine="0"/>
      </w:pPr>
    </w:lvl>
  </w:abstractNum>
  <w:abstractNum w:abstractNumId="1">
    <w:nsid w:val="0053208E"/>
    <w:multiLevelType w:val="multilevel"/>
    <w:tmpl w:val="0053208E"/>
    <w:lvl w:ilvl="0" w:tentative="0">
      <w:start w:val="1"/>
      <w:numFmt w:val="none"/>
      <w:suff w:val="nothing"/>
      <w:lvlText w:val="%1"/>
      <w:lvlJc w:val="left"/>
      <w:pPr>
        <w:tabs>
          <w:tab w:val="left" w:pos="0"/>
        </w:tabs>
        <w:ind w:left="0" w:firstLine="0"/>
      </w:pPr>
      <w:rPr>
        <w:rFonts w:ascii="Times New Roman" w:hAnsi="Times New Roman"/>
        <w:b/>
        <w:i w:val="0"/>
        <w:sz w:val="21"/>
      </w:rPr>
    </w:lvl>
    <w:lvl w:ilvl="1" w:tentative="0">
      <w:start w:val="1"/>
      <w:numFmt w:val="decimal"/>
      <w:suff w:val="nothing"/>
      <w:lvlText w:val="%1%2　"/>
      <w:lvlJc w:val="left"/>
      <w:pPr>
        <w:tabs>
          <w:tab w:val="left" w:pos="0"/>
        </w:tabs>
        <w:ind w:left="0" w:firstLine="0"/>
      </w:pPr>
      <w:rPr>
        <w:rFonts w:ascii="黑体" w:hAnsi="黑体" w:eastAsia="黑体"/>
        <w:b w:val="0"/>
        <w:i w:val="0"/>
        <w:sz w:val="28"/>
        <w:szCs w:val="28"/>
      </w:rPr>
    </w:lvl>
    <w:lvl w:ilvl="2" w:tentative="0">
      <w:start w:val="1"/>
      <w:numFmt w:val="decimal"/>
      <w:pStyle w:val="32"/>
      <w:suff w:val="space"/>
      <w:lvlText w:val="%1%2.%3　"/>
      <w:lvlJc w:val="left"/>
      <w:pPr>
        <w:tabs>
          <w:tab w:val="left" w:pos="0"/>
        </w:tabs>
        <w:ind w:left="1704" w:firstLine="0"/>
      </w:pPr>
      <w:rPr>
        <w:rFonts w:cs="Times New Roman"/>
        <w:bCs w:val="0"/>
        <w:i w:val="0"/>
        <w:iCs w:val="0"/>
        <w:caps w:val="0"/>
        <w:smallCaps w:val="0"/>
        <w:strike w:val="0"/>
        <w:dstrike w:val="0"/>
        <w:vanish w:val="0"/>
        <w:color w:val="000000"/>
        <w:spacing w:val="0"/>
        <w:kern w:val="0"/>
        <w:position w:val="0"/>
        <w:sz w:val="20"/>
        <w:u w:val="none"/>
        <w:vertAlign w:val="baseline"/>
      </w:rPr>
    </w:lvl>
    <w:lvl w:ilvl="3" w:tentative="0">
      <w:start w:val="1"/>
      <w:numFmt w:val="decimal"/>
      <w:suff w:val="nothing"/>
      <w:lvlText w:val="%1%2.%3.%4　"/>
      <w:lvlJc w:val="left"/>
      <w:pPr>
        <w:tabs>
          <w:tab w:val="left" w:pos="0"/>
        </w:tabs>
        <w:ind w:left="0" w:firstLine="0"/>
      </w:pPr>
      <w:rPr>
        <w:rFonts w:ascii="黑体" w:hAnsi="黑体" w:eastAsia="黑体"/>
        <w:b w:val="0"/>
        <w:i w:val="0"/>
        <w:sz w:val="21"/>
      </w:rPr>
    </w:lvl>
    <w:lvl w:ilvl="4" w:tentative="0">
      <w:start w:val="1"/>
      <w:numFmt w:val="decimal"/>
      <w:suff w:val="nothing"/>
      <w:lvlText w:val="%1%2.%3.%4.%5　"/>
      <w:lvlJc w:val="left"/>
      <w:pPr>
        <w:tabs>
          <w:tab w:val="left" w:pos="0"/>
        </w:tabs>
        <w:ind w:left="0" w:firstLine="0"/>
      </w:pPr>
      <w:rPr>
        <w:rFonts w:ascii="黑体" w:hAnsi="黑体" w:eastAsia="黑体"/>
        <w:b w:val="0"/>
        <w:i w:val="0"/>
        <w:sz w:val="21"/>
      </w:rPr>
    </w:lvl>
    <w:lvl w:ilvl="5" w:tentative="0">
      <w:start w:val="1"/>
      <w:numFmt w:val="decimal"/>
      <w:suff w:val="nothing"/>
      <w:lvlText w:val="%1%2.%3.%4.%5.%6　"/>
      <w:lvlJc w:val="left"/>
      <w:pPr>
        <w:tabs>
          <w:tab w:val="left" w:pos="0"/>
        </w:tabs>
        <w:ind w:left="0" w:firstLine="0"/>
      </w:pPr>
      <w:rPr>
        <w:rFonts w:ascii="黑体" w:hAnsi="黑体" w:eastAsia="黑体"/>
        <w:b w:val="0"/>
        <w:i w:val="0"/>
        <w:sz w:val="21"/>
      </w:rPr>
    </w:lvl>
    <w:lvl w:ilvl="6" w:tentative="0">
      <w:start w:val="1"/>
      <w:numFmt w:val="decimal"/>
      <w:suff w:val="nothing"/>
      <w:lvlText w:val="%1%2.%3.%4.%5.%6.%7　"/>
      <w:lvlJc w:val="left"/>
      <w:pPr>
        <w:tabs>
          <w:tab w:val="left" w:pos="0"/>
        </w:tabs>
        <w:ind w:left="0" w:firstLine="0"/>
      </w:pPr>
      <w:rPr>
        <w:rFonts w:ascii="黑体" w:hAnsi="黑体"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autoHyphenation/>
  <w:hyphenationZone w:val="0"/>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000000"/>
    <w:rsid w:val="0B2E3105"/>
    <w:rsid w:val="0D046532"/>
    <w:rsid w:val="0F626335"/>
    <w:rsid w:val="161C3356"/>
    <w:rsid w:val="16846698"/>
    <w:rsid w:val="22B52AF1"/>
    <w:rsid w:val="22E1445F"/>
    <w:rsid w:val="2754511E"/>
    <w:rsid w:val="281A740B"/>
    <w:rsid w:val="2E450764"/>
    <w:rsid w:val="2EA227DA"/>
    <w:rsid w:val="3A157984"/>
    <w:rsid w:val="3C634979"/>
    <w:rsid w:val="57B96BD4"/>
    <w:rsid w:val="5AD64D2A"/>
    <w:rsid w:val="5CEB6E82"/>
    <w:rsid w:val="5E4717FF"/>
    <w:rsid w:val="634C260E"/>
    <w:rsid w:val="6AD77182"/>
    <w:rsid w:val="763044F2"/>
    <w:rsid w:val="77602068"/>
    <w:rsid w:val="7F5155C3"/>
  </w:rsids>
  <m:mathPr>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spacing w:before="0" w:after="0" w:line="360" w:lineRule="auto"/>
      <w:jc w:val="both"/>
    </w:pPr>
    <w:rPr>
      <w:rFonts w:ascii="宋体" w:hAnsi="宋体" w:eastAsia="宋体" w:cs="Times New Roman"/>
      <w:color w:val="auto"/>
      <w:kern w:val="2"/>
      <w:sz w:val="24"/>
      <w:szCs w:val="24"/>
      <w:lang w:val="en-US" w:eastAsia="zh-CN" w:bidi="ar-SA"/>
    </w:rPr>
  </w:style>
  <w:style w:type="paragraph" w:styleId="4">
    <w:name w:val="heading 1"/>
    <w:basedOn w:val="1"/>
    <w:next w:val="1"/>
    <w:qFormat/>
    <w:uiPriority w:val="0"/>
    <w:pPr>
      <w:keepNext/>
      <w:keepLines/>
      <w:outlineLvl w:val="0"/>
    </w:pPr>
    <w:rPr>
      <w:b/>
      <w:bCs/>
      <w:kern w:val="2"/>
      <w:szCs w:val="44"/>
    </w:rPr>
  </w:style>
  <w:style w:type="paragraph" w:styleId="5">
    <w:name w:val="heading 2"/>
    <w:basedOn w:val="1"/>
    <w:next w:val="1"/>
    <w:qFormat/>
    <w:uiPriority w:val="0"/>
    <w:pPr>
      <w:keepNext/>
      <w:keepLines/>
      <w:outlineLvl w:val="1"/>
    </w:pPr>
    <w:rPr>
      <w:b/>
      <w:bCs/>
      <w:szCs w:val="32"/>
    </w:rPr>
  </w:style>
  <w:style w:type="character" w:default="1" w:styleId="18">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before="0" w:after="120"/>
    </w:p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84"/>
      <w:szCs w:val="32"/>
    </w:rPr>
  </w:style>
  <w:style w:type="paragraph" w:styleId="6">
    <w:name w:val="caption"/>
    <w:basedOn w:val="1"/>
    <w:next w:val="1"/>
    <w:qFormat/>
    <w:uiPriority w:val="0"/>
    <w:pPr>
      <w:suppressLineNumbers/>
      <w:spacing w:before="120" w:after="120"/>
    </w:pPr>
    <w:rPr>
      <w:rFonts w:cs="Arial"/>
      <w:i/>
      <w:iCs/>
      <w:sz w:val="24"/>
      <w:szCs w:val="24"/>
    </w:rPr>
  </w:style>
  <w:style w:type="paragraph" w:styleId="7">
    <w:name w:val="annotation text"/>
    <w:basedOn w:val="1"/>
    <w:unhideWhenUsed/>
    <w:qFormat/>
    <w:uiPriority w:val="99"/>
    <w:pPr>
      <w:jc w:val="left"/>
    </w:pPr>
    <w:rPr>
      <w:kern w:val="0"/>
    </w:rPr>
  </w:style>
  <w:style w:type="paragraph" w:styleId="8">
    <w:name w:val="toc 8"/>
    <w:basedOn w:val="9"/>
    <w:next w:val="1"/>
    <w:qFormat/>
    <w:uiPriority w:val="0"/>
  </w:style>
  <w:style w:type="paragraph" w:customStyle="1" w:styleId="9">
    <w:name w:val="索引"/>
    <w:basedOn w:val="1"/>
    <w:qFormat/>
    <w:uiPriority w:val="0"/>
    <w:pPr>
      <w:suppressLineNumbers/>
    </w:pPr>
    <w:rPr>
      <w:rFonts w:cs="Arial"/>
    </w:rPr>
  </w:style>
  <w:style w:type="paragraph" w:styleId="10">
    <w:name w:val="Balloon Text"/>
    <w:basedOn w:val="1"/>
    <w:link w:val="21"/>
    <w:qFormat/>
    <w:uiPriority w:val="0"/>
    <w:pPr>
      <w:spacing w:line="240" w:lineRule="auto"/>
    </w:pPr>
    <w:rPr>
      <w:sz w:val="18"/>
      <w:szCs w:val="18"/>
    </w:rPr>
  </w:style>
  <w:style w:type="paragraph" w:styleId="11">
    <w:name w:val="footer"/>
    <w:basedOn w:val="1"/>
    <w:link w:val="20"/>
    <w:qFormat/>
    <w:uiPriority w:val="0"/>
    <w:pPr>
      <w:tabs>
        <w:tab w:val="center" w:pos="4153"/>
        <w:tab w:val="right" w:pos="8306"/>
      </w:tabs>
      <w:snapToGrid w:val="0"/>
      <w:spacing w:line="240" w:lineRule="auto"/>
      <w:jc w:val="left"/>
    </w:pPr>
    <w:rPr>
      <w:sz w:val="18"/>
      <w:szCs w:val="18"/>
    </w:rPr>
  </w:style>
  <w:style w:type="paragraph" w:styleId="12">
    <w:name w:val="header"/>
    <w:basedOn w:val="1"/>
    <w:unhideWhenUsed/>
    <w:qFormat/>
    <w:uiPriority w:val="0"/>
    <w:pPr>
      <w:pBdr>
        <w:bottom w:val="single" w:color="000000"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right" w:leader="dot" w:pos="8296"/>
      </w:tabs>
    </w:pPr>
  </w:style>
  <w:style w:type="paragraph" w:styleId="14">
    <w:name w:val="List"/>
    <w:basedOn w:val="2"/>
    <w:qFormat/>
    <w:uiPriority w:val="0"/>
    <w:rPr>
      <w:rFonts w:cs="Arial"/>
    </w:rPr>
  </w:style>
  <w:style w:type="paragraph" w:styleId="15">
    <w:name w:val="toc 9"/>
    <w:basedOn w:val="9"/>
    <w:next w:val="1"/>
    <w:qFormat/>
    <w:uiPriority w:val="0"/>
  </w:style>
  <w:style w:type="paragraph" w:styleId="16">
    <w:name w:val="index 1"/>
    <w:basedOn w:val="1"/>
    <w:next w:val="1"/>
    <w:unhideWhenUsed/>
    <w:qFormat/>
    <w:uiPriority w:val="99"/>
    <w:rPr>
      <w:szCs w:val="20"/>
    </w:rPr>
  </w:style>
  <w:style w:type="character" w:styleId="19">
    <w:name w:val="Hyperlink"/>
    <w:qFormat/>
    <w:uiPriority w:val="0"/>
    <w:rPr>
      <w:color w:val="000080"/>
      <w:u w:val="single"/>
    </w:rPr>
  </w:style>
  <w:style w:type="character" w:customStyle="1" w:styleId="20">
    <w:name w:val="页脚 Char"/>
    <w:basedOn w:val="18"/>
    <w:link w:val="11"/>
    <w:qFormat/>
    <w:uiPriority w:val="0"/>
    <w:rPr>
      <w:rFonts w:ascii="宋体" w:hAnsi="宋体"/>
      <w:kern w:val="2"/>
      <w:sz w:val="18"/>
      <w:szCs w:val="18"/>
    </w:rPr>
  </w:style>
  <w:style w:type="character" w:customStyle="1" w:styleId="21">
    <w:name w:val="批注框文本 Char"/>
    <w:basedOn w:val="18"/>
    <w:link w:val="10"/>
    <w:qFormat/>
    <w:uiPriority w:val="0"/>
    <w:rPr>
      <w:rFonts w:ascii="宋体" w:hAnsi="宋体"/>
      <w:kern w:val="2"/>
      <w:sz w:val="18"/>
      <w:szCs w:val="18"/>
    </w:rPr>
  </w:style>
  <w:style w:type="character" w:customStyle="1" w:styleId="22">
    <w:name w:val="标题 2 Char"/>
    <w:qFormat/>
    <w:uiPriority w:val="0"/>
    <w:rPr>
      <w:b/>
      <w:bCs/>
      <w:szCs w:val="32"/>
    </w:rPr>
  </w:style>
  <w:style w:type="character" w:customStyle="1" w:styleId="23">
    <w:name w:val="索引链接"/>
    <w:qFormat/>
    <w:uiPriority w:val="0"/>
  </w:style>
  <w:style w:type="character" w:customStyle="1" w:styleId="24">
    <w:name w:val="索引链接 (user)"/>
    <w:qFormat/>
    <w:uiPriority w:val="0"/>
  </w:style>
  <w:style w:type="paragraph" w:customStyle="1" w:styleId="25">
    <w:name w:val="标题样式"/>
    <w:basedOn w:val="1"/>
    <w:next w:val="2"/>
    <w:qFormat/>
    <w:uiPriority w:val="0"/>
    <w:pPr>
      <w:keepNext/>
      <w:spacing w:before="240" w:after="120"/>
    </w:pPr>
    <w:rPr>
      <w:rFonts w:ascii="Liberation Sans" w:hAnsi="Liberation Sans" w:eastAsia="思源黑体 CN" w:cs="Arial"/>
      <w:sz w:val="28"/>
      <w:szCs w:val="28"/>
    </w:rPr>
  </w:style>
  <w:style w:type="paragraph" w:customStyle="1" w:styleId="26">
    <w:name w:val="标题样式 (user)"/>
    <w:basedOn w:val="1"/>
    <w:next w:val="2"/>
    <w:qFormat/>
    <w:uiPriority w:val="0"/>
    <w:pPr>
      <w:keepNext/>
      <w:spacing w:before="240" w:after="120"/>
    </w:pPr>
    <w:rPr>
      <w:rFonts w:ascii="Liberation Sans" w:hAnsi="Liberation Sans" w:eastAsia="思源黑体 CN" w:cs="Arial"/>
      <w:sz w:val="28"/>
      <w:szCs w:val="28"/>
    </w:rPr>
  </w:style>
  <w:style w:type="paragraph" w:customStyle="1" w:styleId="27">
    <w:name w:val="索引 (user)"/>
    <w:basedOn w:val="1"/>
    <w:qFormat/>
    <w:uiPriority w:val="0"/>
    <w:pPr>
      <w:suppressLineNumbers/>
    </w:pPr>
    <w:rPr>
      <w:rFonts w:cs="Arial"/>
    </w:rPr>
  </w:style>
  <w:style w:type="paragraph" w:customStyle="1" w:styleId="28">
    <w:name w:val="页眉与页脚"/>
    <w:basedOn w:val="1"/>
    <w:qFormat/>
    <w:uiPriority w:val="0"/>
  </w:style>
  <w:style w:type="paragraph" w:customStyle="1" w:styleId="29">
    <w:name w:val="页眉与页脚 (user)"/>
    <w:basedOn w:val="1"/>
    <w:qFormat/>
    <w:uiPriority w:val="0"/>
  </w:style>
  <w:style w:type="paragraph" w:customStyle="1" w:styleId="30">
    <w:name w:val="List Paragraph"/>
    <w:basedOn w:val="1"/>
    <w:qFormat/>
    <w:uiPriority w:val="34"/>
    <w:pPr>
      <w:widowControl/>
      <w:tabs>
        <w:tab w:val="left" w:pos="-1440"/>
        <w:tab w:val="left" w:pos="-432"/>
        <w:tab w:val="left" w:pos="0"/>
        <w:tab w:val="left" w:pos="360"/>
        <w:tab w:val="left" w:pos="720"/>
        <w:tab w:val="left" w:pos="1368"/>
        <w:tab w:val="left" w:pos="1800"/>
        <w:tab w:val="left" w:pos="2160"/>
        <w:tab w:val="left" w:pos="2808"/>
      </w:tabs>
      <w:suppressAutoHyphens/>
      <w:overflowPunct/>
      <w:spacing w:before="0" w:after="0"/>
      <w:ind w:left="720"/>
      <w:contextualSpacing/>
      <w:jc w:val="left"/>
      <w:textAlignment w:val="baseline"/>
    </w:pPr>
    <w:rPr>
      <w:rFonts w:ascii="Arial" w:hAnsi="Arial" w:eastAsia="Times New Roman" w:cs="Arial"/>
      <w:spacing w:val="-2"/>
      <w:kern w:val="0"/>
      <w:sz w:val="20"/>
      <w:szCs w:val="20"/>
      <w:lang w:eastAsia="en-US"/>
    </w:rPr>
  </w:style>
  <w:style w:type="paragraph" w:customStyle="1" w:styleId="31">
    <w:name w:val="样式1"/>
    <w:basedOn w:val="1"/>
    <w:qFormat/>
    <w:uiPriority w:val="99"/>
  </w:style>
  <w:style w:type="paragraph" w:customStyle="1" w:styleId="32">
    <w:name w:val="一级条标题"/>
    <w:next w:val="33"/>
    <w:qFormat/>
    <w:uiPriority w:val="0"/>
    <w:pPr>
      <w:widowControl/>
      <w:numPr>
        <w:ilvl w:val="2"/>
        <w:numId w:val="1"/>
      </w:numPr>
      <w:suppressAutoHyphens/>
      <w:bidi w:val="0"/>
      <w:snapToGrid w:val="0"/>
      <w:spacing w:before="0" w:after="0" w:line="360" w:lineRule="auto"/>
      <w:jc w:val="left"/>
      <w:outlineLvl w:val="2"/>
    </w:pPr>
    <w:rPr>
      <w:rFonts w:ascii="宋体" w:hAnsi="宋体" w:eastAsia="宋体" w:cs="Times New Roman"/>
      <w:color w:val="auto"/>
      <w:kern w:val="0"/>
      <w:sz w:val="24"/>
      <w:szCs w:val="24"/>
      <w:lang w:val="en-US" w:eastAsia="zh-CN" w:bidi="ar-SA"/>
    </w:rPr>
  </w:style>
  <w:style w:type="paragraph" w:customStyle="1" w:styleId="33">
    <w:name w:val="段"/>
    <w:qFormat/>
    <w:uiPriority w:val="0"/>
    <w:pPr>
      <w:widowControl/>
      <w:suppressAutoHyphens/>
      <w:bidi w:val="0"/>
      <w:spacing w:before="0" w:after="0"/>
      <w:ind w:firstLine="200"/>
      <w:jc w:val="both"/>
    </w:pPr>
    <w:rPr>
      <w:rFonts w:ascii="宋体" w:hAnsi="宋体" w:eastAsia="宋体" w:cs="Times New Roman"/>
      <w:color w:val="auto"/>
      <w:kern w:val="0"/>
      <w:sz w:val="21"/>
      <w:szCs w:val="20"/>
      <w:lang w:val="en-US" w:eastAsia="zh-CN" w:bidi="ar-SA"/>
    </w:rPr>
  </w:style>
  <w:style w:type="paragraph" w:customStyle="1" w:styleId="34">
    <w:name w:val="框架内容"/>
    <w:basedOn w:val="1"/>
    <w:qFormat/>
    <w:uiPriority w:val="0"/>
  </w:style>
  <w:style w:type="paragraph" w:customStyle="1" w:styleId="35">
    <w:name w:val="框架内容 (use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113CE4-6046-40D0-ADFC-DEAAC4FFB17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6192</Words>
  <Characters>7123</Characters>
  <Paragraphs>286</Paragraphs>
  <TotalTime>5</TotalTime>
  <ScaleCrop>false</ScaleCrop>
  <LinksUpToDate>false</LinksUpToDate>
  <CharactersWithSpaces>7195</CharactersWithSpaces>
  <Application>WPS Office_11.8.2.12309_F1E327BC-269C-435d-A152-05C5408002CA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23DECBEDA00E454B96BA9445161B775F</cp:lastModifiedBy>
  <dcterms:modified xsi:type="dcterms:W3CDTF">2025-11-12T02:03:44Z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B198372E77ED474697CD3D99E7406563</vt:lpwstr>
  </property>
  <property fmtid="{D5CDD505-2E9C-101B-9397-08002B2CF9AE}" pid="3" name="KSOProductBuildVer">
    <vt:lpwstr>2052-11.8.2.12309</vt:lpwstr>
  </property>
  <property fmtid="{D5CDD505-2E9C-101B-9397-08002B2CF9AE}" pid="4" name="KSOTemplateDocerSaveRecord">
    <vt:lpwstr>eyJoZGlkIjoiZjI5OWZhMWNmYzVhNjk2YTEwNzU5MDI2YzlhMTkxNmYiLCJ1c2VySWQiOiIyOTExODYwMzYifQ==</vt:lpwstr>
  </property>
</Properties>
</file>