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b/>
          <w:sz w:val="36"/>
          <w:szCs w:val="36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-1247775</wp:posOffset>
            </wp:positionH>
            <wp:positionV relativeFrom="paragraph">
              <wp:posOffset>-1057275</wp:posOffset>
            </wp:positionV>
            <wp:extent cx="7772400" cy="2381250"/>
            <wp:effectExtent l="0" t="0" r="0" b="0"/>
            <wp:wrapNone/>
            <wp:docPr id="2" name="图片 6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6" descr="模板-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jc w:val="center"/>
        <w:rPr>
          <w:rFonts w:ascii="宋体" w:hAnsi="宋体"/>
          <w:b/>
          <w:sz w:val="36"/>
          <w:szCs w:val="36"/>
        </w:rPr>
      </w:pPr>
    </w:p>
    <w:p>
      <w:pPr>
        <w:jc w:val="center"/>
        <w:rPr>
          <w:rFonts w:ascii="宋体" w:hAnsi="宋体"/>
          <w:b/>
          <w:sz w:val="36"/>
          <w:szCs w:val="36"/>
        </w:rPr>
      </w:pPr>
    </w:p>
    <w:p>
      <w:pPr>
        <w:jc w:val="center"/>
        <w:rPr>
          <w:rFonts w:ascii="宋体" w:hAnsi="宋体"/>
          <w:b/>
          <w:sz w:val="44"/>
          <w:szCs w:val="44"/>
        </w:rPr>
      </w:pPr>
    </w:p>
    <w:p>
      <w:pPr>
        <w:jc w:val="center"/>
        <w:rPr>
          <w:rFonts w:ascii="宋体" w:hAnsi="宋体"/>
          <w:b/>
          <w:sz w:val="44"/>
          <w:szCs w:val="44"/>
        </w:rPr>
      </w:pPr>
    </w:p>
    <w:p>
      <w:pPr>
        <w:jc w:val="center"/>
        <w:rPr>
          <w:rFonts w:ascii="宋体" w:hAnsi="宋体"/>
          <w:b/>
          <w:sz w:val="44"/>
          <w:szCs w:val="44"/>
        </w:rPr>
      </w:pPr>
    </w:p>
    <w:p>
      <w:pPr>
        <w:pStyle w:val="14"/>
        <w:keepNext w:val="0"/>
        <w:keepLines w:val="0"/>
        <w:widowControl/>
        <w:suppressLineNumbers w:val="0"/>
        <w:jc w:val="center"/>
        <w:rPr>
          <w:b/>
          <w:bCs/>
          <w:color w:val="000000"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  <w:lang w:eastAsia="zh-CN"/>
        </w:rPr>
        <w:t>202</w:t>
      </w:r>
      <w:r>
        <w:rPr>
          <w:rFonts w:hint="eastAsia" w:ascii="宋体" w:hAnsi="宋体"/>
          <w:b/>
          <w:sz w:val="44"/>
          <w:szCs w:val="44"/>
          <w:lang w:val="en-US" w:eastAsia="zh-CN"/>
        </w:rPr>
        <w:t>6</w:t>
      </w:r>
      <w:r>
        <w:rPr>
          <w:rFonts w:hint="eastAsia" w:ascii="宋体" w:hAnsi="宋体"/>
          <w:b/>
          <w:sz w:val="44"/>
          <w:szCs w:val="44"/>
          <w:lang w:eastAsia="zh-CN"/>
        </w:rPr>
        <w:t>年</w:t>
      </w:r>
      <w:r>
        <w:rPr>
          <w:rFonts w:hint="eastAsia" w:ascii="宋体" w:hAnsi="宋体"/>
          <w:b/>
          <w:sz w:val="44"/>
          <w:szCs w:val="44"/>
          <w:lang w:val="en-US" w:eastAsia="zh-CN"/>
        </w:rPr>
        <w:t>-2027年</w:t>
      </w:r>
      <w:r>
        <w:rPr>
          <w:rFonts w:hint="eastAsia" w:ascii="宋体" w:hAnsi="宋体"/>
          <w:b/>
          <w:sz w:val="44"/>
          <w:szCs w:val="44"/>
          <w:lang w:eastAsia="zh-CN"/>
        </w:rPr>
        <w:t>来宾供电局</w:t>
      </w:r>
      <w:r>
        <w:rPr>
          <w:b/>
          <w:bCs/>
          <w:color w:val="000000"/>
          <w:sz w:val="44"/>
          <w:szCs w:val="44"/>
        </w:rPr>
        <w:t>税务中介服务</w:t>
      </w:r>
    </w:p>
    <w:p>
      <w:pPr>
        <w:pStyle w:val="14"/>
        <w:keepNext w:val="0"/>
        <w:keepLines w:val="0"/>
        <w:widowControl/>
        <w:suppressLineNumbers w:val="0"/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  <w:lang w:eastAsia="zh-CN"/>
        </w:rPr>
        <w:t>项目技术规范书</w:t>
      </w:r>
    </w:p>
    <w:p>
      <w:pPr>
        <w:jc w:val="both"/>
        <w:rPr>
          <w:rFonts w:ascii="宋体" w:hAnsi="宋体"/>
          <w:b/>
          <w:sz w:val="44"/>
          <w:szCs w:val="44"/>
        </w:rPr>
      </w:pPr>
    </w:p>
    <w:p>
      <w:pPr>
        <w:pStyle w:val="2"/>
      </w:pPr>
    </w:p>
    <w:p>
      <w:pPr>
        <w:jc w:val="center"/>
        <w:rPr>
          <w:rFonts w:ascii="宋体" w:hAnsi="宋体"/>
          <w:bCs/>
        </w:rPr>
      </w:pPr>
    </w:p>
    <w:p>
      <w:pPr>
        <w:jc w:val="center"/>
        <w:rPr>
          <w:rFonts w:ascii="宋体" w:hAnsi="宋体"/>
          <w:bCs/>
        </w:rPr>
      </w:pPr>
    </w:p>
    <w:p>
      <w:pPr>
        <w:jc w:val="center"/>
        <w:rPr>
          <w:rFonts w:ascii="宋体" w:hAnsi="宋体"/>
          <w:bCs/>
        </w:rPr>
      </w:pPr>
    </w:p>
    <w:p>
      <w:pPr>
        <w:jc w:val="center"/>
        <w:rPr>
          <w:rFonts w:ascii="宋体" w:hAnsi="宋体"/>
          <w:bCs/>
        </w:rPr>
      </w:pPr>
    </w:p>
    <w:p>
      <w:pPr>
        <w:jc w:val="center"/>
        <w:rPr>
          <w:rFonts w:ascii="宋体" w:hAnsi="宋体"/>
          <w:bCs/>
        </w:rPr>
      </w:pPr>
    </w:p>
    <w:p>
      <w:pPr>
        <w:jc w:val="center"/>
        <w:rPr>
          <w:rFonts w:ascii="宋体" w:hAnsi="宋体"/>
          <w:bCs/>
        </w:rPr>
      </w:pPr>
    </w:p>
    <w:p>
      <w:pPr>
        <w:jc w:val="center"/>
        <w:rPr>
          <w:rFonts w:ascii="宋体" w:hAnsi="宋体"/>
          <w:bCs/>
        </w:rPr>
      </w:pPr>
    </w:p>
    <w:p>
      <w:pPr>
        <w:rPr>
          <w:rFonts w:ascii="宋体" w:hAnsi="宋体"/>
          <w:bCs/>
        </w:rPr>
      </w:pPr>
    </w:p>
    <w:p>
      <w:pPr>
        <w:jc w:val="center"/>
        <w:rPr>
          <w:rFonts w:ascii="宋体" w:hAnsi="宋体"/>
          <w:bCs/>
        </w:rPr>
      </w:pPr>
    </w:p>
    <w:p>
      <w:pPr>
        <w:adjustRightInd w:val="0"/>
        <w:snapToGrid w:val="0"/>
        <w:spacing w:line="360" w:lineRule="auto"/>
        <w:ind w:left="1506" w:hanging="1506" w:hangingChars="500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广西电网</w:t>
      </w:r>
      <w:r>
        <w:rPr>
          <w:rFonts w:ascii="宋体" w:hAnsi="宋体"/>
          <w:b/>
          <w:sz w:val="30"/>
          <w:szCs w:val="30"/>
        </w:rPr>
        <w:t>有限责任公司</w:t>
      </w:r>
      <w:r>
        <w:rPr>
          <w:rFonts w:hint="eastAsia" w:ascii="宋体" w:hAnsi="宋体"/>
          <w:b/>
          <w:sz w:val="30"/>
          <w:szCs w:val="30"/>
          <w:lang w:eastAsia="zh-CN"/>
        </w:rPr>
        <w:t>来宾</w:t>
      </w:r>
      <w:r>
        <w:rPr>
          <w:rFonts w:hint="eastAsia" w:ascii="宋体" w:hAnsi="宋体"/>
          <w:b/>
          <w:sz w:val="30"/>
          <w:szCs w:val="30"/>
        </w:rPr>
        <w:t>供电局</w:t>
      </w:r>
    </w:p>
    <w:p>
      <w:pPr>
        <w:adjustRightInd w:val="0"/>
        <w:snapToGrid w:val="0"/>
        <w:spacing w:line="360" w:lineRule="auto"/>
        <w:ind w:left="1506" w:hanging="1506" w:hangingChars="500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二〇</w:t>
      </w:r>
      <w:r>
        <w:rPr>
          <w:rFonts w:hint="eastAsia" w:ascii="宋体" w:hAnsi="宋体"/>
          <w:b/>
          <w:sz w:val="30"/>
          <w:szCs w:val="30"/>
          <w:lang w:eastAsia="zh-CN"/>
        </w:rPr>
        <w:t>二</w:t>
      </w:r>
      <w:r>
        <w:rPr>
          <w:rFonts w:hint="eastAsia" w:ascii="宋体" w:hAnsi="宋体"/>
          <w:b/>
          <w:sz w:val="30"/>
          <w:szCs w:val="30"/>
          <w:lang w:val="en-US" w:eastAsia="zh-CN"/>
        </w:rPr>
        <w:t>五</w:t>
      </w:r>
      <w:r>
        <w:rPr>
          <w:rFonts w:hint="eastAsia" w:ascii="宋体" w:hAnsi="宋体"/>
          <w:b/>
          <w:sz w:val="30"/>
          <w:szCs w:val="30"/>
        </w:rPr>
        <w:t>年</w:t>
      </w:r>
      <w:r>
        <w:rPr>
          <w:rFonts w:hint="eastAsia" w:ascii="宋体" w:hAnsi="宋体"/>
          <w:b/>
          <w:sz w:val="30"/>
          <w:szCs w:val="30"/>
          <w:lang w:eastAsia="zh-CN"/>
        </w:rPr>
        <w:t>九</w:t>
      </w:r>
      <w:r>
        <w:rPr>
          <w:rFonts w:hint="eastAsia" w:ascii="宋体" w:hAnsi="宋体"/>
          <w:b/>
          <w:sz w:val="30"/>
          <w:szCs w:val="30"/>
        </w:rPr>
        <w:t>月</w:t>
      </w:r>
    </w:p>
    <w:p>
      <w:pPr>
        <w:adjustRightInd w:val="0"/>
        <w:snapToGrid w:val="0"/>
        <w:spacing w:line="360" w:lineRule="auto"/>
        <w:ind w:left="1506" w:hanging="1506" w:hangingChars="500"/>
        <w:jc w:val="center"/>
        <w:rPr>
          <w:rFonts w:ascii="宋体" w:hAnsi="宋体"/>
          <w:b/>
          <w:sz w:val="30"/>
          <w:szCs w:val="30"/>
        </w:rPr>
      </w:pPr>
    </w:p>
    <w:p>
      <w:pPr>
        <w:adjustRightInd w:val="0"/>
        <w:snapToGrid w:val="0"/>
        <w:spacing w:line="360" w:lineRule="auto"/>
        <w:ind w:left="1506" w:hanging="1506" w:hangingChars="500"/>
        <w:jc w:val="center"/>
        <w:rPr>
          <w:rFonts w:ascii="宋体" w:hAnsi="宋体"/>
          <w:b/>
          <w:sz w:val="30"/>
          <w:szCs w:val="30"/>
        </w:rPr>
      </w:pPr>
    </w:p>
    <w:p>
      <w:pPr>
        <w:adjustRightInd w:val="0"/>
        <w:snapToGrid w:val="0"/>
        <w:spacing w:line="360" w:lineRule="auto"/>
        <w:ind w:left="1506" w:hanging="1506" w:hangingChars="500"/>
        <w:jc w:val="center"/>
        <w:rPr>
          <w:rFonts w:ascii="宋体" w:hAnsi="宋体"/>
          <w:b/>
          <w:sz w:val="30"/>
          <w:szCs w:val="30"/>
        </w:rPr>
      </w:pPr>
    </w:p>
    <w:p>
      <w:pPr>
        <w:adjustRightInd w:val="0"/>
        <w:snapToGrid w:val="0"/>
        <w:spacing w:line="360" w:lineRule="auto"/>
        <w:ind w:left="1506" w:hanging="1506" w:hangingChars="500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目录</w:t>
      </w:r>
    </w:p>
    <w:p>
      <w:pPr>
        <w:pStyle w:val="12"/>
        <w:tabs>
          <w:tab w:val="right" w:leader="dot" w:pos="8306"/>
        </w:tabs>
      </w:pPr>
      <w:r>
        <w:rPr>
          <w:rFonts w:hint="eastAsia" w:ascii="宋体" w:hAnsi="宋体"/>
          <w:b/>
          <w:bCs/>
          <w:szCs w:val="28"/>
        </w:rPr>
        <w:fldChar w:fldCharType="begin"/>
      </w:r>
      <w:r>
        <w:rPr>
          <w:rFonts w:hint="eastAsia" w:ascii="宋体" w:hAnsi="宋体"/>
          <w:b/>
          <w:bCs/>
          <w:szCs w:val="28"/>
        </w:rPr>
        <w:instrText xml:space="preserve">TOC \o "1-3" \h \u </w:instrText>
      </w:r>
      <w:r>
        <w:rPr>
          <w:rFonts w:hint="eastAsia" w:ascii="宋体" w:hAnsi="宋体"/>
          <w:b/>
          <w:bCs/>
          <w:szCs w:val="28"/>
        </w:rPr>
        <w:fldChar w:fldCharType="separate"/>
      </w:r>
      <w:r>
        <w:rPr>
          <w:rFonts w:hint="eastAsia" w:ascii="宋体" w:hAnsi="宋体"/>
          <w:bCs/>
          <w:szCs w:val="28"/>
        </w:rPr>
        <w:fldChar w:fldCharType="begin"/>
      </w:r>
      <w:r>
        <w:rPr>
          <w:rFonts w:hint="eastAsia" w:ascii="宋体" w:hAnsi="宋体"/>
          <w:bCs/>
          <w:szCs w:val="28"/>
        </w:rPr>
        <w:instrText xml:space="preserve"> HYPERLINK \l _Toc11933 </w:instrText>
      </w:r>
      <w:r>
        <w:rPr>
          <w:rFonts w:hint="eastAsia" w:ascii="宋体" w:hAnsi="宋体"/>
          <w:bCs/>
          <w:szCs w:val="28"/>
        </w:rPr>
        <w:fldChar w:fldCharType="separate"/>
      </w:r>
      <w:r>
        <w:rPr>
          <w:rFonts w:hint="default" w:ascii="宋体" w:hAnsi="宋体" w:eastAsia="宋体" w:cs="宋体"/>
        </w:rPr>
        <w:t>1</w:t>
      </w:r>
      <w:r>
        <w:rPr>
          <w:rFonts w:hint="eastAsia" w:ascii="宋体" w:hAnsi="宋体" w:cs="宋体"/>
          <w:lang w:val="en-US" w:eastAsia="zh-CN"/>
        </w:rPr>
        <w:t>.</w:t>
      </w:r>
      <w:r>
        <w:rPr>
          <w:rFonts w:hint="eastAsia"/>
        </w:rPr>
        <w:t>总则</w:t>
      </w:r>
      <w:r>
        <w:tab/>
      </w:r>
      <w:r>
        <w:fldChar w:fldCharType="begin"/>
      </w:r>
      <w:r>
        <w:instrText xml:space="preserve"> PAGEREF _Toc11933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宋体" w:hAnsi="宋体"/>
          <w:bCs/>
          <w:szCs w:val="28"/>
        </w:rPr>
        <w:fldChar w:fldCharType="end"/>
      </w:r>
    </w:p>
    <w:p>
      <w:pPr>
        <w:pStyle w:val="12"/>
        <w:tabs>
          <w:tab w:val="right" w:leader="dot" w:pos="8306"/>
        </w:tabs>
      </w:pPr>
      <w:r>
        <w:rPr>
          <w:rFonts w:hint="eastAsia" w:ascii="宋体" w:hAnsi="宋体"/>
          <w:bCs/>
          <w:szCs w:val="28"/>
        </w:rPr>
        <w:fldChar w:fldCharType="begin"/>
      </w:r>
      <w:r>
        <w:rPr>
          <w:rFonts w:hint="eastAsia" w:ascii="宋体" w:hAnsi="宋体"/>
          <w:bCs/>
          <w:szCs w:val="28"/>
        </w:rPr>
        <w:instrText xml:space="preserve"> HYPERLINK \l _Toc21788 </w:instrText>
      </w:r>
      <w:r>
        <w:rPr>
          <w:rFonts w:hint="eastAsia" w:ascii="宋体" w:hAnsi="宋体"/>
          <w:bCs/>
          <w:szCs w:val="28"/>
        </w:rPr>
        <w:fldChar w:fldCharType="separate"/>
      </w:r>
      <w:r>
        <w:rPr>
          <w:rFonts w:hint="eastAsia" w:ascii="Times New Roman" w:hAnsi="Times New Roman" w:cs="Times New Roman"/>
          <w:kern w:val="44"/>
          <w:szCs w:val="22"/>
          <w:lang w:val="en-US" w:eastAsia="zh-CN" w:bidi="ar-SA"/>
        </w:rPr>
        <w:t>2.</w:t>
      </w:r>
      <w:r>
        <w:rPr>
          <w:rFonts w:hint="eastAsia" w:cs="Times New Roman"/>
          <w:kern w:val="44"/>
          <w:szCs w:val="22"/>
          <w:lang w:val="en-US" w:eastAsia="zh-CN" w:bidi="ar-SA"/>
        </w:rPr>
        <w:t>工作范围</w:t>
      </w:r>
      <w:r>
        <w:tab/>
      </w:r>
      <w:r>
        <w:fldChar w:fldCharType="begin"/>
      </w:r>
      <w:r>
        <w:instrText xml:space="preserve"> PAGEREF _Toc21788 \h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宋体" w:hAnsi="宋体"/>
          <w:bCs/>
          <w:szCs w:val="28"/>
        </w:rPr>
        <w:fldChar w:fldCharType="end"/>
      </w:r>
    </w:p>
    <w:p>
      <w:pPr>
        <w:pStyle w:val="12"/>
        <w:tabs>
          <w:tab w:val="right" w:leader="dot" w:pos="8306"/>
        </w:tabs>
      </w:pPr>
      <w:r>
        <w:rPr>
          <w:rFonts w:hint="eastAsia" w:ascii="宋体" w:hAnsi="宋体"/>
          <w:bCs/>
          <w:szCs w:val="28"/>
        </w:rPr>
        <w:fldChar w:fldCharType="begin"/>
      </w:r>
      <w:r>
        <w:rPr>
          <w:rFonts w:hint="eastAsia" w:ascii="宋体" w:hAnsi="宋体"/>
          <w:bCs/>
          <w:szCs w:val="28"/>
        </w:rPr>
        <w:instrText xml:space="preserve"> HYPERLINK \l _Toc10189 </w:instrText>
      </w:r>
      <w:r>
        <w:rPr>
          <w:rFonts w:hint="eastAsia" w:ascii="宋体" w:hAnsi="宋体"/>
          <w:bCs/>
          <w:szCs w:val="28"/>
        </w:rPr>
        <w:fldChar w:fldCharType="separate"/>
      </w:r>
      <w:r>
        <w:rPr>
          <w:rFonts w:hint="eastAsia" w:ascii="宋体" w:hAnsi="宋体" w:eastAsia="宋体" w:cs="宋体"/>
          <w:szCs w:val="30"/>
          <w:lang w:val="en-US" w:eastAsia="zh-CN"/>
        </w:rPr>
        <w:t>3.应遵循的主要标准</w:t>
      </w:r>
      <w:r>
        <w:tab/>
      </w:r>
      <w:r>
        <w:fldChar w:fldCharType="begin"/>
      </w:r>
      <w:r>
        <w:instrText xml:space="preserve"> PAGEREF _Toc10189 \h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宋体" w:hAnsi="宋体"/>
          <w:bCs/>
          <w:szCs w:val="28"/>
        </w:rPr>
        <w:fldChar w:fldCharType="end"/>
      </w:r>
    </w:p>
    <w:p>
      <w:pPr>
        <w:adjustRightInd w:val="0"/>
        <w:snapToGrid w:val="0"/>
        <w:spacing w:line="360" w:lineRule="auto"/>
        <w:ind w:left="1405" w:hanging="1400" w:hangingChars="500"/>
        <w:jc w:val="center"/>
        <w:rPr>
          <w:rFonts w:ascii="宋体" w:hAnsi="宋体"/>
          <w:b/>
          <w:bCs/>
          <w:szCs w:val="28"/>
        </w:rPr>
      </w:pPr>
      <w:r>
        <w:rPr>
          <w:rFonts w:hint="eastAsia" w:ascii="宋体" w:hAnsi="宋体"/>
          <w:bCs/>
          <w:szCs w:val="28"/>
        </w:rPr>
        <w:fldChar w:fldCharType="end"/>
      </w:r>
    </w:p>
    <w:p>
      <w:pPr>
        <w:widowControl/>
        <w:jc w:val="left"/>
        <w:rPr>
          <w:rFonts w:ascii="宋体" w:hAnsi="宋体"/>
          <w:b/>
          <w:bCs/>
          <w:szCs w:val="28"/>
        </w:rPr>
      </w:pPr>
      <w:r>
        <w:rPr>
          <w:rFonts w:ascii="宋体" w:hAnsi="宋体"/>
          <w:b/>
          <w:bCs/>
          <w:szCs w:val="28"/>
        </w:rPr>
        <w:br w:type="page"/>
      </w:r>
    </w:p>
    <w:p>
      <w:pPr>
        <w:pStyle w:val="4"/>
      </w:pPr>
      <w:bookmarkStart w:id="0" w:name="_Toc31466"/>
      <w:r>
        <w:rPr>
          <w:rFonts w:hint="eastAsia"/>
        </w:rPr>
        <w:t>总则</w:t>
      </w:r>
      <w:bookmarkEnd w:id="0"/>
    </w:p>
    <w:p>
      <w:pPr>
        <w:rPr>
          <w:rFonts w:hint="eastAsia"/>
        </w:rPr>
      </w:pPr>
      <w:r>
        <w:rPr>
          <w:rFonts w:hint="eastAsia"/>
        </w:rPr>
        <w:t>1.1 本技术规范适用于</w:t>
      </w:r>
      <w:r>
        <w:rPr>
          <w:rFonts w:hint="eastAsia"/>
          <w:lang w:eastAsia="zh-CN"/>
        </w:rPr>
        <w:t>来宾</w:t>
      </w:r>
      <w:r>
        <w:rPr>
          <w:rFonts w:hint="eastAsia"/>
        </w:rPr>
        <w:t>供电局，规定了202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 xml:space="preserve"> 年</w:t>
      </w:r>
      <w:r>
        <w:rPr>
          <w:rFonts w:hint="eastAsia"/>
          <w:lang w:val="en-US" w:eastAsia="zh-CN"/>
        </w:rPr>
        <w:t>-2027年</w:t>
      </w:r>
      <w:r>
        <w:rPr>
          <w:rFonts w:hint="eastAsia"/>
        </w:rPr>
        <w:t>税务中介</w:t>
      </w:r>
      <w:r>
        <w:rPr>
          <w:rFonts w:hint="eastAsia"/>
          <w:lang w:val="en-US" w:eastAsia="zh-CN"/>
        </w:rPr>
        <w:t>服务项目</w:t>
      </w:r>
      <w:r>
        <w:rPr>
          <w:rFonts w:hint="eastAsia"/>
        </w:rPr>
        <w:t>需遵循的技术指标及功能特性。</w:t>
      </w:r>
    </w:p>
    <w:p>
      <w:pPr>
        <w:rPr>
          <w:rFonts w:hint="eastAsia"/>
        </w:rPr>
      </w:pPr>
      <w:r>
        <w:rPr>
          <w:rFonts w:hint="eastAsia"/>
        </w:rPr>
        <w:t>1.2  本技术规范规定了202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 xml:space="preserve"> 年</w:t>
      </w:r>
      <w:r>
        <w:rPr>
          <w:rFonts w:hint="eastAsia"/>
          <w:lang w:val="en-US" w:eastAsia="zh-CN"/>
        </w:rPr>
        <w:t>-2027年</w:t>
      </w:r>
      <w:r>
        <w:rPr>
          <w:rFonts w:hint="eastAsia"/>
        </w:rPr>
        <w:t>税务中介</w:t>
      </w:r>
      <w:r>
        <w:rPr>
          <w:rFonts w:hint="eastAsia"/>
          <w:lang w:val="en-US" w:eastAsia="zh-CN"/>
        </w:rPr>
        <w:t>服务</w:t>
      </w:r>
      <w:r>
        <w:rPr>
          <w:rFonts w:hint="eastAsia"/>
          <w:lang w:eastAsia="zh-CN"/>
        </w:rPr>
        <w:t>项目</w:t>
      </w:r>
      <w:r>
        <w:rPr>
          <w:rFonts w:hint="eastAsia"/>
        </w:rPr>
        <w:t>外委应遵循的基本原则和对投标方的相关要求。</w:t>
      </w:r>
    </w:p>
    <w:p>
      <w:pPr>
        <w:rPr>
          <w:rFonts w:hint="eastAsia"/>
        </w:rPr>
      </w:pPr>
      <w:r>
        <w:rPr>
          <w:rFonts w:hint="eastAsia"/>
        </w:rPr>
        <w:t>1.3  投标方应提供符合本招标技术文件和工业标准的优质产品、服务，认真阅读，为本项目提供的</w:t>
      </w:r>
      <w:r>
        <w:rPr>
          <w:rFonts w:hint="eastAsia"/>
          <w:lang w:eastAsia="zh-CN"/>
        </w:rPr>
        <w:t>技术服务</w:t>
      </w:r>
      <w:r>
        <w:rPr>
          <w:rFonts w:hint="eastAsia"/>
        </w:rPr>
        <w:t>和理念应是全新的、高水准的、符合</w:t>
      </w:r>
      <w:r>
        <w:rPr>
          <w:rFonts w:hint="eastAsia"/>
          <w:lang w:eastAsia="zh-CN"/>
        </w:rPr>
        <w:t>基建项目建设</w:t>
      </w:r>
      <w:r>
        <w:rPr>
          <w:rFonts w:hint="eastAsia"/>
        </w:rPr>
        <w:t>标准，以确保服务质量，客户满意度等要求落实到位，并且保障</w:t>
      </w:r>
      <w:r>
        <w:rPr>
          <w:rFonts w:hint="eastAsia"/>
          <w:lang w:eastAsia="zh-CN"/>
        </w:rPr>
        <w:t>基建项目建设顺利完成</w:t>
      </w:r>
      <w:r>
        <w:rPr>
          <w:rFonts w:hint="eastAsia"/>
        </w:rPr>
        <w:t>。</w:t>
      </w:r>
    </w:p>
    <w:p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 xml:space="preserve">  本技术规范书仅对</w:t>
      </w:r>
      <w:r>
        <w:rPr>
          <w:rFonts w:hint="eastAsia"/>
          <w:lang w:eastAsia="zh-CN"/>
        </w:rPr>
        <w:t>技术服务</w:t>
      </w:r>
      <w:r>
        <w:rPr>
          <w:rFonts w:hint="eastAsia"/>
        </w:rPr>
        <w:t>范围和服务质量提出基本要求，投标方可结合自己人员的特点提出技术建议书</w:t>
      </w:r>
      <w:r>
        <w:rPr>
          <w:rFonts w:hint="eastAsia"/>
          <w:lang w:eastAsia="zh-CN"/>
        </w:rPr>
        <w:t>，</w:t>
      </w:r>
      <w:r>
        <w:rPr>
          <w:rFonts w:hint="eastAsia"/>
        </w:rPr>
        <w:t>以供招标方参考。</w:t>
      </w:r>
    </w:p>
    <w:p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 xml:space="preserve">  投标方也可提出满足本技术规范书要求，且技术先进、成熟、价格合理的其他建议，供招标方选择。</w:t>
      </w:r>
    </w:p>
    <w:p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 xml:space="preserve">  本技术规范书提出的是最低限度的技术要求, 并未对一切技术细节作出规定，也未充分引述有关标准和规范的条文,所使用的标准如与投标方所执行的标准有偏差时，按高标准执行。</w:t>
      </w:r>
    </w:p>
    <w:p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7</w:t>
      </w:r>
      <w:r>
        <w:rPr>
          <w:rFonts w:hint="eastAsia"/>
        </w:rPr>
        <w:t xml:space="preserve"> 招标方保留技术规范书修改的权利，可以提出变更的意见和建议，本技术规范书经招投标双方确认后作为服务合同的技术附件，与合同正文具有同等的法律效力。</w:t>
      </w:r>
    </w:p>
    <w:p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 xml:space="preserve"> 投标方应对本次投标所有文件保密，不得向其他单位公布或泄漏招标项目的有关信息。</w:t>
      </w:r>
    </w:p>
    <w:p>
      <w:pPr>
        <w:rPr>
          <w:rFonts w:hint="default" w:ascii="Times New Roman" w:hAnsi="Times New Roman" w:eastAsia="宋体" w:cs="Times New Roman"/>
          <w:b/>
          <w:kern w:val="44"/>
          <w:sz w:val="32"/>
          <w:szCs w:val="22"/>
          <w:lang w:val="en-US" w:eastAsia="zh-CN" w:bidi="ar-SA"/>
        </w:rPr>
      </w:pPr>
      <w:r>
        <w:rPr>
          <w:rFonts w:hint="eastAsia"/>
        </w:rPr>
        <w:t>1.11 本技术规范书未尽事宜，由招投标双方协商确定。</w:t>
      </w:r>
      <w:r>
        <w:rPr>
          <w:rFonts w:hint="eastAsia" w:ascii="Times New Roman" w:hAnsi="Times New Roman" w:cs="Times New Roman"/>
          <w:b/>
          <w:kern w:val="44"/>
          <w:sz w:val="32"/>
          <w:szCs w:val="22"/>
          <w:lang w:val="en-US" w:eastAsia="zh-CN" w:bidi="ar-SA"/>
        </w:rPr>
        <w:t xml:space="preserve"> </w:t>
      </w:r>
    </w:p>
    <w:p>
      <w:pPr>
        <w:pStyle w:val="3"/>
        <w:jc w:val="both"/>
        <w:rPr>
          <w:rFonts w:hint="eastAsia" w:ascii="Times New Roman" w:hAnsi="Times New Roman" w:cs="Times New Roman"/>
          <w:b/>
          <w:kern w:val="44"/>
          <w:sz w:val="32"/>
          <w:szCs w:val="22"/>
          <w:lang w:val="en-US" w:eastAsia="zh-CN" w:bidi="ar-SA"/>
        </w:rPr>
      </w:pPr>
      <w:bookmarkStart w:id="1" w:name="_Toc21788"/>
      <w:r>
        <w:rPr>
          <w:rFonts w:hint="eastAsia" w:ascii="Times New Roman" w:hAnsi="Times New Roman" w:cs="Times New Roman"/>
          <w:b/>
          <w:kern w:val="44"/>
          <w:sz w:val="32"/>
          <w:szCs w:val="22"/>
          <w:lang w:val="en-US" w:eastAsia="zh-CN" w:bidi="ar-SA"/>
        </w:rPr>
        <w:t>2.1项目概况</w:t>
      </w:r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Times New Roman" w:hAnsi="Times New Roman" w:cs="Times New Roman"/>
          <w:lang w:eastAsia="zh-CN"/>
        </w:rPr>
      </w:pPr>
      <w:r>
        <w:rPr>
          <w:rFonts w:hint="eastAsia" w:ascii="Times New Roman" w:hAnsi="Times New Roman" w:cs="Times New Roman"/>
          <w:lang w:eastAsia="zh-CN"/>
        </w:rPr>
        <w:t>202</w:t>
      </w:r>
      <w:r>
        <w:rPr>
          <w:rFonts w:hint="eastAsia" w:ascii="Times New Roman" w:hAnsi="Times New Roman" w:cs="Times New Roman"/>
          <w:lang w:val="en-US" w:eastAsia="zh-CN"/>
        </w:rPr>
        <w:t>6</w:t>
      </w:r>
      <w:r>
        <w:rPr>
          <w:rFonts w:hint="eastAsia" w:ascii="Times New Roman" w:hAnsi="Times New Roman" w:cs="Times New Roman"/>
          <w:lang w:eastAsia="zh-CN"/>
        </w:rPr>
        <w:t>年</w:t>
      </w:r>
      <w:r>
        <w:rPr>
          <w:rFonts w:hint="eastAsia" w:ascii="Times New Roman" w:hAnsi="Times New Roman" w:cs="Times New Roman"/>
          <w:lang w:val="en-US" w:eastAsia="zh-CN"/>
        </w:rPr>
        <w:t>-</w:t>
      </w:r>
      <w:r>
        <w:rPr>
          <w:rFonts w:hint="eastAsia" w:cs="Times New Roman"/>
          <w:lang w:val="en-US" w:eastAsia="zh-CN"/>
        </w:rPr>
        <w:t>2027</w:t>
      </w:r>
      <w:r>
        <w:rPr>
          <w:rFonts w:hint="eastAsia" w:ascii="Times New Roman" w:hAnsi="Times New Roman" w:cs="Times New Roman"/>
          <w:lang w:val="en-US" w:eastAsia="zh-CN"/>
        </w:rPr>
        <w:t>年</w:t>
      </w:r>
      <w:r>
        <w:rPr>
          <w:rFonts w:hint="eastAsia" w:ascii="Times New Roman" w:hAnsi="Times New Roman" w:cs="Times New Roman"/>
          <w:lang w:eastAsia="zh-CN"/>
        </w:rPr>
        <w:t>来宾供电局</w:t>
      </w:r>
      <w:r>
        <w:rPr>
          <w:rFonts w:hint="eastAsia"/>
        </w:rPr>
        <w:t>税务中介</w:t>
      </w:r>
      <w:r>
        <w:rPr>
          <w:rFonts w:hint="eastAsia"/>
          <w:lang w:val="en-US" w:eastAsia="zh-CN"/>
        </w:rPr>
        <w:t>服务</w:t>
      </w:r>
      <w:r>
        <w:rPr>
          <w:rFonts w:hint="eastAsia" w:ascii="Times New Roman" w:hAnsi="Times New Roman" w:cs="Times New Roman"/>
          <w:lang w:eastAsia="zh-CN"/>
        </w:rPr>
        <w:t>。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kern w:val="44"/>
          <w:sz w:val="32"/>
          <w:szCs w:val="22"/>
          <w:lang w:val="en-US" w:eastAsia="zh-CN" w:bidi="ar-SA"/>
        </w:rPr>
        <w:t>2.2服务范围及内容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/>
          <w:u w:val="none"/>
          <w:lang w:val="en-US" w:eastAsia="zh-CN"/>
        </w:rPr>
      </w:pPr>
      <w:r>
        <w:rPr>
          <w:rFonts w:hint="eastAsia"/>
          <w:lang w:val="en-US" w:eastAsia="zh-CN"/>
        </w:rPr>
        <w:t>负责来宾供电局本部及</w:t>
      </w:r>
      <w:r>
        <w:rPr>
          <w:rFonts w:hint="eastAsia" w:ascii="宋体" w:hAnsi="宋体"/>
          <w:color w:val="000000"/>
          <w:sz w:val="28"/>
          <w:szCs w:val="28"/>
          <w:highlight w:val="none"/>
          <w:u w:val="none"/>
          <w:lang w:val="en-US" w:eastAsia="zh-CN"/>
        </w:rPr>
        <w:t>来宾网区县级供</w:t>
      </w:r>
      <w:r>
        <w:rPr>
          <w:rFonts w:hint="eastAsia" w:ascii="Times New Roman" w:hAnsi="Times New Roman" w:cs="Times New Roman"/>
          <w:lang w:val="en-US" w:eastAsia="zh-CN"/>
        </w:rPr>
        <w:t>电企</w:t>
      </w:r>
      <w:r>
        <w:rPr>
          <w:rFonts w:hint="eastAsia" w:ascii="宋体" w:hAnsi="宋体"/>
          <w:color w:val="000000"/>
          <w:sz w:val="28"/>
          <w:szCs w:val="28"/>
          <w:highlight w:val="none"/>
          <w:u w:val="none"/>
          <w:lang w:val="en-US" w:eastAsia="zh-CN"/>
        </w:rPr>
        <w:t>日常税务中介服务</w:t>
      </w:r>
      <w:r>
        <w:rPr>
          <w:rFonts w:hint="eastAsia" w:ascii="Times New Roman" w:hAnsi="Times New Roman" w:cs="Times New Roman"/>
          <w:lang w:val="en-US" w:eastAsia="zh-CN"/>
        </w:rPr>
        <w:t>。主要工作内容如下表：</w:t>
      </w:r>
    </w:p>
    <w:tbl>
      <w:tblPr>
        <w:tblStyle w:val="15"/>
        <w:tblpPr w:leftFromText="180" w:rightFromText="180" w:vertAnchor="text" w:horzAnchor="page" w:tblpX="1800" w:tblpY="615"/>
        <w:tblOverlap w:val="never"/>
        <w:tblW w:w="904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620"/>
        <w:gridCol w:w="1090"/>
        <w:gridCol w:w="5160"/>
        <w:gridCol w:w="15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序号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项目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分项</w:t>
            </w:r>
          </w:p>
        </w:tc>
        <w:tc>
          <w:tcPr>
            <w:tcW w:w="5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="宋体"/>
                <w:b/>
                <w:bCs/>
                <w:lang w:eastAsia="zh-CN"/>
              </w:rPr>
            </w:pPr>
            <w:r>
              <w:rPr>
                <w:rFonts w:hint="eastAsia"/>
                <w:b/>
                <w:bCs/>
              </w:rPr>
              <w:t>工作</w:t>
            </w:r>
            <w:r>
              <w:rPr>
                <w:rFonts w:hint="eastAsia"/>
                <w:b/>
                <w:bCs/>
                <w:lang w:eastAsia="zh-CN"/>
              </w:rPr>
              <w:t>内容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="宋体"/>
                <w:b/>
                <w:bCs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6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6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8"/>
                <w:szCs w:val="28"/>
              </w:rPr>
              <w:t>税务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8"/>
                <w:szCs w:val="28"/>
                <w:lang w:eastAsia="zh-CN"/>
              </w:rPr>
              <w:t>中介服务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eastAsiaTheme="minorEastAsia"/>
                <w:sz w:val="18"/>
                <w:szCs w:val="20"/>
                <w:lang w:eastAsia="zh-CN"/>
              </w:rPr>
            </w:pPr>
            <w:r>
              <w:rPr>
                <w:rFonts w:hint="eastAsia"/>
                <w:sz w:val="18"/>
                <w:szCs w:val="20"/>
              </w:rPr>
              <w:t>日常税务中介服务</w:t>
            </w:r>
          </w:p>
        </w:tc>
        <w:tc>
          <w:tcPr>
            <w:tcW w:w="5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eastAsiaTheme="minorEastAsia"/>
                <w:sz w:val="18"/>
                <w:szCs w:val="20"/>
                <w:lang w:eastAsia="zh-CN"/>
              </w:rPr>
            </w:pPr>
            <w:r>
              <w:rPr>
                <w:rFonts w:hint="eastAsia"/>
                <w:sz w:val="18"/>
                <w:szCs w:val="20"/>
                <w:lang w:eastAsia="zh-CN"/>
              </w:rPr>
              <w:t>（1）审查2026年3月至202</w:t>
            </w:r>
            <w:r>
              <w:rPr>
                <w:rFonts w:hint="eastAsia"/>
                <w:sz w:val="18"/>
                <w:szCs w:val="20"/>
                <w:lang w:val="en-US" w:eastAsia="zh-CN"/>
              </w:rPr>
              <w:t>8</w:t>
            </w:r>
            <w:r>
              <w:rPr>
                <w:rFonts w:hint="eastAsia"/>
                <w:sz w:val="18"/>
                <w:szCs w:val="20"/>
                <w:lang w:eastAsia="zh-CN"/>
              </w:rPr>
              <w:t>年2月涉税业务的账务处理及各税种的应缴税费</w:t>
            </w:r>
            <w:r>
              <w:rPr>
                <w:rFonts w:hint="eastAsia"/>
                <w:sz w:val="18"/>
                <w:szCs w:val="20"/>
                <w:lang w:val="en-US" w:eastAsia="zh-CN"/>
              </w:rPr>
              <w:t>计算表</w:t>
            </w:r>
            <w:r>
              <w:rPr>
                <w:rFonts w:hint="eastAsia"/>
                <w:sz w:val="18"/>
                <w:szCs w:val="20"/>
                <w:lang w:eastAsia="zh-CN"/>
              </w:rPr>
              <w:t>，针对发现的涉税问题提出整改建议、</w:t>
            </w:r>
            <w:r>
              <w:rPr>
                <w:rFonts w:hint="eastAsia"/>
                <w:sz w:val="18"/>
                <w:szCs w:val="20"/>
                <w:lang w:val="en-US" w:eastAsia="zh-CN"/>
              </w:rPr>
              <w:t>协助纳税申报。</w:t>
            </w:r>
            <w:r>
              <w:rPr>
                <w:rFonts w:hint="eastAsia"/>
                <w:sz w:val="18"/>
                <w:szCs w:val="20"/>
                <w:lang w:eastAsia="zh-CN"/>
              </w:rPr>
              <w:t>（</w:t>
            </w:r>
            <w:r>
              <w:rPr>
                <w:rFonts w:hint="eastAsia"/>
                <w:sz w:val="18"/>
                <w:szCs w:val="20"/>
                <w:lang w:val="en-US" w:eastAsia="zh-CN"/>
              </w:rPr>
              <w:t>2</w:t>
            </w:r>
            <w:r>
              <w:rPr>
                <w:rFonts w:hint="eastAsia"/>
                <w:sz w:val="18"/>
                <w:szCs w:val="20"/>
                <w:lang w:eastAsia="zh-CN"/>
              </w:rPr>
              <w:t>）</w:t>
            </w:r>
            <w:r>
              <w:rPr>
                <w:rFonts w:hint="eastAsia"/>
                <w:sz w:val="18"/>
                <w:szCs w:val="20"/>
                <w:lang w:val="en-US" w:eastAsia="zh-CN"/>
              </w:rPr>
              <w:t>对公司下发的年度企业所得税纳税调整事项认真审核，有疑问的事项提出专业意见，协助完成年度企业所得税汇算所需资料的整理。</w:t>
            </w:r>
            <w:r>
              <w:rPr>
                <w:rFonts w:hint="eastAsia"/>
                <w:sz w:val="18"/>
                <w:szCs w:val="20"/>
                <w:lang w:eastAsia="zh-CN"/>
              </w:rPr>
              <w:t>（</w:t>
            </w:r>
            <w:r>
              <w:rPr>
                <w:rFonts w:hint="eastAsia"/>
                <w:sz w:val="18"/>
                <w:szCs w:val="20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20"/>
                <w:lang w:eastAsia="zh-CN"/>
              </w:rPr>
              <w:t>）协助应对上级单位与税务机关的审计检查，就涉税事项作出专业解释，并根据检查结果制定整改方案</w:t>
            </w:r>
            <w:r>
              <w:rPr>
                <w:rFonts w:hint="eastAsia"/>
                <w:sz w:val="18"/>
                <w:szCs w:val="20"/>
                <w:lang w:val="en-US" w:eastAsia="zh-CN"/>
              </w:rPr>
              <w:t>并形成报告</w:t>
            </w:r>
            <w:r>
              <w:rPr>
                <w:rFonts w:hint="eastAsia"/>
                <w:sz w:val="18"/>
                <w:szCs w:val="20"/>
                <w:lang w:eastAsia="zh-CN"/>
              </w:rPr>
              <w:t>；（</w:t>
            </w:r>
            <w:r>
              <w:rPr>
                <w:rFonts w:hint="eastAsia"/>
                <w:sz w:val="18"/>
                <w:szCs w:val="20"/>
                <w:lang w:val="en-US" w:eastAsia="zh-CN"/>
              </w:rPr>
              <w:t>4</w:t>
            </w:r>
            <w:r>
              <w:rPr>
                <w:rFonts w:hint="eastAsia"/>
                <w:sz w:val="18"/>
                <w:szCs w:val="20"/>
                <w:lang w:eastAsia="zh-CN"/>
              </w:rPr>
              <w:t>）及时传递新颁布的与本单位经营相关的财税法规政策，助力财务人员跟进会计制度与税收政策的更新动态；（</w:t>
            </w:r>
            <w:r>
              <w:rPr>
                <w:rFonts w:hint="eastAsia"/>
                <w:sz w:val="18"/>
                <w:szCs w:val="20"/>
                <w:lang w:val="en-US" w:eastAsia="zh-CN"/>
              </w:rPr>
              <w:t>5</w:t>
            </w:r>
            <w:r>
              <w:rPr>
                <w:rFonts w:hint="eastAsia"/>
                <w:sz w:val="18"/>
                <w:szCs w:val="20"/>
                <w:lang w:eastAsia="zh-CN"/>
              </w:rPr>
              <w:t xml:space="preserve">）为经营过程中涉及的税务核算、财务管理、政策应用等疑难问题提供专业咨询服务，辅助优化会计处理流程、降低涉税风险。                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sz w:val="18"/>
                <w:szCs w:val="20"/>
                <w:lang w:eastAsia="zh-CN"/>
              </w:rPr>
            </w:pPr>
            <w:r>
              <w:rPr>
                <w:rFonts w:hint="eastAsia"/>
                <w:sz w:val="18"/>
                <w:szCs w:val="20"/>
                <w:lang w:eastAsia="zh-CN"/>
              </w:rPr>
              <w:t>来宾供电局本部及来宾网区县级供电企业（</w:t>
            </w:r>
            <w:r>
              <w:rPr>
                <w:rFonts w:hint="eastAsia"/>
                <w:sz w:val="18"/>
                <w:szCs w:val="20"/>
                <w:lang w:val="en-US" w:eastAsia="zh-CN"/>
              </w:rPr>
              <w:t>含金秀</w:t>
            </w:r>
            <w:r>
              <w:rPr>
                <w:rFonts w:hint="eastAsia"/>
                <w:sz w:val="18"/>
                <w:szCs w:val="20"/>
                <w:lang w:eastAsia="zh-CN"/>
              </w:rPr>
              <w:t>）</w:t>
            </w:r>
          </w:p>
        </w:tc>
      </w:tr>
    </w:tbl>
    <w:p>
      <w:pPr>
        <w:pStyle w:val="4"/>
        <w:numPr>
          <w:ilvl w:val="0"/>
          <w:numId w:val="0"/>
        </w:numPr>
        <w:ind w:leftChars="0"/>
      </w:pPr>
      <w:bookmarkStart w:id="2" w:name="_Toc10189"/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3.应遵循的主要标准</w:t>
      </w:r>
      <w:bookmarkEnd w:id="2"/>
      <w:bookmarkStart w:id="3" w:name="_GoBack"/>
      <w:bookmarkEnd w:id="3"/>
    </w:p>
    <w:p>
      <w:pPr>
        <w:spacing w:line="360" w:lineRule="auto"/>
        <w:ind w:firstLine="560" w:firstLineChars="200"/>
      </w:pPr>
      <w:r>
        <w:rPr>
          <w:rFonts w:hint="eastAsia"/>
        </w:rPr>
        <w:t>本项目的工作应遵循以下标准和文件要求：</w:t>
      </w:r>
    </w:p>
    <w:tbl>
      <w:tblPr>
        <w:tblStyle w:val="15"/>
        <w:tblW w:w="9024" w:type="dxa"/>
        <w:tblInd w:w="-30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52"/>
        <w:gridCol w:w="577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2" w:type="dxa"/>
          </w:tcPr>
          <w:p>
            <w:pPr>
              <w:spacing w:line="360" w:lineRule="auto"/>
            </w:pPr>
            <w:r>
              <w:rPr>
                <w:rFonts w:hint="eastAsia"/>
              </w:rPr>
              <w:t>标准号或文号</w:t>
            </w:r>
          </w:p>
        </w:tc>
        <w:tc>
          <w:tcPr>
            <w:tcW w:w="5772" w:type="dxa"/>
          </w:tcPr>
          <w:p>
            <w:pPr>
              <w:spacing w:line="360" w:lineRule="auto"/>
            </w:pPr>
            <w:r>
              <w:rPr>
                <w:rFonts w:hint="eastAsia"/>
              </w:rPr>
              <w:t>标准名称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2" w:type="dxa"/>
            <w:vAlign w:val="top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Q/CSG2123001-2023</w:t>
            </w:r>
          </w:p>
        </w:tc>
        <w:tc>
          <w:tcPr>
            <w:tcW w:w="5772" w:type="dxa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sz w:val="24"/>
                <w:szCs w:val="24"/>
              </w:rPr>
              <w:t>中国南方电网有限责任公司会计核算管理细则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2" w:type="dxa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Q/CSG2133007-2023</w:t>
            </w:r>
          </w:p>
        </w:tc>
        <w:tc>
          <w:tcPr>
            <w:tcW w:w="5772" w:type="dxa"/>
          </w:tcPr>
          <w:p>
            <w:pPr>
              <w:spacing w:line="360" w:lineRule="auto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中国南方电网有限责任公司税务管理细则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3252" w:type="dxa"/>
            <w:vAlign w:val="top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Q/CSG-GXPG2123002-2021</w:t>
            </w:r>
          </w:p>
        </w:tc>
        <w:tc>
          <w:tcPr>
            <w:tcW w:w="5772" w:type="dxa"/>
            <w:vAlign w:val="top"/>
          </w:tcPr>
          <w:p>
            <w:pPr>
              <w:spacing w:line="36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广西电网有限责任公司税务管理细则</w:t>
            </w:r>
          </w:p>
        </w:tc>
      </w:tr>
    </w:tbl>
    <w:p>
      <w:pPr>
        <w:spacing w:line="360" w:lineRule="auto"/>
        <w:rPr>
          <w:rFonts w:hint="eastAsia" w:asciiTheme="minorEastAsia" w:hAnsiTheme="minorEastAsia" w:eastAsiaTheme="minorEastAsia" w:cstheme="minorEastAsia"/>
          <w:szCs w:val="28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5708765"/>
    </w:sdtPr>
    <w:sdtContent>
      <w:p>
        <w:pPr>
          <w:pStyle w:val="1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6</w:t>
        </w:r>
        <w:r>
          <w:fldChar w:fldCharType="end"/>
        </w:r>
      </w:p>
    </w:sdtContent>
  </w:sdt>
  <w:p>
    <w:pPr>
      <w:pStyle w:val="1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C8EB0F"/>
    <w:multiLevelType w:val="multilevel"/>
    <w:tmpl w:val="58C8EB0F"/>
    <w:lvl w:ilvl="0" w:tentative="0">
      <w:start w:val="1"/>
      <w:numFmt w:val="decimal"/>
      <w:pStyle w:val="19"/>
      <w:isLgl/>
      <w:lvlText w:val="%1.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isLgl/>
      <w:lvlText w:val="%1.%2."/>
      <w:lvlJc w:val="left"/>
      <w:pPr>
        <w:ind w:left="567" w:hanging="567"/>
      </w:pPr>
      <w:rPr>
        <w:rFonts w:hint="default" w:ascii="宋体" w:hAnsi="宋体" w:eastAsia="宋体" w:cs="宋体"/>
      </w:rPr>
    </w:lvl>
    <w:lvl w:ilvl="2" w:tentative="0">
      <w:start w:val="1"/>
      <w:numFmt w:val="decimal"/>
      <w:isLgl/>
      <w:lvlText w:val="%1.%2.%3."/>
      <w:lvlJc w:val="left"/>
      <w:pPr>
        <w:ind w:left="709" w:hanging="709"/>
      </w:pPr>
      <w:rPr>
        <w:rFonts w:hint="default" w:ascii="宋体" w:hAnsi="宋体" w:eastAsia="宋体" w:cs="宋体"/>
      </w:rPr>
    </w:lvl>
    <w:lvl w:ilvl="3" w:tentative="0">
      <w:start w:val="1"/>
      <w:numFmt w:val="decimal"/>
      <w:isLgl/>
      <w:lvlText w:val="%1.%2.%3.%4."/>
      <w:lvlJc w:val="left"/>
      <w:pPr>
        <w:ind w:left="850" w:hanging="850"/>
      </w:pPr>
      <w:rPr>
        <w:rFonts w:hint="default" w:ascii="宋体" w:hAnsi="宋体" w:eastAsia="宋体" w:cs="宋体"/>
      </w:rPr>
    </w:lvl>
    <w:lvl w:ilvl="4" w:tentative="0">
      <w:start w:val="1"/>
      <w:numFmt w:val="decimal"/>
      <w:isLgl/>
      <w:lvlText w:val="%1.%2.%3.%4.%5."/>
      <w:lvlJc w:val="left"/>
      <w:pPr>
        <w:ind w:left="991" w:hanging="991"/>
      </w:pPr>
      <w:rPr>
        <w:rFonts w:hint="default" w:ascii="宋体" w:hAnsi="宋体" w:eastAsia="宋体" w:cs="宋体"/>
      </w:rPr>
    </w:lvl>
    <w:lvl w:ilvl="5" w:tentative="0">
      <w:start w:val="1"/>
      <w:numFmt w:val="decimal"/>
      <w:isLgl/>
      <w:lvlText w:val="%1.%2.%3.%4.%5.%6."/>
      <w:lvlJc w:val="left"/>
      <w:pPr>
        <w:ind w:left="1134" w:hanging="1134"/>
      </w:pPr>
      <w:rPr>
        <w:rFonts w:hint="default" w:ascii="宋体" w:hAnsi="宋体" w:eastAsia="宋体" w:cs="宋体"/>
      </w:rPr>
    </w:lvl>
    <w:lvl w:ilvl="6" w:tentative="0">
      <w:start w:val="1"/>
      <w:numFmt w:val="decimal"/>
      <w:isLgl/>
      <w:lvlText w:val="%1.%2.%3.%4.%5.%6.%7."/>
      <w:lvlJc w:val="left"/>
      <w:pPr>
        <w:ind w:left="1275" w:hanging="1275"/>
      </w:pPr>
      <w:rPr>
        <w:rFonts w:hint="default" w:ascii="宋体" w:hAnsi="宋体" w:eastAsia="宋体" w:cs="宋体"/>
      </w:rPr>
    </w:lvl>
    <w:lvl w:ilvl="7" w:tentative="0">
      <w:start w:val="1"/>
      <w:numFmt w:val="decimal"/>
      <w:isLgl/>
      <w:lvlText w:val="%1.%2.%3.%4.%5.%6.%7.%8."/>
      <w:lvlJc w:val="left"/>
      <w:pPr>
        <w:ind w:left="1418" w:hanging="1418"/>
      </w:pPr>
      <w:rPr>
        <w:rFonts w:hint="default" w:ascii="宋体" w:hAnsi="宋体" w:eastAsia="宋体" w:cs="宋体"/>
      </w:rPr>
    </w:lvl>
    <w:lvl w:ilvl="8" w:tentative="0">
      <w:start w:val="1"/>
      <w:numFmt w:val="decimal"/>
      <w:isLgl/>
      <w:lvlText w:val="%1.%2.%3.%4.%5.%6.%7.%8.%9."/>
      <w:lvlJc w:val="left"/>
      <w:pPr>
        <w:ind w:left="1558" w:hanging="1558"/>
      </w:pPr>
      <w:rPr>
        <w:rFonts w:hint="default" w:ascii="宋体" w:hAnsi="宋体" w:eastAsia="宋体" w:cs="宋体"/>
      </w:rPr>
    </w:lvl>
  </w:abstractNum>
  <w:abstractNum w:abstractNumId="1">
    <w:nsid w:val="58C8EB6B"/>
    <w:multiLevelType w:val="multilevel"/>
    <w:tmpl w:val="58C8EB6B"/>
    <w:lvl w:ilvl="0" w:tentative="0">
      <w:start w:val="1"/>
      <w:numFmt w:val="decimal"/>
      <w:pStyle w:val="4"/>
      <w:isLgl/>
      <w:lvlText w:val="%1.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isLgl/>
      <w:lvlText w:val="%1.%2."/>
      <w:lvlJc w:val="left"/>
      <w:pPr>
        <w:ind w:left="567" w:hanging="567"/>
      </w:pPr>
      <w:rPr>
        <w:rFonts w:hint="default" w:ascii="宋体" w:hAnsi="宋体" w:eastAsia="宋体" w:cs="宋体"/>
      </w:rPr>
    </w:lvl>
    <w:lvl w:ilvl="2" w:tentative="0">
      <w:start w:val="1"/>
      <w:numFmt w:val="decimal"/>
      <w:isLgl/>
      <w:lvlText w:val="%1.%2.%3."/>
      <w:lvlJc w:val="left"/>
      <w:pPr>
        <w:ind w:left="709" w:hanging="709"/>
      </w:pPr>
      <w:rPr>
        <w:rFonts w:hint="default" w:ascii="宋体" w:hAnsi="宋体" w:eastAsia="宋体" w:cs="宋体"/>
      </w:rPr>
    </w:lvl>
    <w:lvl w:ilvl="3" w:tentative="0">
      <w:start w:val="1"/>
      <w:numFmt w:val="decimal"/>
      <w:isLgl/>
      <w:lvlText w:val="%1.%2.%3.%4."/>
      <w:lvlJc w:val="left"/>
      <w:pPr>
        <w:ind w:left="850" w:hanging="850"/>
      </w:pPr>
      <w:rPr>
        <w:rFonts w:hint="default" w:ascii="宋体" w:hAnsi="宋体" w:eastAsia="宋体" w:cs="宋体"/>
      </w:rPr>
    </w:lvl>
    <w:lvl w:ilvl="4" w:tentative="0">
      <w:start w:val="1"/>
      <w:numFmt w:val="decimal"/>
      <w:isLgl/>
      <w:lvlText w:val="%1.%2.%3.%4.%5."/>
      <w:lvlJc w:val="left"/>
      <w:pPr>
        <w:ind w:left="991" w:hanging="991"/>
      </w:pPr>
      <w:rPr>
        <w:rFonts w:hint="default" w:ascii="宋体" w:hAnsi="宋体" w:eastAsia="宋体" w:cs="宋体"/>
      </w:rPr>
    </w:lvl>
    <w:lvl w:ilvl="5" w:tentative="0">
      <w:start w:val="1"/>
      <w:numFmt w:val="decimal"/>
      <w:isLgl/>
      <w:lvlText w:val="%1.%2.%3.%4.%5.%6."/>
      <w:lvlJc w:val="left"/>
      <w:pPr>
        <w:ind w:left="1134" w:hanging="1134"/>
      </w:pPr>
      <w:rPr>
        <w:rFonts w:hint="default" w:ascii="宋体" w:hAnsi="宋体" w:eastAsia="宋体" w:cs="宋体"/>
      </w:rPr>
    </w:lvl>
    <w:lvl w:ilvl="6" w:tentative="0">
      <w:start w:val="1"/>
      <w:numFmt w:val="decimal"/>
      <w:isLgl/>
      <w:lvlText w:val="%1.%2.%3.%4.%5.%6.%7."/>
      <w:lvlJc w:val="left"/>
      <w:pPr>
        <w:ind w:left="1275" w:hanging="1275"/>
      </w:pPr>
      <w:rPr>
        <w:rFonts w:hint="default" w:ascii="宋体" w:hAnsi="宋体" w:eastAsia="宋体" w:cs="宋体"/>
      </w:rPr>
    </w:lvl>
    <w:lvl w:ilvl="7" w:tentative="0">
      <w:start w:val="1"/>
      <w:numFmt w:val="decimal"/>
      <w:isLgl/>
      <w:lvlText w:val="%1.%2.%3.%4.%5.%6.%7.%8."/>
      <w:lvlJc w:val="left"/>
      <w:pPr>
        <w:ind w:left="1418" w:hanging="1418"/>
      </w:pPr>
      <w:rPr>
        <w:rFonts w:hint="default" w:ascii="宋体" w:hAnsi="宋体" w:eastAsia="宋体" w:cs="宋体"/>
      </w:rPr>
    </w:lvl>
    <w:lvl w:ilvl="8" w:tentative="0">
      <w:start w:val="1"/>
      <w:numFmt w:val="decimal"/>
      <w:isLgl/>
      <w:lvlText w:val="%1.%2.%3.%4.%5.%6.%7.%8.%9."/>
      <w:lvlJc w:val="left"/>
      <w:pPr>
        <w:ind w:left="1558" w:hanging="1558"/>
      </w:pPr>
      <w:rPr>
        <w:rFonts w:hint="default" w:ascii="宋体" w:hAnsi="宋体" w:eastAsia="宋体" w:cs="宋体"/>
      </w:rPr>
    </w:lvl>
  </w:abstractNum>
  <w:abstractNum w:abstractNumId="2">
    <w:nsid w:val="58C8F4D2"/>
    <w:multiLevelType w:val="multilevel"/>
    <w:tmpl w:val="58C8F4D2"/>
    <w:lvl w:ilvl="0" w:tentative="0">
      <w:start w:val="1"/>
      <w:numFmt w:val="decimal"/>
      <w:pStyle w:val="5"/>
      <w:isLgl/>
      <w:lvlText w:val="%1.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lvlRestart w:val="0"/>
      <w:isLgl/>
      <w:lvlText w:val="%1.%2."/>
      <w:lvlJc w:val="left"/>
      <w:pPr>
        <w:ind w:left="567" w:hanging="567"/>
      </w:pPr>
      <w:rPr>
        <w:rFonts w:hint="default" w:ascii="宋体" w:hAnsi="宋体" w:eastAsia="宋体" w:cs="宋体"/>
      </w:rPr>
    </w:lvl>
    <w:lvl w:ilvl="2" w:tentative="0">
      <w:start w:val="1"/>
      <w:numFmt w:val="decimal"/>
      <w:isLgl/>
      <w:lvlText w:val="%1.%2.%3."/>
      <w:lvlJc w:val="left"/>
      <w:pPr>
        <w:ind w:left="709" w:hanging="709"/>
      </w:pPr>
      <w:rPr>
        <w:rFonts w:hint="default" w:ascii="宋体" w:hAnsi="宋体" w:eastAsia="宋体" w:cs="宋体"/>
      </w:rPr>
    </w:lvl>
    <w:lvl w:ilvl="3" w:tentative="0">
      <w:start w:val="1"/>
      <w:numFmt w:val="decimal"/>
      <w:isLgl/>
      <w:lvlText w:val="%1.%2.%3.%4."/>
      <w:lvlJc w:val="left"/>
      <w:pPr>
        <w:ind w:left="850" w:hanging="850"/>
      </w:pPr>
      <w:rPr>
        <w:rFonts w:hint="default" w:ascii="宋体" w:hAnsi="宋体" w:eastAsia="宋体" w:cs="宋体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916"/>
    <w:rsid w:val="00036AA2"/>
    <w:rsid w:val="00036EF0"/>
    <w:rsid w:val="00062975"/>
    <w:rsid w:val="0008106B"/>
    <w:rsid w:val="000C7FB4"/>
    <w:rsid w:val="000D4AAA"/>
    <w:rsid w:val="000F2AF6"/>
    <w:rsid w:val="00132098"/>
    <w:rsid w:val="0016020C"/>
    <w:rsid w:val="00193969"/>
    <w:rsid w:val="001C3EA0"/>
    <w:rsid w:val="001C5F16"/>
    <w:rsid w:val="001F45FE"/>
    <w:rsid w:val="002074AA"/>
    <w:rsid w:val="00207CE9"/>
    <w:rsid w:val="00223712"/>
    <w:rsid w:val="00223C24"/>
    <w:rsid w:val="002345A8"/>
    <w:rsid w:val="00241D2D"/>
    <w:rsid w:val="00251E1E"/>
    <w:rsid w:val="00275B02"/>
    <w:rsid w:val="0028641F"/>
    <w:rsid w:val="003178C0"/>
    <w:rsid w:val="003317B8"/>
    <w:rsid w:val="00340730"/>
    <w:rsid w:val="003651C8"/>
    <w:rsid w:val="0039559C"/>
    <w:rsid w:val="003A531C"/>
    <w:rsid w:val="003F675B"/>
    <w:rsid w:val="004838F9"/>
    <w:rsid w:val="004B69F1"/>
    <w:rsid w:val="004C1C74"/>
    <w:rsid w:val="004D4501"/>
    <w:rsid w:val="005147AD"/>
    <w:rsid w:val="00537C8C"/>
    <w:rsid w:val="005418BC"/>
    <w:rsid w:val="00543647"/>
    <w:rsid w:val="005472FA"/>
    <w:rsid w:val="0057067A"/>
    <w:rsid w:val="00591468"/>
    <w:rsid w:val="005B0590"/>
    <w:rsid w:val="005F617A"/>
    <w:rsid w:val="006130DD"/>
    <w:rsid w:val="00645CE3"/>
    <w:rsid w:val="00670B39"/>
    <w:rsid w:val="007038AA"/>
    <w:rsid w:val="007101E0"/>
    <w:rsid w:val="00723798"/>
    <w:rsid w:val="00780466"/>
    <w:rsid w:val="00790C3D"/>
    <w:rsid w:val="00801E49"/>
    <w:rsid w:val="00834514"/>
    <w:rsid w:val="00870BC0"/>
    <w:rsid w:val="00896916"/>
    <w:rsid w:val="00902FE1"/>
    <w:rsid w:val="00915025"/>
    <w:rsid w:val="009307F7"/>
    <w:rsid w:val="00991D1C"/>
    <w:rsid w:val="00996C69"/>
    <w:rsid w:val="009D2395"/>
    <w:rsid w:val="009E360B"/>
    <w:rsid w:val="00A70BA2"/>
    <w:rsid w:val="00AA5091"/>
    <w:rsid w:val="00AB34B8"/>
    <w:rsid w:val="00AE09D6"/>
    <w:rsid w:val="00AE7407"/>
    <w:rsid w:val="00AF4A1B"/>
    <w:rsid w:val="00B42E2A"/>
    <w:rsid w:val="00BD25D1"/>
    <w:rsid w:val="00BD4E14"/>
    <w:rsid w:val="00BF0755"/>
    <w:rsid w:val="00C23ED7"/>
    <w:rsid w:val="00C27084"/>
    <w:rsid w:val="00C35ADE"/>
    <w:rsid w:val="00C442DF"/>
    <w:rsid w:val="00C97025"/>
    <w:rsid w:val="00D22001"/>
    <w:rsid w:val="00D31332"/>
    <w:rsid w:val="00D35446"/>
    <w:rsid w:val="00D64E8E"/>
    <w:rsid w:val="00DA2B7C"/>
    <w:rsid w:val="00DC7E10"/>
    <w:rsid w:val="00E02AE4"/>
    <w:rsid w:val="00E266BA"/>
    <w:rsid w:val="00E46B87"/>
    <w:rsid w:val="00E626AB"/>
    <w:rsid w:val="00E644AD"/>
    <w:rsid w:val="00E82A4F"/>
    <w:rsid w:val="00E834B5"/>
    <w:rsid w:val="00E95431"/>
    <w:rsid w:val="00EB510D"/>
    <w:rsid w:val="00EC2915"/>
    <w:rsid w:val="00ED7ED6"/>
    <w:rsid w:val="00EE3105"/>
    <w:rsid w:val="00F12412"/>
    <w:rsid w:val="00F45B88"/>
    <w:rsid w:val="00F535F7"/>
    <w:rsid w:val="00F70121"/>
    <w:rsid w:val="00F7647C"/>
    <w:rsid w:val="00FA3FB2"/>
    <w:rsid w:val="00FB56E6"/>
    <w:rsid w:val="00FC16F7"/>
    <w:rsid w:val="00FF2A91"/>
    <w:rsid w:val="01972BBD"/>
    <w:rsid w:val="025970CB"/>
    <w:rsid w:val="027730C5"/>
    <w:rsid w:val="02B0503D"/>
    <w:rsid w:val="03EF4805"/>
    <w:rsid w:val="046A4743"/>
    <w:rsid w:val="04876861"/>
    <w:rsid w:val="04D631F9"/>
    <w:rsid w:val="04DB4DAD"/>
    <w:rsid w:val="05CD501B"/>
    <w:rsid w:val="06212410"/>
    <w:rsid w:val="093E443C"/>
    <w:rsid w:val="09A7198F"/>
    <w:rsid w:val="09D566E7"/>
    <w:rsid w:val="0A985921"/>
    <w:rsid w:val="0B543F39"/>
    <w:rsid w:val="0C7C4F41"/>
    <w:rsid w:val="0E286660"/>
    <w:rsid w:val="0EA1630C"/>
    <w:rsid w:val="0EFB17F7"/>
    <w:rsid w:val="0F912D29"/>
    <w:rsid w:val="11642D82"/>
    <w:rsid w:val="117678AA"/>
    <w:rsid w:val="12760F0B"/>
    <w:rsid w:val="12777621"/>
    <w:rsid w:val="1285105D"/>
    <w:rsid w:val="13021197"/>
    <w:rsid w:val="13266FB6"/>
    <w:rsid w:val="13C639F9"/>
    <w:rsid w:val="14B84DBA"/>
    <w:rsid w:val="172B64C1"/>
    <w:rsid w:val="174F596C"/>
    <w:rsid w:val="176B4E55"/>
    <w:rsid w:val="176F4C2B"/>
    <w:rsid w:val="18337C0B"/>
    <w:rsid w:val="1986143A"/>
    <w:rsid w:val="1A5F15C2"/>
    <w:rsid w:val="1BC047BD"/>
    <w:rsid w:val="1C064C44"/>
    <w:rsid w:val="1C4F30FD"/>
    <w:rsid w:val="1D216B64"/>
    <w:rsid w:val="1E0444B0"/>
    <w:rsid w:val="1EA76113"/>
    <w:rsid w:val="1EC2786D"/>
    <w:rsid w:val="1F236189"/>
    <w:rsid w:val="1F5E0E06"/>
    <w:rsid w:val="1FC65865"/>
    <w:rsid w:val="202E01E5"/>
    <w:rsid w:val="20B27920"/>
    <w:rsid w:val="20FE6BA5"/>
    <w:rsid w:val="21586DCF"/>
    <w:rsid w:val="229A4E7E"/>
    <w:rsid w:val="23627875"/>
    <w:rsid w:val="239462B5"/>
    <w:rsid w:val="23A30F7F"/>
    <w:rsid w:val="242118C9"/>
    <w:rsid w:val="25AF419D"/>
    <w:rsid w:val="26021B2B"/>
    <w:rsid w:val="2752798C"/>
    <w:rsid w:val="27F76B82"/>
    <w:rsid w:val="2890326D"/>
    <w:rsid w:val="28915167"/>
    <w:rsid w:val="2AC95947"/>
    <w:rsid w:val="2BB117BE"/>
    <w:rsid w:val="2BEF51C4"/>
    <w:rsid w:val="2C2D46F5"/>
    <w:rsid w:val="2C8401F5"/>
    <w:rsid w:val="2D51112A"/>
    <w:rsid w:val="2D9E3AB5"/>
    <w:rsid w:val="2E997E10"/>
    <w:rsid w:val="2EF03473"/>
    <w:rsid w:val="2EF058B2"/>
    <w:rsid w:val="2F586FBC"/>
    <w:rsid w:val="2F853C07"/>
    <w:rsid w:val="2F89043A"/>
    <w:rsid w:val="2FB576FC"/>
    <w:rsid w:val="30A42568"/>
    <w:rsid w:val="30F37019"/>
    <w:rsid w:val="317D7CEC"/>
    <w:rsid w:val="31895B7F"/>
    <w:rsid w:val="31971655"/>
    <w:rsid w:val="32B0327D"/>
    <w:rsid w:val="339B4519"/>
    <w:rsid w:val="33DA616F"/>
    <w:rsid w:val="33E06519"/>
    <w:rsid w:val="340C4FDC"/>
    <w:rsid w:val="35BB5CCB"/>
    <w:rsid w:val="364319AA"/>
    <w:rsid w:val="36710346"/>
    <w:rsid w:val="369B0BCC"/>
    <w:rsid w:val="3739088C"/>
    <w:rsid w:val="39F419FC"/>
    <w:rsid w:val="3A4E4225"/>
    <w:rsid w:val="3AAA1285"/>
    <w:rsid w:val="3ACF3DD6"/>
    <w:rsid w:val="3AFC15C3"/>
    <w:rsid w:val="3B391BDE"/>
    <w:rsid w:val="3B7F4443"/>
    <w:rsid w:val="3D0617D2"/>
    <w:rsid w:val="3D1B638C"/>
    <w:rsid w:val="3D1D0724"/>
    <w:rsid w:val="3F09299B"/>
    <w:rsid w:val="3F420C51"/>
    <w:rsid w:val="3F4E3033"/>
    <w:rsid w:val="3F5B4F2D"/>
    <w:rsid w:val="4105515C"/>
    <w:rsid w:val="41564979"/>
    <w:rsid w:val="41B06776"/>
    <w:rsid w:val="423457AA"/>
    <w:rsid w:val="42E2774F"/>
    <w:rsid w:val="4327385A"/>
    <w:rsid w:val="43796549"/>
    <w:rsid w:val="43864E54"/>
    <w:rsid w:val="44003C4F"/>
    <w:rsid w:val="440D454C"/>
    <w:rsid w:val="44337FB2"/>
    <w:rsid w:val="45742880"/>
    <w:rsid w:val="45D55591"/>
    <w:rsid w:val="46DA76AF"/>
    <w:rsid w:val="46E57A65"/>
    <w:rsid w:val="48056F7C"/>
    <w:rsid w:val="48323A8D"/>
    <w:rsid w:val="491B49D6"/>
    <w:rsid w:val="495030C0"/>
    <w:rsid w:val="4A3E51A2"/>
    <w:rsid w:val="4B442C5D"/>
    <w:rsid w:val="4B466C62"/>
    <w:rsid w:val="4C5358BD"/>
    <w:rsid w:val="4CF548B3"/>
    <w:rsid w:val="4D1564B7"/>
    <w:rsid w:val="4D7C5756"/>
    <w:rsid w:val="4E714D9B"/>
    <w:rsid w:val="4EAC3639"/>
    <w:rsid w:val="4F7954C4"/>
    <w:rsid w:val="512E5123"/>
    <w:rsid w:val="51D82708"/>
    <w:rsid w:val="52496220"/>
    <w:rsid w:val="53E947B9"/>
    <w:rsid w:val="54975ABC"/>
    <w:rsid w:val="54AE1429"/>
    <w:rsid w:val="55095945"/>
    <w:rsid w:val="557C5132"/>
    <w:rsid w:val="568B45DA"/>
    <w:rsid w:val="56B90CEF"/>
    <w:rsid w:val="58BB5CD0"/>
    <w:rsid w:val="58C61892"/>
    <w:rsid w:val="59150D21"/>
    <w:rsid w:val="59C32F4F"/>
    <w:rsid w:val="5A5012E0"/>
    <w:rsid w:val="5A5F46C3"/>
    <w:rsid w:val="5A7D36AA"/>
    <w:rsid w:val="5B4618B8"/>
    <w:rsid w:val="5B6474BE"/>
    <w:rsid w:val="5B9E3935"/>
    <w:rsid w:val="5BDC1D5E"/>
    <w:rsid w:val="5C473D6F"/>
    <w:rsid w:val="5CAF36B7"/>
    <w:rsid w:val="5D1209A0"/>
    <w:rsid w:val="5D56481A"/>
    <w:rsid w:val="5D711A8F"/>
    <w:rsid w:val="5EDB07BB"/>
    <w:rsid w:val="5F250FEC"/>
    <w:rsid w:val="5F4F25AD"/>
    <w:rsid w:val="5F5B4561"/>
    <w:rsid w:val="60817F08"/>
    <w:rsid w:val="609671BC"/>
    <w:rsid w:val="6147393F"/>
    <w:rsid w:val="624C347C"/>
    <w:rsid w:val="63423393"/>
    <w:rsid w:val="634758A5"/>
    <w:rsid w:val="63A73AA6"/>
    <w:rsid w:val="64AA6E14"/>
    <w:rsid w:val="64C02C86"/>
    <w:rsid w:val="65736F91"/>
    <w:rsid w:val="66810C73"/>
    <w:rsid w:val="680144CC"/>
    <w:rsid w:val="68044AB2"/>
    <w:rsid w:val="68960E78"/>
    <w:rsid w:val="6A630C07"/>
    <w:rsid w:val="6B1446BA"/>
    <w:rsid w:val="6B5349C4"/>
    <w:rsid w:val="6BB73EB7"/>
    <w:rsid w:val="6BBB5F84"/>
    <w:rsid w:val="6C1226B8"/>
    <w:rsid w:val="6C1A7FA6"/>
    <w:rsid w:val="6CA9597C"/>
    <w:rsid w:val="6D062C07"/>
    <w:rsid w:val="6D4B2BBE"/>
    <w:rsid w:val="6EF44A6F"/>
    <w:rsid w:val="6F0F1D8F"/>
    <w:rsid w:val="6F96026A"/>
    <w:rsid w:val="701439B4"/>
    <w:rsid w:val="70D82698"/>
    <w:rsid w:val="70F87A97"/>
    <w:rsid w:val="71451629"/>
    <w:rsid w:val="73D86DD7"/>
    <w:rsid w:val="742E40C6"/>
    <w:rsid w:val="74DB66BF"/>
    <w:rsid w:val="75C11513"/>
    <w:rsid w:val="760519B0"/>
    <w:rsid w:val="7710113F"/>
    <w:rsid w:val="77ED4A77"/>
    <w:rsid w:val="77F20AA1"/>
    <w:rsid w:val="78AA7FF0"/>
    <w:rsid w:val="792C6B58"/>
    <w:rsid w:val="79420EEC"/>
    <w:rsid w:val="79AA0E9F"/>
    <w:rsid w:val="7A197CCC"/>
    <w:rsid w:val="7A2F69E2"/>
    <w:rsid w:val="7AD658E6"/>
    <w:rsid w:val="7AE45793"/>
    <w:rsid w:val="7B197962"/>
    <w:rsid w:val="7B1C26CB"/>
    <w:rsid w:val="7B5F1EB5"/>
    <w:rsid w:val="7D2A6E48"/>
    <w:rsid w:val="7F0F2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line="360" w:lineRule="auto"/>
      <w:ind w:left="0" w:firstLine="0"/>
      <w:outlineLvl w:val="0"/>
    </w:pPr>
    <w:rPr>
      <w:b/>
      <w:kern w:val="44"/>
      <w:sz w:val="32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numPr>
        <w:ilvl w:val="0"/>
        <w:numId w:val="2"/>
      </w:numPr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6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7">
    <w:name w:val="heading 9"/>
    <w:basedOn w:val="1"/>
    <w:next w:val="1"/>
    <w:unhideWhenUsed/>
    <w:qFormat/>
    <w:uiPriority w:val="0"/>
    <w:pPr>
      <w:keepNext/>
      <w:keepLines/>
      <w:spacing w:before="240" w:after="64" w:line="317" w:lineRule="auto"/>
      <w:outlineLvl w:val="8"/>
    </w:pPr>
    <w:rPr>
      <w:rFonts w:ascii="Arial" w:hAnsi="Arial" w:eastAsia="黑体"/>
      <w:sz w:val="21"/>
    </w:rPr>
  </w:style>
  <w:style w:type="character" w:default="1" w:styleId="16">
    <w:name w:val="Default Paragraph Font"/>
    <w:unhideWhenUsed/>
    <w:qFormat/>
    <w:uiPriority w:val="1"/>
  </w:style>
  <w:style w:type="table" w:default="1" w:styleId="1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宋体" w:hAnsi="宋体"/>
      <w:szCs w:val="28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">
    <w:name w:val="Normal Indent"/>
    <w:basedOn w:val="1"/>
    <w:qFormat/>
    <w:uiPriority w:val="0"/>
    <w:pPr>
      <w:ind w:firstLine="420"/>
    </w:pPr>
    <w:rPr>
      <w:rFonts w:ascii="Arial" w:hAnsi="Arial"/>
      <w:kern w:val="0"/>
      <w:szCs w:val="20"/>
    </w:rPr>
  </w:style>
  <w:style w:type="paragraph" w:styleId="9">
    <w:name w:val="toc 3"/>
    <w:basedOn w:val="1"/>
    <w:next w:val="1"/>
    <w:qFormat/>
    <w:uiPriority w:val="0"/>
    <w:pPr>
      <w:ind w:left="840" w:leftChars="400"/>
    </w:pPr>
  </w:style>
  <w:style w:type="paragraph" w:styleId="10">
    <w:name w:val="footer"/>
    <w:basedOn w:val="1"/>
    <w:link w:val="2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qFormat/>
    <w:uiPriority w:val="39"/>
  </w:style>
  <w:style w:type="paragraph" w:styleId="13">
    <w:name w:val="toc 2"/>
    <w:basedOn w:val="1"/>
    <w:next w:val="1"/>
    <w:qFormat/>
    <w:uiPriority w:val="0"/>
    <w:pPr>
      <w:ind w:left="420" w:leftChars="200"/>
    </w:p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7">
    <w:name w:val="Emphasis"/>
    <w:basedOn w:val="16"/>
    <w:qFormat/>
    <w:uiPriority w:val="0"/>
    <w:rPr>
      <w:i/>
    </w:rPr>
  </w:style>
  <w:style w:type="character" w:styleId="18">
    <w:name w:val="Hyperlink"/>
    <w:basedOn w:val="1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19">
    <w:name w:val="样式1"/>
    <w:basedOn w:val="4"/>
    <w:qFormat/>
    <w:uiPriority w:val="0"/>
    <w:pPr>
      <w:numPr>
        <w:ilvl w:val="0"/>
        <w:numId w:val="3"/>
      </w:numPr>
    </w:pPr>
  </w:style>
  <w:style w:type="paragraph" w:customStyle="1" w:styleId="20">
    <w:name w:val="默认段落字体 Para"/>
    <w:basedOn w:val="1"/>
    <w:qFormat/>
    <w:uiPriority w:val="0"/>
    <w:rPr>
      <w:rFonts w:ascii="Tahoma" w:hAnsi="Tahoma"/>
      <w:szCs w:val="20"/>
    </w:rPr>
  </w:style>
  <w:style w:type="paragraph" w:customStyle="1" w:styleId="21">
    <w:name w:val="列出段落1"/>
    <w:basedOn w:val="1"/>
    <w:qFormat/>
    <w:uiPriority w:val="34"/>
    <w:pPr>
      <w:ind w:firstLine="420" w:firstLineChars="200"/>
    </w:pPr>
    <w:rPr>
      <w:rFonts w:ascii="Calibri" w:hAnsi="Calibri"/>
      <w:sz w:val="21"/>
    </w:rPr>
  </w:style>
  <w:style w:type="paragraph" w:customStyle="1" w:styleId="22">
    <w:name w:val="列出段落2"/>
    <w:basedOn w:val="1"/>
    <w:qFormat/>
    <w:uiPriority w:val="99"/>
    <w:pPr>
      <w:ind w:firstLine="420" w:firstLineChars="200"/>
    </w:pPr>
  </w:style>
  <w:style w:type="paragraph" w:customStyle="1" w:styleId="23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24">
    <w:name w:val="页脚 Char"/>
    <w:basedOn w:val="16"/>
    <w:link w:val="10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948BAB9-3B53-48C2-B6E9-E63EC9B4CFC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460</Words>
  <Characters>2626</Characters>
  <Lines>21</Lines>
  <Paragraphs>6</Paragraphs>
  <TotalTime>1</TotalTime>
  <ScaleCrop>false</ScaleCrop>
  <LinksUpToDate>false</LinksUpToDate>
  <CharactersWithSpaces>3080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2017-03-18T15:03:00Z</dcterms:created>
  <dc:creator>Administrator</dc:creator>
  <cp:lastModifiedBy>廖伟玲</cp:lastModifiedBy>
  <dcterms:modified xsi:type="dcterms:W3CDTF">2025-11-19T00:30:23Z</dcterms:modified>
  <cp:revision>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A9BFAF4A6029471082FBC994B1145ADA</vt:lpwstr>
  </property>
</Properties>
</file>