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36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-1247775</wp:posOffset>
            </wp:positionH>
            <wp:positionV relativeFrom="paragraph">
              <wp:posOffset>-1057275</wp:posOffset>
            </wp:positionV>
            <wp:extent cx="7772400" cy="2381250"/>
            <wp:effectExtent l="0" t="0" r="0" b="0"/>
            <wp:wrapNone/>
            <wp:docPr id="2" name="图片 6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 descr="模板-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宋体" w:hAnsi="宋体"/>
          <w:b/>
          <w:sz w:val="36"/>
          <w:szCs w:val="36"/>
        </w:rPr>
      </w:pPr>
    </w:p>
    <w:p>
      <w:pPr>
        <w:jc w:val="center"/>
        <w:rPr>
          <w:rFonts w:ascii="宋体" w:hAnsi="宋体"/>
          <w:b/>
          <w:sz w:val="36"/>
          <w:szCs w:val="36"/>
        </w:rPr>
      </w:pPr>
    </w:p>
    <w:p>
      <w:pPr>
        <w:jc w:val="center"/>
        <w:rPr>
          <w:rFonts w:ascii="宋体" w:hAnsi="宋体"/>
          <w:b/>
          <w:sz w:val="44"/>
          <w:szCs w:val="44"/>
        </w:rPr>
      </w:pPr>
    </w:p>
    <w:p>
      <w:pPr>
        <w:jc w:val="center"/>
        <w:rPr>
          <w:rFonts w:ascii="宋体" w:hAnsi="宋体"/>
          <w:b/>
          <w:sz w:val="44"/>
          <w:szCs w:val="44"/>
        </w:rPr>
      </w:pPr>
    </w:p>
    <w:p>
      <w:pPr>
        <w:jc w:val="center"/>
        <w:rPr>
          <w:rFonts w:ascii="宋体" w:hAnsi="宋体"/>
          <w:b/>
          <w:sz w:val="44"/>
          <w:szCs w:val="44"/>
        </w:rPr>
      </w:pPr>
    </w:p>
    <w:p>
      <w:pPr>
        <w:jc w:val="center"/>
        <w:rPr>
          <w:rFonts w:hint="eastAsia" w:ascii="宋体" w:hAnsi="宋体"/>
          <w:b/>
          <w:sz w:val="44"/>
          <w:szCs w:val="44"/>
          <w:lang w:eastAsia="zh-CN"/>
        </w:rPr>
      </w:pPr>
      <w:r>
        <w:rPr>
          <w:rFonts w:hint="eastAsia" w:ascii="宋体" w:hAnsi="宋体"/>
          <w:b/>
          <w:sz w:val="44"/>
          <w:szCs w:val="44"/>
          <w:lang w:eastAsia="zh-CN"/>
        </w:rPr>
        <w:t>202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6</w:t>
      </w:r>
      <w:r>
        <w:rPr>
          <w:rFonts w:hint="eastAsia" w:ascii="宋体" w:hAnsi="宋体"/>
          <w:b/>
          <w:sz w:val="44"/>
          <w:szCs w:val="44"/>
          <w:lang w:eastAsia="zh-CN"/>
        </w:rPr>
        <w:t>年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-2027年</w:t>
      </w:r>
      <w:r>
        <w:rPr>
          <w:rFonts w:hint="eastAsia" w:ascii="宋体" w:hAnsi="宋体"/>
          <w:b/>
          <w:sz w:val="44"/>
          <w:szCs w:val="44"/>
          <w:lang w:eastAsia="zh-CN"/>
        </w:rPr>
        <w:t>来宾供电局会计基础服务</w:t>
      </w:r>
    </w:p>
    <w:p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  <w:lang w:eastAsia="zh-CN"/>
        </w:rPr>
        <w:t>项目技术规范书</w:t>
      </w: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广西电网</w:t>
      </w:r>
      <w:r>
        <w:rPr>
          <w:rFonts w:ascii="宋体" w:hAnsi="宋体"/>
          <w:b/>
          <w:sz w:val="30"/>
          <w:szCs w:val="30"/>
        </w:rPr>
        <w:t>有限责任公司</w:t>
      </w:r>
      <w:r>
        <w:rPr>
          <w:rFonts w:hint="eastAsia" w:ascii="宋体" w:hAnsi="宋体"/>
          <w:b/>
          <w:sz w:val="30"/>
          <w:szCs w:val="30"/>
          <w:lang w:eastAsia="zh-CN"/>
        </w:rPr>
        <w:t>来宾</w:t>
      </w:r>
      <w:r>
        <w:rPr>
          <w:rFonts w:hint="eastAsia" w:ascii="宋体" w:hAnsi="宋体"/>
          <w:b/>
          <w:sz w:val="30"/>
          <w:szCs w:val="30"/>
        </w:rPr>
        <w:t>供电局</w:t>
      </w: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二〇</w:t>
      </w:r>
      <w:r>
        <w:rPr>
          <w:rFonts w:hint="eastAsia" w:ascii="宋体" w:hAnsi="宋体"/>
          <w:b/>
          <w:sz w:val="30"/>
          <w:szCs w:val="30"/>
          <w:lang w:eastAsia="zh-CN"/>
        </w:rPr>
        <w:t>二</w:t>
      </w:r>
      <w:r>
        <w:rPr>
          <w:rFonts w:hint="eastAsia" w:ascii="宋体" w:hAnsi="宋体"/>
          <w:b/>
          <w:sz w:val="30"/>
          <w:szCs w:val="30"/>
          <w:lang w:val="en-US" w:eastAsia="zh-CN"/>
        </w:rPr>
        <w:t>五</w:t>
      </w:r>
      <w:r>
        <w:rPr>
          <w:rFonts w:hint="eastAsia" w:ascii="宋体" w:hAnsi="宋体"/>
          <w:b/>
          <w:sz w:val="30"/>
          <w:szCs w:val="30"/>
        </w:rPr>
        <w:t>年</w:t>
      </w:r>
      <w:r>
        <w:rPr>
          <w:rFonts w:hint="eastAsia" w:ascii="宋体" w:hAnsi="宋体"/>
          <w:b/>
          <w:sz w:val="30"/>
          <w:szCs w:val="30"/>
          <w:lang w:eastAsia="zh-CN"/>
        </w:rPr>
        <w:t>九</w:t>
      </w:r>
      <w:r>
        <w:rPr>
          <w:rFonts w:hint="eastAsia" w:ascii="宋体" w:hAnsi="宋体"/>
          <w:b/>
          <w:sz w:val="30"/>
          <w:szCs w:val="30"/>
        </w:rPr>
        <w:t>月</w:t>
      </w: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目录</w:t>
      </w:r>
    </w:p>
    <w:p>
      <w:pPr>
        <w:pStyle w:val="12"/>
        <w:tabs>
          <w:tab w:val="right" w:leader="dot" w:pos="8306"/>
        </w:tabs>
      </w:pPr>
      <w:r>
        <w:rPr>
          <w:rFonts w:hint="eastAsia" w:ascii="宋体" w:hAnsi="宋体"/>
          <w:b/>
          <w:bCs/>
          <w:szCs w:val="28"/>
        </w:rPr>
        <w:fldChar w:fldCharType="begin"/>
      </w:r>
      <w:r>
        <w:rPr>
          <w:rFonts w:hint="eastAsia" w:ascii="宋体" w:hAnsi="宋体"/>
          <w:b/>
          <w:bCs/>
          <w:szCs w:val="28"/>
        </w:rPr>
        <w:instrText xml:space="preserve">TOC \o "1-3" \h \u </w:instrText>
      </w:r>
      <w:r>
        <w:rPr>
          <w:rFonts w:hint="eastAsia" w:ascii="宋体" w:hAnsi="宋体"/>
          <w:b/>
          <w:bCs/>
          <w:szCs w:val="28"/>
        </w:rPr>
        <w:fldChar w:fldCharType="separate"/>
      </w:r>
      <w:r>
        <w:rPr>
          <w:rFonts w:hint="eastAsia" w:ascii="宋体" w:hAnsi="宋体"/>
          <w:bCs/>
          <w:szCs w:val="28"/>
        </w:rPr>
        <w:fldChar w:fldCharType="begin"/>
      </w:r>
      <w:r>
        <w:rPr>
          <w:rFonts w:hint="eastAsia" w:ascii="宋体" w:hAnsi="宋体"/>
          <w:bCs/>
          <w:szCs w:val="28"/>
        </w:rPr>
        <w:instrText xml:space="preserve"> HYPERLINK \l _Toc11933 </w:instrText>
      </w:r>
      <w:r>
        <w:rPr>
          <w:rFonts w:hint="eastAsia" w:ascii="宋体" w:hAnsi="宋体"/>
          <w:bCs/>
          <w:szCs w:val="28"/>
        </w:rPr>
        <w:fldChar w:fldCharType="separate"/>
      </w:r>
      <w:r>
        <w:rPr>
          <w:rFonts w:hint="default" w:ascii="宋体" w:hAnsi="宋体" w:eastAsia="宋体" w:cs="宋体"/>
        </w:rPr>
        <w:t>1</w:t>
      </w:r>
      <w:r>
        <w:rPr>
          <w:rFonts w:hint="eastAsia" w:ascii="宋体" w:hAnsi="宋体" w:cs="宋体"/>
          <w:lang w:val="en-US" w:eastAsia="zh-CN"/>
        </w:rPr>
        <w:t>.</w:t>
      </w:r>
      <w:r>
        <w:rPr>
          <w:rFonts w:hint="eastAsia"/>
        </w:rPr>
        <w:t>总则</w:t>
      </w:r>
      <w:r>
        <w:tab/>
      </w:r>
      <w:r>
        <w:fldChar w:fldCharType="begin"/>
      </w:r>
      <w:r>
        <w:instrText xml:space="preserve"> PAGEREF _Toc11933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宋体" w:hAnsi="宋体"/>
          <w:bCs/>
          <w:szCs w:val="28"/>
        </w:rPr>
        <w:fldChar w:fldCharType="end"/>
      </w:r>
    </w:p>
    <w:p>
      <w:pPr>
        <w:pStyle w:val="12"/>
        <w:tabs>
          <w:tab w:val="right" w:leader="dot" w:pos="8306"/>
        </w:tabs>
      </w:pPr>
      <w:r>
        <w:rPr>
          <w:rFonts w:hint="eastAsia" w:ascii="宋体" w:hAnsi="宋体"/>
          <w:bCs/>
          <w:szCs w:val="28"/>
        </w:rPr>
        <w:fldChar w:fldCharType="begin"/>
      </w:r>
      <w:r>
        <w:rPr>
          <w:rFonts w:hint="eastAsia" w:ascii="宋体" w:hAnsi="宋体"/>
          <w:bCs/>
          <w:szCs w:val="28"/>
        </w:rPr>
        <w:instrText xml:space="preserve"> HYPERLINK \l _Toc21788 </w:instrText>
      </w:r>
      <w:r>
        <w:rPr>
          <w:rFonts w:hint="eastAsia" w:ascii="宋体" w:hAnsi="宋体"/>
          <w:bCs/>
          <w:szCs w:val="28"/>
        </w:rPr>
        <w:fldChar w:fldCharType="separate"/>
      </w:r>
      <w:r>
        <w:rPr>
          <w:rFonts w:hint="eastAsia" w:ascii="Times New Roman" w:hAnsi="Times New Roman" w:cs="Times New Roman"/>
          <w:kern w:val="44"/>
          <w:szCs w:val="22"/>
          <w:lang w:val="en-US" w:eastAsia="zh-CN" w:bidi="ar-SA"/>
        </w:rPr>
        <w:t>2.</w:t>
      </w:r>
      <w:r>
        <w:rPr>
          <w:rFonts w:hint="eastAsia" w:cs="Times New Roman"/>
          <w:kern w:val="44"/>
          <w:szCs w:val="22"/>
          <w:lang w:val="en-US" w:eastAsia="zh-CN" w:bidi="ar-SA"/>
        </w:rPr>
        <w:t>工作范围</w:t>
      </w:r>
      <w:r>
        <w:tab/>
      </w:r>
      <w:r>
        <w:fldChar w:fldCharType="begin"/>
      </w:r>
      <w:r>
        <w:instrText xml:space="preserve"> PAGEREF _Toc21788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/>
          <w:bCs/>
          <w:szCs w:val="28"/>
        </w:rPr>
        <w:fldChar w:fldCharType="end"/>
      </w:r>
    </w:p>
    <w:p>
      <w:pPr>
        <w:pStyle w:val="12"/>
        <w:tabs>
          <w:tab w:val="right" w:leader="dot" w:pos="8306"/>
        </w:tabs>
      </w:pPr>
      <w:r>
        <w:rPr>
          <w:rFonts w:hint="eastAsia" w:ascii="宋体" w:hAnsi="宋体"/>
          <w:bCs/>
          <w:szCs w:val="28"/>
        </w:rPr>
        <w:fldChar w:fldCharType="begin"/>
      </w:r>
      <w:r>
        <w:rPr>
          <w:rFonts w:hint="eastAsia" w:ascii="宋体" w:hAnsi="宋体"/>
          <w:bCs/>
          <w:szCs w:val="28"/>
        </w:rPr>
        <w:instrText xml:space="preserve"> HYPERLINK \l _Toc10189 </w:instrText>
      </w:r>
      <w:r>
        <w:rPr>
          <w:rFonts w:hint="eastAsia" w:ascii="宋体" w:hAnsi="宋体"/>
          <w:bCs/>
          <w:szCs w:val="28"/>
        </w:rPr>
        <w:fldChar w:fldCharType="separate"/>
      </w:r>
      <w:r>
        <w:rPr>
          <w:rFonts w:hint="eastAsia" w:ascii="宋体" w:hAnsi="宋体" w:eastAsia="宋体" w:cs="宋体"/>
          <w:szCs w:val="30"/>
          <w:lang w:val="en-US" w:eastAsia="zh-CN"/>
        </w:rPr>
        <w:t>3.应遵循的主要标准</w:t>
      </w:r>
      <w:r>
        <w:tab/>
      </w:r>
      <w:r>
        <w:fldChar w:fldCharType="begin"/>
      </w:r>
      <w:r>
        <w:instrText xml:space="preserve"> PAGEREF _Toc10189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/>
          <w:bCs/>
          <w:szCs w:val="28"/>
        </w:rPr>
        <w:fldChar w:fldCharType="end"/>
      </w:r>
    </w:p>
    <w:p>
      <w:pPr>
        <w:adjustRightInd w:val="0"/>
        <w:snapToGrid w:val="0"/>
        <w:spacing w:line="360" w:lineRule="auto"/>
        <w:ind w:left="1405" w:hanging="1400" w:hangingChars="500"/>
        <w:jc w:val="center"/>
        <w:rPr>
          <w:rFonts w:ascii="宋体" w:hAnsi="宋体"/>
          <w:b/>
          <w:bCs/>
          <w:szCs w:val="28"/>
        </w:rPr>
      </w:pPr>
      <w:r>
        <w:rPr>
          <w:rFonts w:hint="eastAsia" w:ascii="宋体" w:hAnsi="宋体"/>
          <w:bCs/>
          <w:szCs w:val="28"/>
        </w:rPr>
        <w:fldChar w:fldCharType="end"/>
      </w:r>
    </w:p>
    <w:p>
      <w:pPr>
        <w:widowControl/>
        <w:jc w:val="left"/>
        <w:rPr>
          <w:rFonts w:ascii="宋体" w:hAnsi="宋体"/>
          <w:b/>
          <w:bCs/>
          <w:szCs w:val="28"/>
        </w:rPr>
      </w:pPr>
      <w:r>
        <w:rPr>
          <w:rFonts w:ascii="宋体" w:hAnsi="宋体"/>
          <w:b/>
          <w:bCs/>
          <w:szCs w:val="28"/>
        </w:rPr>
        <w:br w:type="page"/>
      </w:r>
    </w:p>
    <w:p>
      <w:pPr>
        <w:pStyle w:val="4"/>
      </w:pPr>
      <w:bookmarkStart w:id="0" w:name="_Toc11933"/>
      <w:r>
        <w:rPr>
          <w:rFonts w:hint="eastAsia"/>
        </w:rPr>
        <w:t>总则</w:t>
      </w:r>
      <w:bookmarkEnd w:id="0"/>
    </w:p>
    <w:p>
      <w:r>
        <w:rPr>
          <w:rFonts w:hint="eastAsia"/>
        </w:rPr>
        <w:t>1.1 本技术规范适用于</w:t>
      </w:r>
      <w:r>
        <w:rPr>
          <w:rFonts w:hint="eastAsia"/>
          <w:lang w:eastAsia="zh-CN"/>
        </w:rPr>
        <w:t>来宾</w:t>
      </w:r>
      <w:r>
        <w:rPr>
          <w:rFonts w:hint="eastAsia"/>
        </w:rPr>
        <w:t>供电局，规定了</w:t>
      </w:r>
      <w:r>
        <w:rPr>
          <w:rFonts w:hint="eastAsia"/>
          <w:lang w:val="en-US" w:eastAsia="zh-CN"/>
        </w:rPr>
        <w:t>2026年-2027年来宾供电局会计基础服务项目</w:t>
      </w:r>
      <w:r>
        <w:rPr>
          <w:rFonts w:hint="eastAsia"/>
        </w:rPr>
        <w:t>需遵循的技术指标及功能特性。</w:t>
      </w:r>
    </w:p>
    <w:p>
      <w:r>
        <w:rPr>
          <w:rFonts w:hint="eastAsia"/>
        </w:rPr>
        <w:t>1.2  本技术规范规定了</w:t>
      </w:r>
      <w:r>
        <w:rPr>
          <w:rFonts w:hint="eastAsia"/>
          <w:lang w:val="en-US" w:eastAsia="zh-CN"/>
        </w:rPr>
        <w:t>2026年-2027</w:t>
      </w:r>
      <w:r>
        <w:rPr>
          <w:rFonts w:hint="eastAsia"/>
          <w:lang w:eastAsia="zh-CN"/>
        </w:rPr>
        <w:t>来宾供电局会计基础服务项目</w:t>
      </w:r>
      <w:r>
        <w:rPr>
          <w:rFonts w:hint="eastAsia"/>
        </w:rPr>
        <w:t>外委应遵循的基本原则和对投标方的相关要求。</w:t>
      </w:r>
    </w:p>
    <w:p>
      <w:r>
        <w:rPr>
          <w:rFonts w:hint="eastAsia"/>
        </w:rPr>
        <w:t>1.3  投标方应提供符合本招标技术文件和工业标准的优质产品、服务，认真阅读，为本项目提供的</w:t>
      </w:r>
      <w:r>
        <w:rPr>
          <w:rFonts w:hint="eastAsia"/>
          <w:lang w:eastAsia="zh-CN"/>
        </w:rPr>
        <w:t>技术服务</w:t>
      </w:r>
      <w:r>
        <w:rPr>
          <w:rFonts w:hint="eastAsia"/>
        </w:rPr>
        <w:t>和理念应是全新的、高水准的、符合</w:t>
      </w:r>
      <w:r>
        <w:rPr>
          <w:rFonts w:hint="eastAsia"/>
          <w:lang w:eastAsia="zh-CN"/>
        </w:rPr>
        <w:t>基建项目建设</w:t>
      </w:r>
      <w:r>
        <w:rPr>
          <w:rFonts w:hint="eastAsia"/>
        </w:rPr>
        <w:t>标准，以确保服务质量，客户满意度等要求落实到位，并且保障</w:t>
      </w:r>
      <w:r>
        <w:rPr>
          <w:rFonts w:hint="eastAsia"/>
          <w:lang w:eastAsia="zh-CN"/>
        </w:rPr>
        <w:t>基建项目建设顺利完成</w:t>
      </w:r>
      <w:r>
        <w:rPr>
          <w:rFonts w:hint="eastAsia"/>
        </w:rPr>
        <w:t>。</w:t>
      </w:r>
    </w:p>
    <w:p>
      <w:r>
        <w:rPr>
          <w:rFonts w:hint="eastAsia"/>
        </w:rPr>
        <w:t>1.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  本技术规范书仅对</w:t>
      </w:r>
      <w:r>
        <w:rPr>
          <w:rFonts w:hint="eastAsia"/>
          <w:lang w:eastAsia="zh-CN"/>
        </w:rPr>
        <w:t>技术服务</w:t>
      </w:r>
      <w:r>
        <w:rPr>
          <w:rFonts w:hint="eastAsia"/>
        </w:rPr>
        <w:t>范围和服务质量提出基本要求，投标方可结合自己人员的特点提出技术建议书</w:t>
      </w:r>
      <w:r>
        <w:rPr>
          <w:rFonts w:hint="eastAsia"/>
          <w:lang w:eastAsia="zh-CN"/>
        </w:rPr>
        <w:t>，</w:t>
      </w:r>
      <w:r>
        <w:rPr>
          <w:rFonts w:hint="eastAsia"/>
        </w:rPr>
        <w:t>以供招标方参考。</w:t>
      </w:r>
    </w:p>
    <w:p>
      <w:r>
        <w:rPr>
          <w:rFonts w:hint="eastAsia"/>
        </w:rPr>
        <w:t>1.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 xml:space="preserve">  投标方也可提出满足本技术规范书要求，且技术先进、成熟、价格合理的其他建议，供招标方选择。</w:t>
      </w:r>
    </w:p>
    <w:p>
      <w:r>
        <w:rPr>
          <w:rFonts w:hint="eastAsia"/>
        </w:rPr>
        <w:t>1.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 xml:space="preserve">  本技术规范书提出的是最低限度的技术要求, 并未对一切技术细节作出规定，也未充分引述有关标准和规范的条文,所使用的标准如与投标方所执行的标准有偏差时，按高标准执行。</w:t>
      </w:r>
    </w:p>
    <w:p>
      <w:r>
        <w:rPr>
          <w:rFonts w:hint="eastAsia"/>
        </w:rPr>
        <w:t>1.</w:t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 xml:space="preserve"> 招标方保留技术规范书修改的权利，可以提出变更的意见和建议，本技术规范书经招投标双方确认后作为服务合同的技术附件，与合同正文具有同等的法律效力。</w:t>
      </w:r>
    </w:p>
    <w:p>
      <w:r>
        <w:rPr>
          <w:rFonts w:hint="eastAsia"/>
        </w:rPr>
        <w:t>1.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 xml:space="preserve"> 投标方应对本次投标所有文件保密，不得向其他单位公布或泄漏招标项目的有关信息。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 xml:space="preserve"> 本技术规范书未尽事宜，由招投标双方协商确定。</w:t>
      </w:r>
    </w:p>
    <w:p>
      <w:pPr>
        <w:pStyle w:val="2"/>
        <w:rPr>
          <w:rFonts w:hint="default" w:ascii="Times New Roman" w:hAnsi="Times New Roman" w:eastAsia="宋体" w:cs="Times New Roman"/>
          <w:b/>
          <w:kern w:val="44"/>
          <w:sz w:val="32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kern w:val="44"/>
          <w:sz w:val="32"/>
          <w:szCs w:val="22"/>
          <w:lang w:val="en-US" w:eastAsia="zh-CN" w:bidi="ar-SA"/>
        </w:rPr>
        <w:t>2.</w:t>
      </w:r>
      <w:r>
        <w:rPr>
          <w:rFonts w:hint="eastAsia" w:ascii="Times New Roman" w:hAnsi="Times New Roman" w:cs="Times New Roman"/>
          <w:b/>
          <w:kern w:val="44"/>
          <w:sz w:val="32"/>
          <w:szCs w:val="22"/>
          <w:lang w:val="en-US" w:eastAsia="zh-CN" w:bidi="ar-SA"/>
        </w:rPr>
        <w:t xml:space="preserve">工作范围 </w:t>
      </w:r>
    </w:p>
    <w:p>
      <w:pPr>
        <w:pStyle w:val="3"/>
        <w:jc w:val="both"/>
        <w:rPr>
          <w:rFonts w:hint="eastAsia" w:ascii="Times New Roman" w:hAnsi="Times New Roman" w:cs="Times New Roman"/>
          <w:b/>
          <w:kern w:val="44"/>
          <w:sz w:val="32"/>
          <w:szCs w:val="22"/>
          <w:lang w:val="en-US" w:eastAsia="zh-CN" w:bidi="ar-SA"/>
        </w:rPr>
      </w:pPr>
      <w:bookmarkStart w:id="1" w:name="_Toc21788"/>
      <w:r>
        <w:rPr>
          <w:rFonts w:hint="eastAsia" w:ascii="Times New Roman" w:hAnsi="Times New Roman" w:cs="Times New Roman"/>
          <w:b/>
          <w:kern w:val="44"/>
          <w:sz w:val="32"/>
          <w:szCs w:val="22"/>
          <w:lang w:val="en-US" w:eastAsia="zh-CN" w:bidi="ar-SA"/>
        </w:rPr>
        <w:t>2.1项目概况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202</w:t>
      </w:r>
      <w:r>
        <w:rPr>
          <w:rFonts w:hint="eastAsia" w:ascii="Times New Roman" w:hAnsi="Times New Roman" w:cs="Times New Roman"/>
          <w:lang w:val="en-US" w:eastAsia="zh-CN"/>
        </w:rPr>
        <w:t>6</w:t>
      </w:r>
      <w:r>
        <w:rPr>
          <w:rFonts w:hint="eastAsia" w:ascii="Times New Roman" w:hAnsi="Times New Roman" w:cs="Times New Roman"/>
          <w:lang w:eastAsia="zh-CN"/>
        </w:rPr>
        <w:t>年</w:t>
      </w:r>
      <w:r>
        <w:rPr>
          <w:rFonts w:hint="eastAsia" w:ascii="Times New Roman" w:hAnsi="Times New Roman" w:cs="Times New Roman"/>
          <w:lang w:val="en-US" w:eastAsia="zh-CN"/>
        </w:rPr>
        <w:t>-</w:t>
      </w:r>
      <w:r>
        <w:rPr>
          <w:rFonts w:hint="eastAsia" w:cs="Times New Roman"/>
          <w:lang w:val="en-US" w:eastAsia="zh-CN"/>
        </w:rPr>
        <w:t>2027</w:t>
      </w:r>
      <w:r>
        <w:rPr>
          <w:rFonts w:hint="eastAsia" w:ascii="Times New Roman" w:hAnsi="Times New Roman" w:cs="Times New Roman"/>
          <w:lang w:val="en-US" w:eastAsia="zh-CN"/>
        </w:rPr>
        <w:t>年</w:t>
      </w:r>
      <w:r>
        <w:rPr>
          <w:rFonts w:hint="eastAsia" w:ascii="Times New Roman" w:hAnsi="Times New Roman" w:cs="Times New Roman"/>
          <w:lang w:eastAsia="zh-CN"/>
        </w:rPr>
        <w:t>来宾供电局会计基础服务。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22"/>
          <w:lang w:val="en-US" w:eastAsia="zh-CN" w:bidi="ar-SA"/>
        </w:rPr>
        <w:t>2.2服务范围及内容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u w:val="none"/>
          <w:lang w:val="en-US" w:eastAsia="zh-CN"/>
        </w:rPr>
      </w:pPr>
      <w:r>
        <w:rPr>
          <w:rFonts w:hint="eastAsia"/>
          <w:lang w:val="en-US" w:eastAsia="zh-CN"/>
        </w:rPr>
        <w:t>负责来宾供电局本部及</w:t>
      </w:r>
      <w:r>
        <w:rPr>
          <w:rFonts w:hint="eastAsia" w:ascii="宋体" w:hAnsi="宋体"/>
          <w:color w:val="000000"/>
          <w:sz w:val="28"/>
          <w:szCs w:val="28"/>
          <w:highlight w:val="none"/>
          <w:u w:val="none"/>
          <w:lang w:val="en-US" w:eastAsia="zh-CN"/>
        </w:rPr>
        <w:t>来宾网区县级供</w:t>
      </w:r>
      <w:r>
        <w:rPr>
          <w:rFonts w:hint="eastAsia" w:ascii="Times New Roman" w:hAnsi="Times New Roman" w:cs="Times New Roman"/>
          <w:lang w:val="en-US" w:eastAsia="zh-CN"/>
        </w:rPr>
        <w:t>电企</w:t>
      </w:r>
      <w:r>
        <w:rPr>
          <w:rFonts w:hint="eastAsia" w:cs="Times New Roman"/>
          <w:lang w:val="en-US" w:eastAsia="zh-CN"/>
        </w:rPr>
        <w:t>业</w:t>
      </w:r>
      <w:r>
        <w:rPr>
          <w:rFonts w:hint="eastAsia" w:ascii="Times New Roman" w:hAnsi="Times New Roman" w:cs="Times New Roman"/>
          <w:lang w:val="en-US" w:eastAsia="zh-CN"/>
        </w:rPr>
        <w:t>（含金秀）会计资料装订及会计档案移交。主要工作内容如下表：</w:t>
      </w:r>
    </w:p>
    <w:tbl>
      <w:tblPr>
        <w:tblStyle w:val="14"/>
        <w:tblpPr w:leftFromText="180" w:rightFromText="180" w:vertAnchor="text" w:horzAnchor="page" w:tblpX="1800" w:tblpY="615"/>
        <w:tblOverlap w:val="never"/>
        <w:tblW w:w="90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620"/>
        <w:gridCol w:w="1090"/>
        <w:gridCol w:w="5160"/>
        <w:gridCol w:w="1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项目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分项</w:t>
            </w:r>
          </w:p>
        </w:tc>
        <w:tc>
          <w:tcPr>
            <w:tcW w:w="5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</w:rPr>
              <w:t>工作</w:t>
            </w:r>
            <w:r>
              <w:rPr>
                <w:rFonts w:hint="eastAsia"/>
                <w:b/>
                <w:bCs/>
                <w:lang w:eastAsia="zh-CN"/>
              </w:rPr>
              <w:t>内容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6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20"/>
                <w:lang w:val="en-US" w:eastAsia="zh-CN"/>
              </w:rPr>
            </w:pPr>
            <w:r>
              <w:rPr>
                <w:rFonts w:hint="eastAsia"/>
                <w:sz w:val="18"/>
                <w:szCs w:val="20"/>
                <w:lang w:val="en-US" w:eastAsia="zh-CN"/>
              </w:rPr>
              <w:t>会计资料装订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eastAsiaTheme="minorEastAsia"/>
                <w:sz w:val="18"/>
                <w:szCs w:val="20"/>
                <w:lang w:eastAsia="zh-CN"/>
              </w:rPr>
            </w:pPr>
            <w:r>
              <w:rPr>
                <w:rFonts w:hint="eastAsia"/>
                <w:sz w:val="18"/>
                <w:szCs w:val="20"/>
              </w:rPr>
              <w:t>装订</w:t>
            </w:r>
            <w:r>
              <w:rPr>
                <w:rFonts w:hint="eastAsia"/>
                <w:sz w:val="18"/>
                <w:szCs w:val="20"/>
                <w:lang w:eastAsia="zh-CN"/>
              </w:rPr>
              <w:t>会计凭证、</w:t>
            </w:r>
            <w:r>
              <w:rPr>
                <w:rFonts w:hint="eastAsia"/>
                <w:sz w:val="18"/>
                <w:szCs w:val="20"/>
              </w:rPr>
              <w:t>会计账簿</w:t>
            </w:r>
            <w:r>
              <w:rPr>
                <w:rFonts w:hint="eastAsia"/>
                <w:sz w:val="18"/>
                <w:szCs w:val="20"/>
                <w:lang w:eastAsia="zh-CN"/>
              </w:rPr>
              <w:t>、</w:t>
            </w:r>
            <w:r>
              <w:rPr>
                <w:rFonts w:hint="eastAsia"/>
                <w:sz w:val="18"/>
                <w:szCs w:val="20"/>
              </w:rPr>
              <w:t>装订对账表</w:t>
            </w:r>
          </w:p>
        </w:tc>
        <w:tc>
          <w:tcPr>
            <w:tcW w:w="5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eastAsiaTheme="minorEastAsia"/>
                <w:sz w:val="18"/>
                <w:szCs w:val="20"/>
                <w:lang w:eastAsia="zh-CN"/>
              </w:rPr>
            </w:pPr>
            <w:r>
              <w:rPr>
                <w:rFonts w:hint="eastAsia"/>
                <w:sz w:val="18"/>
                <w:szCs w:val="20"/>
                <w:lang w:eastAsia="zh-CN"/>
              </w:rPr>
              <w:t>负责</w:t>
            </w:r>
            <w:r>
              <w:rPr>
                <w:rFonts w:hint="eastAsia" w:ascii="Calibri" w:hAnsi="Calibri" w:eastAsia="宋体" w:cs="Times New Roman"/>
                <w:kern w:val="2"/>
                <w:sz w:val="18"/>
                <w:szCs w:val="20"/>
                <w:lang w:val="en-US" w:eastAsia="zh-CN" w:bidi="ar-SA"/>
              </w:rPr>
              <w:t>核对2026年3月至</w:t>
            </w:r>
            <w:r>
              <w:rPr>
                <w:rFonts w:hint="eastAsia" w:ascii="Calibri" w:hAnsi="Calibri" w:cs="Times New Roman"/>
                <w:kern w:val="2"/>
                <w:sz w:val="18"/>
                <w:szCs w:val="20"/>
                <w:lang w:val="en-US" w:eastAsia="zh-CN" w:bidi="ar-SA"/>
              </w:rPr>
              <w:t>2028</w:t>
            </w:r>
            <w:bookmarkStart w:id="4" w:name="_GoBack"/>
            <w:bookmarkEnd w:id="4"/>
            <w:r>
              <w:rPr>
                <w:rFonts w:hint="eastAsia" w:ascii="Calibri" w:hAnsi="Calibri" w:eastAsia="宋体" w:cs="Times New Roman"/>
                <w:kern w:val="2"/>
                <w:sz w:val="18"/>
                <w:szCs w:val="20"/>
                <w:lang w:val="en-US" w:eastAsia="zh-CN" w:bidi="ar-SA"/>
              </w:rPr>
              <w:t>年2月期间会计核算规范性以及日常会计业务咨询，及会计资料整理与装订事宜，包括凭证打印、凭证分拣、系统化整理、粘贴对应银行回单，以及完成会计凭证、税务发票、银行对账单和会计报表等材料的装订归档</w:t>
            </w:r>
            <w:r>
              <w:rPr>
                <w:rFonts w:hint="eastAsia" w:ascii="Calibri" w:hAnsi="Calibri" w:cs="Times New Roman"/>
                <w:kern w:val="2"/>
                <w:sz w:val="18"/>
                <w:szCs w:val="20"/>
                <w:lang w:val="en-US" w:eastAsia="zh-CN" w:bidi="ar-SA"/>
              </w:rPr>
              <w:t>，</w:t>
            </w:r>
            <w:r>
              <w:rPr>
                <w:rFonts w:hint="eastAsia" w:ascii="Calibri" w:hAnsi="Calibri" w:eastAsia="宋体" w:cs="Times New Roman"/>
                <w:kern w:val="2"/>
                <w:sz w:val="18"/>
                <w:szCs w:val="20"/>
                <w:lang w:val="en-US" w:eastAsia="zh-CN" w:bidi="ar-SA"/>
              </w:rPr>
              <w:t>并对装订的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会计档案的附件张数准确性、完整性、签章齐全进行审核；</w:t>
            </w:r>
            <w:r>
              <w:rPr>
                <w:rFonts w:hint="eastAsia"/>
                <w:sz w:val="18"/>
                <w:szCs w:val="20"/>
                <w:lang w:eastAsia="zh-CN"/>
              </w:rPr>
              <w:t>配合开展会计基础专项检查、迎检资料整理。</w:t>
            </w: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20"/>
                <w:lang w:eastAsia="zh-CN"/>
              </w:rPr>
            </w:pPr>
            <w:r>
              <w:rPr>
                <w:rFonts w:hint="eastAsia"/>
                <w:sz w:val="18"/>
                <w:szCs w:val="20"/>
                <w:lang w:eastAsia="zh-CN"/>
              </w:rPr>
              <w:t>来宾供电局本部及来宾网区县级供电企业（含金秀）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eastAsiaTheme="minorEastAsia"/>
                <w:sz w:val="18"/>
                <w:szCs w:val="20"/>
                <w:lang w:val="en-US" w:eastAsia="zh-CN"/>
              </w:rPr>
            </w:pPr>
            <w:r>
              <w:rPr>
                <w:rFonts w:hint="eastAsia"/>
                <w:sz w:val="18"/>
                <w:szCs w:val="20"/>
                <w:lang w:val="en-US" w:eastAsia="zh-CN"/>
              </w:rPr>
              <w:t>会计档案移交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hint="eastAsia"/>
                <w:sz w:val="18"/>
                <w:szCs w:val="20"/>
                <w:lang w:val="en-US" w:eastAsia="zh-CN"/>
              </w:rPr>
            </w:pPr>
            <w:r>
              <w:rPr>
                <w:rFonts w:hint="eastAsia"/>
                <w:sz w:val="18"/>
                <w:szCs w:val="20"/>
                <w:lang w:val="en-US" w:eastAsia="zh-CN"/>
              </w:rPr>
              <w:t>会计档案移交至局档案室</w:t>
            </w:r>
          </w:p>
        </w:tc>
        <w:tc>
          <w:tcPr>
            <w:tcW w:w="5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20"/>
              <w:ind w:left="0" w:leftChars="0" w:firstLine="0" w:firstLineChars="0"/>
              <w:jc w:val="left"/>
              <w:rPr>
                <w:rFonts w:hint="eastAsia" w:ascii="Times New Roman" w:hAnsi="Times New Roman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/>
                <w:kern w:val="2"/>
                <w:sz w:val="18"/>
                <w:szCs w:val="20"/>
                <w:lang w:val="en-US" w:eastAsia="zh-CN" w:bidi="ar-SA"/>
              </w:rPr>
              <w:t>根据《广西电网有限责任公司档案管理办法》规定，按要求将2024年-2025年整年度的会计档案、会计报表、账簿等财务相关档案移交局档案室，包括所有材料录入系统、装盒、上架，并输出档案移交清单。</w:t>
            </w:r>
          </w:p>
        </w:tc>
        <w:tc>
          <w:tcPr>
            <w:tcW w:w="15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20"/>
              <w:ind w:left="0" w:leftChars="0" w:firstLine="0" w:firstLineChars="0"/>
              <w:jc w:val="left"/>
              <w:rPr>
                <w:rFonts w:hint="eastAsia"/>
                <w:kern w:val="2"/>
                <w:sz w:val="18"/>
                <w:szCs w:val="20"/>
                <w:lang w:val="en-US" w:eastAsia="zh-CN" w:bidi="ar-SA"/>
              </w:rPr>
            </w:pPr>
          </w:p>
        </w:tc>
      </w:tr>
    </w:tbl>
    <w:p>
      <w:pPr>
        <w:pStyle w:val="4"/>
        <w:numPr>
          <w:ilvl w:val="0"/>
          <w:numId w:val="0"/>
        </w:numPr>
        <w:ind w:leftChars="0"/>
      </w:pPr>
      <w:bookmarkStart w:id="2" w:name="_Toc10189"/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3.应遵循的主要标准</w:t>
      </w:r>
      <w:bookmarkEnd w:id="2"/>
    </w:p>
    <w:p>
      <w:pPr>
        <w:spacing w:line="360" w:lineRule="auto"/>
        <w:ind w:firstLine="560" w:firstLineChars="200"/>
      </w:pPr>
      <w:r>
        <w:rPr>
          <w:rFonts w:hint="eastAsia"/>
        </w:rPr>
        <w:t>本项目的工作应遵循以下标准和文件要求：</w:t>
      </w:r>
    </w:p>
    <w:tbl>
      <w:tblPr>
        <w:tblStyle w:val="14"/>
        <w:tblW w:w="9024" w:type="dxa"/>
        <w:tblInd w:w="-30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2"/>
        <w:gridCol w:w="57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2" w:type="dxa"/>
          </w:tcPr>
          <w:p>
            <w:pPr>
              <w:spacing w:line="360" w:lineRule="auto"/>
            </w:pPr>
            <w:r>
              <w:rPr>
                <w:rFonts w:hint="eastAsia"/>
              </w:rPr>
              <w:t>标准号或文号</w:t>
            </w:r>
          </w:p>
        </w:tc>
        <w:tc>
          <w:tcPr>
            <w:tcW w:w="5772" w:type="dxa"/>
          </w:tcPr>
          <w:p>
            <w:pPr>
              <w:spacing w:line="360" w:lineRule="auto"/>
            </w:pPr>
            <w:r>
              <w:rPr>
                <w:rFonts w:hint="eastAsia"/>
              </w:rPr>
              <w:t>标准名称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2" w:type="dxa"/>
            <w:vAlign w:val="top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Q/CSG2123001-2023</w:t>
            </w:r>
          </w:p>
        </w:tc>
        <w:tc>
          <w:tcPr>
            <w:tcW w:w="5772" w:type="dxa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sz w:val="24"/>
                <w:szCs w:val="24"/>
              </w:rPr>
              <w:t>中国南方电网有限责任公司会计核算管理细则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2" w:type="dxa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Q/CSG-GXPG2272001-2024</w:t>
            </w:r>
          </w:p>
        </w:tc>
        <w:tc>
          <w:tcPr>
            <w:tcW w:w="5772" w:type="dxa"/>
          </w:tcPr>
          <w:p>
            <w:pPr>
              <w:spacing w:line="360" w:lineRule="auto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广西电网有限责任公司档案管理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办法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3252" w:type="dxa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Q/CSG-GXPG2122002-2021</w:t>
            </w:r>
          </w:p>
        </w:tc>
        <w:tc>
          <w:tcPr>
            <w:tcW w:w="5772" w:type="dxa"/>
          </w:tcPr>
          <w:p>
            <w:pPr>
              <w:spacing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Tahoma" w:hAnsi="Tahoma" w:eastAsia="Tahoma" w:cs="Tahoma"/>
                <w:sz w:val="24"/>
                <w:szCs w:val="24"/>
              </w:rPr>
              <w:t>广西电网有限责任公司日常报销管理办法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3252" w:type="dxa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Q/CSG-GXPG-LBG2202001-2025</w:t>
            </w:r>
          </w:p>
        </w:tc>
        <w:tc>
          <w:tcPr>
            <w:tcW w:w="5772" w:type="dxa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sz w:val="24"/>
                <w:szCs w:val="24"/>
                <w:lang w:eastAsia="zh-CN"/>
              </w:rPr>
              <w:t>来宾供电局日常报销管理办法</w:t>
            </w:r>
            <w:bookmarkStart w:id="3" w:name="title_2"/>
            <w:bookmarkEnd w:id="3"/>
          </w:p>
        </w:tc>
      </w:tr>
    </w:tbl>
    <w:p>
      <w:pPr>
        <w:spacing w:line="360" w:lineRule="auto"/>
        <w:rPr>
          <w:rFonts w:hint="eastAsia" w:asciiTheme="minorEastAsia" w:hAnsiTheme="minorEastAsia" w:eastAsiaTheme="minorEastAsia" w:cstheme="minorEastAsia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5708765"/>
    </w:sdtPr>
    <w:sdtContent>
      <w:p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8EB0F"/>
    <w:multiLevelType w:val="multilevel"/>
    <w:tmpl w:val="58C8EB0F"/>
    <w:lvl w:ilvl="0" w:tentative="0">
      <w:start w:val="1"/>
      <w:numFmt w:val="decimal"/>
      <w:pStyle w:val="18"/>
      <w:isLgl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isLgl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isLgl/>
      <w:lvlText w:val="%1.%2.%3."/>
      <w:lvlJc w:val="left"/>
      <w:pPr>
        <w:ind w:left="709" w:hanging="709"/>
      </w:pPr>
      <w:rPr>
        <w:rFonts w:hint="default" w:ascii="宋体" w:hAnsi="宋体" w:eastAsia="宋体" w:cs="宋体"/>
      </w:rPr>
    </w:lvl>
    <w:lvl w:ilvl="3" w:tentative="0">
      <w:start w:val="1"/>
      <w:numFmt w:val="decimal"/>
      <w:isLgl/>
      <w:lvlText w:val="%1.%2.%3.%4.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isLgl/>
      <w:lvlText w:val="%1.%2.%3.%4.%5.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isLgl/>
      <w:lvlText w:val="%1.%2.%3.%4.%5.%6.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isLgl/>
      <w:lvlText w:val="%1.%2.%3.%4.%5.%6.%7.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isLgl/>
      <w:lvlText w:val="%1.%2.%3.%4.%5.%6.%7.%8.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isLgl/>
      <w:lvlText w:val="%1.%2.%3.%4.%5.%6.%7.%8.%9.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1">
    <w:nsid w:val="58C8EB6B"/>
    <w:multiLevelType w:val="multilevel"/>
    <w:tmpl w:val="58C8EB6B"/>
    <w:lvl w:ilvl="0" w:tentative="0">
      <w:start w:val="1"/>
      <w:numFmt w:val="decimal"/>
      <w:pStyle w:val="4"/>
      <w:isLgl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isLgl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isLgl/>
      <w:lvlText w:val="%1.%2.%3."/>
      <w:lvlJc w:val="left"/>
      <w:pPr>
        <w:ind w:left="709" w:hanging="709"/>
      </w:pPr>
      <w:rPr>
        <w:rFonts w:hint="default" w:ascii="宋体" w:hAnsi="宋体" w:eastAsia="宋体" w:cs="宋体"/>
      </w:rPr>
    </w:lvl>
    <w:lvl w:ilvl="3" w:tentative="0">
      <w:start w:val="1"/>
      <w:numFmt w:val="decimal"/>
      <w:isLgl/>
      <w:lvlText w:val="%1.%2.%3.%4.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isLgl/>
      <w:lvlText w:val="%1.%2.%3.%4.%5.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isLgl/>
      <w:lvlText w:val="%1.%2.%3.%4.%5.%6.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isLgl/>
      <w:lvlText w:val="%1.%2.%3.%4.%5.%6.%7.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isLgl/>
      <w:lvlText w:val="%1.%2.%3.%4.%5.%6.%7.%8.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isLgl/>
      <w:lvlText w:val="%1.%2.%3.%4.%5.%6.%7.%8.%9.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2">
    <w:nsid w:val="58C8F4D2"/>
    <w:multiLevelType w:val="multilevel"/>
    <w:tmpl w:val="58C8F4D2"/>
    <w:lvl w:ilvl="0" w:tentative="0">
      <w:start w:val="1"/>
      <w:numFmt w:val="decimal"/>
      <w:pStyle w:val="5"/>
      <w:isLgl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Restart w:val="0"/>
      <w:isLgl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isLgl/>
      <w:lvlText w:val="%1.%2.%3."/>
      <w:lvlJc w:val="left"/>
      <w:pPr>
        <w:ind w:left="709" w:hanging="709"/>
      </w:pPr>
      <w:rPr>
        <w:rFonts w:hint="default" w:ascii="宋体" w:hAnsi="宋体" w:eastAsia="宋体" w:cs="宋体"/>
      </w:rPr>
    </w:lvl>
    <w:lvl w:ilvl="3" w:tentative="0">
      <w:start w:val="1"/>
      <w:numFmt w:val="decimal"/>
      <w:isLgl/>
      <w:lvlText w:val="%1.%2.%3.%4.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896916"/>
    <w:rsid w:val="00036AA2"/>
    <w:rsid w:val="00036EF0"/>
    <w:rsid w:val="00062975"/>
    <w:rsid w:val="0008106B"/>
    <w:rsid w:val="000C7FB4"/>
    <w:rsid w:val="000D4AAA"/>
    <w:rsid w:val="000F2AF6"/>
    <w:rsid w:val="00132098"/>
    <w:rsid w:val="0016020C"/>
    <w:rsid w:val="00193969"/>
    <w:rsid w:val="001C3EA0"/>
    <w:rsid w:val="001C5F16"/>
    <w:rsid w:val="001F45FE"/>
    <w:rsid w:val="002074AA"/>
    <w:rsid w:val="00207CE9"/>
    <w:rsid w:val="00223712"/>
    <w:rsid w:val="00223C24"/>
    <w:rsid w:val="002345A8"/>
    <w:rsid w:val="00241D2D"/>
    <w:rsid w:val="00251E1E"/>
    <w:rsid w:val="00275B02"/>
    <w:rsid w:val="0028641F"/>
    <w:rsid w:val="003178C0"/>
    <w:rsid w:val="003317B8"/>
    <w:rsid w:val="00340730"/>
    <w:rsid w:val="003651C8"/>
    <w:rsid w:val="0039559C"/>
    <w:rsid w:val="003A531C"/>
    <w:rsid w:val="003F675B"/>
    <w:rsid w:val="004838F9"/>
    <w:rsid w:val="004B69F1"/>
    <w:rsid w:val="004C1C74"/>
    <w:rsid w:val="004D4501"/>
    <w:rsid w:val="005147AD"/>
    <w:rsid w:val="00537C8C"/>
    <w:rsid w:val="005418BC"/>
    <w:rsid w:val="00543647"/>
    <w:rsid w:val="005472FA"/>
    <w:rsid w:val="0057067A"/>
    <w:rsid w:val="00591468"/>
    <w:rsid w:val="005B0590"/>
    <w:rsid w:val="005F617A"/>
    <w:rsid w:val="006130DD"/>
    <w:rsid w:val="00645CE3"/>
    <w:rsid w:val="00670B39"/>
    <w:rsid w:val="007038AA"/>
    <w:rsid w:val="007101E0"/>
    <w:rsid w:val="00723798"/>
    <w:rsid w:val="00780466"/>
    <w:rsid w:val="00790C3D"/>
    <w:rsid w:val="00801E49"/>
    <w:rsid w:val="00834514"/>
    <w:rsid w:val="00870BC0"/>
    <w:rsid w:val="00896916"/>
    <w:rsid w:val="00902FE1"/>
    <w:rsid w:val="00915025"/>
    <w:rsid w:val="009307F7"/>
    <w:rsid w:val="00991D1C"/>
    <w:rsid w:val="00996C69"/>
    <w:rsid w:val="009D2395"/>
    <w:rsid w:val="009E360B"/>
    <w:rsid w:val="00A70BA2"/>
    <w:rsid w:val="00AA5091"/>
    <w:rsid w:val="00AB34B8"/>
    <w:rsid w:val="00AE09D6"/>
    <w:rsid w:val="00AE7407"/>
    <w:rsid w:val="00AF4A1B"/>
    <w:rsid w:val="00B42E2A"/>
    <w:rsid w:val="00BD25D1"/>
    <w:rsid w:val="00BD4E14"/>
    <w:rsid w:val="00BF0755"/>
    <w:rsid w:val="00C23ED7"/>
    <w:rsid w:val="00C27084"/>
    <w:rsid w:val="00C35ADE"/>
    <w:rsid w:val="00C442DF"/>
    <w:rsid w:val="00C97025"/>
    <w:rsid w:val="00D22001"/>
    <w:rsid w:val="00D31332"/>
    <w:rsid w:val="00D35446"/>
    <w:rsid w:val="00D64E8E"/>
    <w:rsid w:val="00DA2B7C"/>
    <w:rsid w:val="00DC7E10"/>
    <w:rsid w:val="00E02AE4"/>
    <w:rsid w:val="00E266BA"/>
    <w:rsid w:val="00E46B87"/>
    <w:rsid w:val="00E626AB"/>
    <w:rsid w:val="00E644AD"/>
    <w:rsid w:val="00E82A4F"/>
    <w:rsid w:val="00E834B5"/>
    <w:rsid w:val="00E95431"/>
    <w:rsid w:val="00EB510D"/>
    <w:rsid w:val="00EC2915"/>
    <w:rsid w:val="00ED7ED6"/>
    <w:rsid w:val="00EE3105"/>
    <w:rsid w:val="00F12412"/>
    <w:rsid w:val="00F45B88"/>
    <w:rsid w:val="00F535F7"/>
    <w:rsid w:val="00F70121"/>
    <w:rsid w:val="00F7647C"/>
    <w:rsid w:val="00FA3FB2"/>
    <w:rsid w:val="00FB56E6"/>
    <w:rsid w:val="00FC16F7"/>
    <w:rsid w:val="00FF2A91"/>
    <w:rsid w:val="01972BBD"/>
    <w:rsid w:val="025970CB"/>
    <w:rsid w:val="027730C5"/>
    <w:rsid w:val="02B0503D"/>
    <w:rsid w:val="03EF4805"/>
    <w:rsid w:val="046A4743"/>
    <w:rsid w:val="04876861"/>
    <w:rsid w:val="04D631F9"/>
    <w:rsid w:val="04DB4DAD"/>
    <w:rsid w:val="05CD501B"/>
    <w:rsid w:val="06212410"/>
    <w:rsid w:val="093E443C"/>
    <w:rsid w:val="09A7198F"/>
    <w:rsid w:val="09D566E7"/>
    <w:rsid w:val="0A985921"/>
    <w:rsid w:val="0B543F39"/>
    <w:rsid w:val="0C7C4F41"/>
    <w:rsid w:val="0E286660"/>
    <w:rsid w:val="0EA1630C"/>
    <w:rsid w:val="0EFB17F7"/>
    <w:rsid w:val="0F912D29"/>
    <w:rsid w:val="11642D82"/>
    <w:rsid w:val="117678AA"/>
    <w:rsid w:val="12760F0B"/>
    <w:rsid w:val="12777621"/>
    <w:rsid w:val="1285105D"/>
    <w:rsid w:val="13021197"/>
    <w:rsid w:val="13266FB6"/>
    <w:rsid w:val="13C639F9"/>
    <w:rsid w:val="14B84DBA"/>
    <w:rsid w:val="172B64C1"/>
    <w:rsid w:val="174F596C"/>
    <w:rsid w:val="176B4E55"/>
    <w:rsid w:val="176F4C2B"/>
    <w:rsid w:val="18337C0B"/>
    <w:rsid w:val="1986143A"/>
    <w:rsid w:val="1A5F15C2"/>
    <w:rsid w:val="1BC047BD"/>
    <w:rsid w:val="1C064C44"/>
    <w:rsid w:val="1C4F30FD"/>
    <w:rsid w:val="1D216B64"/>
    <w:rsid w:val="1E0444B0"/>
    <w:rsid w:val="1E3600E8"/>
    <w:rsid w:val="1EA76113"/>
    <w:rsid w:val="1EC2786D"/>
    <w:rsid w:val="1F236189"/>
    <w:rsid w:val="1F5E0E06"/>
    <w:rsid w:val="1FC65865"/>
    <w:rsid w:val="202E01E5"/>
    <w:rsid w:val="20B27920"/>
    <w:rsid w:val="20FE6BA5"/>
    <w:rsid w:val="21586DCF"/>
    <w:rsid w:val="229A4E7E"/>
    <w:rsid w:val="23627875"/>
    <w:rsid w:val="239462B5"/>
    <w:rsid w:val="242118C9"/>
    <w:rsid w:val="25AF419D"/>
    <w:rsid w:val="26021B2B"/>
    <w:rsid w:val="2752798C"/>
    <w:rsid w:val="27F76B82"/>
    <w:rsid w:val="2890326D"/>
    <w:rsid w:val="28915167"/>
    <w:rsid w:val="2AC95947"/>
    <w:rsid w:val="2BB117BE"/>
    <w:rsid w:val="2BEF51C4"/>
    <w:rsid w:val="2C2D46F5"/>
    <w:rsid w:val="2C8401F5"/>
    <w:rsid w:val="2D51112A"/>
    <w:rsid w:val="2D9E3AB5"/>
    <w:rsid w:val="2E997E10"/>
    <w:rsid w:val="2EF03473"/>
    <w:rsid w:val="2EF058B2"/>
    <w:rsid w:val="2F586FBC"/>
    <w:rsid w:val="2F853C07"/>
    <w:rsid w:val="2FB576FC"/>
    <w:rsid w:val="30A42568"/>
    <w:rsid w:val="30F37019"/>
    <w:rsid w:val="317D7CEC"/>
    <w:rsid w:val="31895B7F"/>
    <w:rsid w:val="31971655"/>
    <w:rsid w:val="32B0327D"/>
    <w:rsid w:val="339B4519"/>
    <w:rsid w:val="33DA616F"/>
    <w:rsid w:val="33E06519"/>
    <w:rsid w:val="340C4FDC"/>
    <w:rsid w:val="35BB5CCB"/>
    <w:rsid w:val="364319AA"/>
    <w:rsid w:val="36710346"/>
    <w:rsid w:val="369B0BCC"/>
    <w:rsid w:val="3739088C"/>
    <w:rsid w:val="39F419FC"/>
    <w:rsid w:val="3A4E4225"/>
    <w:rsid w:val="3AAA1285"/>
    <w:rsid w:val="3ACF3DD6"/>
    <w:rsid w:val="3AFC15C3"/>
    <w:rsid w:val="3B391BDE"/>
    <w:rsid w:val="3B7F4443"/>
    <w:rsid w:val="3D0617D2"/>
    <w:rsid w:val="3D1B638C"/>
    <w:rsid w:val="3D1D0724"/>
    <w:rsid w:val="3F09299B"/>
    <w:rsid w:val="3F420C51"/>
    <w:rsid w:val="3F4E3033"/>
    <w:rsid w:val="3F5B4F2D"/>
    <w:rsid w:val="4105515C"/>
    <w:rsid w:val="41564979"/>
    <w:rsid w:val="41B06776"/>
    <w:rsid w:val="423457AA"/>
    <w:rsid w:val="42E2774F"/>
    <w:rsid w:val="4327385A"/>
    <w:rsid w:val="43796549"/>
    <w:rsid w:val="43864E54"/>
    <w:rsid w:val="44003C4F"/>
    <w:rsid w:val="440D454C"/>
    <w:rsid w:val="44337FB2"/>
    <w:rsid w:val="45742880"/>
    <w:rsid w:val="46DA76AF"/>
    <w:rsid w:val="46E57A65"/>
    <w:rsid w:val="48056F7C"/>
    <w:rsid w:val="48323A8D"/>
    <w:rsid w:val="491B49D6"/>
    <w:rsid w:val="495030C0"/>
    <w:rsid w:val="4A3E51A2"/>
    <w:rsid w:val="4B442C5D"/>
    <w:rsid w:val="4B466C62"/>
    <w:rsid w:val="4C5358BD"/>
    <w:rsid w:val="4CF548B3"/>
    <w:rsid w:val="4D1564B7"/>
    <w:rsid w:val="4D7C5756"/>
    <w:rsid w:val="4DEE1949"/>
    <w:rsid w:val="4E714D9B"/>
    <w:rsid w:val="4EAC3639"/>
    <w:rsid w:val="4F7954C4"/>
    <w:rsid w:val="512E5123"/>
    <w:rsid w:val="51D82708"/>
    <w:rsid w:val="52496220"/>
    <w:rsid w:val="53E947B9"/>
    <w:rsid w:val="54975ABC"/>
    <w:rsid w:val="54AE1429"/>
    <w:rsid w:val="55095945"/>
    <w:rsid w:val="557C5132"/>
    <w:rsid w:val="568B45DA"/>
    <w:rsid w:val="56B90CEF"/>
    <w:rsid w:val="58BB5CD0"/>
    <w:rsid w:val="58C61892"/>
    <w:rsid w:val="59150D21"/>
    <w:rsid w:val="5970497C"/>
    <w:rsid w:val="59C32F4F"/>
    <w:rsid w:val="5A5012E0"/>
    <w:rsid w:val="5A5F46C3"/>
    <w:rsid w:val="5A7D36AA"/>
    <w:rsid w:val="5B4618B8"/>
    <w:rsid w:val="5B6474BE"/>
    <w:rsid w:val="5B9E3935"/>
    <w:rsid w:val="5BDC1D5E"/>
    <w:rsid w:val="5C473D6F"/>
    <w:rsid w:val="5CAF36B7"/>
    <w:rsid w:val="5D1209A0"/>
    <w:rsid w:val="5D56481A"/>
    <w:rsid w:val="5D711A8F"/>
    <w:rsid w:val="5EDB07BB"/>
    <w:rsid w:val="5F250FEC"/>
    <w:rsid w:val="5F4F25AD"/>
    <w:rsid w:val="5F5B4561"/>
    <w:rsid w:val="60817F08"/>
    <w:rsid w:val="609671BC"/>
    <w:rsid w:val="6147393F"/>
    <w:rsid w:val="624C347C"/>
    <w:rsid w:val="63423393"/>
    <w:rsid w:val="634758A5"/>
    <w:rsid w:val="63A73AA6"/>
    <w:rsid w:val="64C02C86"/>
    <w:rsid w:val="65736F91"/>
    <w:rsid w:val="66810C73"/>
    <w:rsid w:val="680144CC"/>
    <w:rsid w:val="68044AB2"/>
    <w:rsid w:val="68960E78"/>
    <w:rsid w:val="6A630C07"/>
    <w:rsid w:val="6B1446BA"/>
    <w:rsid w:val="6B5349C4"/>
    <w:rsid w:val="6BB73EB7"/>
    <w:rsid w:val="6BBB5F84"/>
    <w:rsid w:val="6C1226B8"/>
    <w:rsid w:val="6C1A7FA6"/>
    <w:rsid w:val="6CA9597C"/>
    <w:rsid w:val="6D062C07"/>
    <w:rsid w:val="6D4B2BBE"/>
    <w:rsid w:val="6EF44A6F"/>
    <w:rsid w:val="6F0F1D8F"/>
    <w:rsid w:val="6F96026A"/>
    <w:rsid w:val="701439B4"/>
    <w:rsid w:val="70D82698"/>
    <w:rsid w:val="70F87A97"/>
    <w:rsid w:val="71451629"/>
    <w:rsid w:val="73D86DD7"/>
    <w:rsid w:val="742E40C6"/>
    <w:rsid w:val="74DB66BF"/>
    <w:rsid w:val="757F5B9D"/>
    <w:rsid w:val="75C11513"/>
    <w:rsid w:val="760519B0"/>
    <w:rsid w:val="7710113F"/>
    <w:rsid w:val="77ED4A77"/>
    <w:rsid w:val="77F20AA1"/>
    <w:rsid w:val="78AA7FF0"/>
    <w:rsid w:val="792C6B58"/>
    <w:rsid w:val="79420EEC"/>
    <w:rsid w:val="79AA0E9F"/>
    <w:rsid w:val="7A197CCC"/>
    <w:rsid w:val="7A2F69E2"/>
    <w:rsid w:val="7AD658E6"/>
    <w:rsid w:val="7AE45793"/>
    <w:rsid w:val="7B197962"/>
    <w:rsid w:val="7B1C26CB"/>
    <w:rsid w:val="7B5F1EB5"/>
    <w:rsid w:val="7D2A6E48"/>
    <w:rsid w:val="7F0F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0" w:firstLine="0"/>
      <w:outlineLvl w:val="0"/>
    </w:pPr>
    <w:rPr>
      <w:b/>
      <w:kern w:val="44"/>
      <w:sz w:val="32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numPr>
        <w:ilvl w:val="0"/>
        <w:numId w:val="2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7">
    <w:name w:val="heading 9"/>
    <w:basedOn w:val="1"/>
    <w:next w:val="1"/>
    <w:unhideWhenUsed/>
    <w:qFormat/>
    <w:uiPriority w:val="0"/>
    <w:pPr>
      <w:keepNext/>
      <w:keepLines/>
      <w:spacing w:before="240" w:after="64" w:line="317" w:lineRule="auto"/>
      <w:outlineLvl w:val="8"/>
    </w:pPr>
    <w:rPr>
      <w:rFonts w:ascii="Arial" w:hAnsi="Arial" w:eastAsia="黑体"/>
      <w:sz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宋体" w:hAnsi="宋体"/>
      <w:szCs w:val="28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Normal Indent"/>
    <w:basedOn w:val="1"/>
    <w:qFormat/>
    <w:uiPriority w:val="0"/>
    <w:pPr>
      <w:ind w:firstLine="420"/>
    </w:pPr>
    <w:rPr>
      <w:rFonts w:ascii="Arial" w:hAnsi="Arial"/>
      <w:kern w:val="0"/>
      <w:szCs w:val="20"/>
    </w:rPr>
  </w:style>
  <w:style w:type="paragraph" w:styleId="9">
    <w:name w:val="toc 3"/>
    <w:basedOn w:val="1"/>
    <w:next w:val="1"/>
    <w:qFormat/>
    <w:uiPriority w:val="0"/>
    <w:pPr>
      <w:ind w:left="840" w:leftChars="400"/>
    </w:pPr>
  </w:style>
  <w:style w:type="paragraph" w:styleId="10">
    <w:name w:val="footer"/>
    <w:basedOn w:val="1"/>
    <w:link w:val="2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character" w:styleId="16">
    <w:name w:val="Emphasis"/>
    <w:basedOn w:val="15"/>
    <w:qFormat/>
    <w:uiPriority w:val="0"/>
    <w:rPr>
      <w:i/>
    </w:rPr>
  </w:style>
  <w:style w:type="character" w:styleId="17">
    <w:name w:val="Hyperlink"/>
    <w:basedOn w:val="15"/>
    <w:unhideWhenUsed/>
    <w:qFormat/>
    <w:uiPriority w:val="99"/>
    <w:rPr>
      <w:color w:val="0563C1" w:themeColor="hyperlink"/>
      <w:u w:val="single"/>
    </w:rPr>
  </w:style>
  <w:style w:type="paragraph" w:customStyle="1" w:styleId="18">
    <w:name w:val="样式1"/>
    <w:basedOn w:val="4"/>
    <w:qFormat/>
    <w:uiPriority w:val="0"/>
    <w:pPr>
      <w:numPr>
        <w:ilvl w:val="0"/>
        <w:numId w:val="3"/>
      </w:numPr>
    </w:pPr>
  </w:style>
  <w:style w:type="paragraph" w:customStyle="1" w:styleId="19">
    <w:name w:val="默认段落字体 Para"/>
    <w:basedOn w:val="1"/>
    <w:qFormat/>
    <w:uiPriority w:val="0"/>
    <w:rPr>
      <w:rFonts w:ascii="Tahoma" w:hAnsi="Tahoma"/>
      <w:szCs w:val="20"/>
    </w:rPr>
  </w:style>
  <w:style w:type="paragraph" w:customStyle="1" w:styleId="20">
    <w:name w:val="列出段落1"/>
    <w:basedOn w:val="1"/>
    <w:qFormat/>
    <w:uiPriority w:val="34"/>
    <w:pPr>
      <w:ind w:firstLine="420" w:firstLineChars="200"/>
    </w:pPr>
    <w:rPr>
      <w:rFonts w:ascii="Calibri" w:hAnsi="Calibri"/>
      <w:sz w:val="21"/>
    </w:rPr>
  </w:style>
  <w:style w:type="paragraph" w:customStyle="1" w:styleId="21">
    <w:name w:val="列出段落2"/>
    <w:basedOn w:val="1"/>
    <w:qFormat/>
    <w:uiPriority w:val="99"/>
    <w:pPr>
      <w:ind w:firstLine="420" w:firstLineChars="200"/>
    </w:pPr>
  </w:style>
  <w:style w:type="paragraph" w:customStyle="1" w:styleId="22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3">
    <w:name w:val="页脚 Char"/>
    <w:basedOn w:val="15"/>
    <w:link w:val="10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48BAB9-3B53-48C2-B6E9-E63EC9B4CFC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460</Words>
  <Characters>2626</Characters>
  <Lines>21</Lines>
  <Paragraphs>6</Paragraphs>
  <TotalTime>0</TotalTime>
  <ScaleCrop>false</ScaleCrop>
  <LinksUpToDate>false</LinksUpToDate>
  <CharactersWithSpaces>3080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2017-03-18T15:03:00Z</dcterms:created>
  <dc:creator>Administrator</dc:creator>
  <cp:lastModifiedBy>廖伟玲</cp:lastModifiedBy>
  <dcterms:modified xsi:type="dcterms:W3CDTF">2025-11-19T00:29:59Z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07D672412A364D70B7C9612E68B88B34</vt:lpwstr>
  </property>
</Properties>
</file>