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val="0"/>
        <w:suppressLineNumbers w:val="0"/>
        <w:spacing w:before="480" w:beforeLines="200" w:beforeAutospacing="0" w:after="0" w:afterAutospacing="0" w:line="360" w:lineRule="auto"/>
        <w:ind w:left="0" w:right="0" w:firstLine="0" w:firstLineChars="0"/>
        <w:jc w:val="center"/>
        <w:rPr>
          <w:rFonts w:hint="eastAsia" w:ascii="宋体" w:hAnsi="Calibri" w:eastAsia="黑体" w:cs="Times New Roman"/>
          <w:spacing w:val="10"/>
          <w:kern w:val="0"/>
          <w:sz w:val="28"/>
          <w:szCs w:val="21"/>
          <w:lang w:val="en-US" w:eastAsia="zh-CN" w:bidi="ar"/>
        </w:rPr>
      </w:pPr>
      <w:r>
        <w:rPr>
          <w:rFonts w:hint="eastAsia" w:ascii="宋体" w:hAnsi="Calibri" w:eastAsia="宋体" w:cs="Times New Roman"/>
          <w:spacing w:val="10"/>
          <w:kern w:val="0"/>
          <w:sz w:val="28"/>
          <w:szCs w:val="20"/>
          <w:lang w:val="en-US" w:eastAsia="zh-CN" w:bidi="ar"/>
        </w:rPr>
        <w:drawing>
          <wp:anchor distT="0" distB="0" distL="114935" distR="114935" simplePos="0" relativeHeight="251659264" behindDoc="1" locked="0" layoutInCell="1" allowOverlap="1">
            <wp:simplePos x="0" y="0"/>
            <wp:positionH relativeFrom="column">
              <wp:posOffset>-1143000</wp:posOffset>
            </wp:positionH>
            <wp:positionV relativeFrom="paragraph">
              <wp:posOffset>-911860</wp:posOffset>
            </wp:positionV>
            <wp:extent cx="7964805" cy="2985770"/>
            <wp:effectExtent l="0" t="0" r="17145" b="5080"/>
            <wp:wrapThrough wrapText="bothSides">
              <wp:wrapPolygon>
                <wp:start x="0" y="0"/>
                <wp:lineTo x="0" y="21499"/>
                <wp:lineTo x="21543" y="21499"/>
                <wp:lineTo x="21543" y="0"/>
                <wp:lineTo x="0" y="0"/>
              </wp:wrapPolygon>
            </wp:wrapThrough>
            <wp:docPr id="1"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模板-3"/>
                    <pic:cNvPicPr>
                      <a:picLocks noChangeAspect="1"/>
                    </pic:cNvPicPr>
                  </pic:nvPicPr>
                  <pic:blipFill>
                    <a:blip r:embed="rId5"/>
                    <a:stretch>
                      <a:fillRect/>
                    </a:stretch>
                  </pic:blipFill>
                  <pic:spPr>
                    <a:xfrm>
                      <a:off x="0" y="0"/>
                      <a:ext cx="7964805" cy="2985770"/>
                    </a:xfrm>
                    <a:prstGeom prst="rect">
                      <a:avLst/>
                    </a:prstGeom>
                    <a:noFill/>
                    <a:ln>
                      <a:noFill/>
                    </a:ln>
                  </pic:spPr>
                </pic:pic>
              </a:graphicData>
            </a:graphic>
          </wp:anchor>
        </w:drawing>
      </w:r>
      <w:r>
        <w:rPr>
          <w:rFonts w:hint="eastAsia" w:ascii="宋体" w:hAnsi="Calibri" w:eastAsia="黑体" w:cs="Times New Roman"/>
          <w:spacing w:val="10"/>
          <w:kern w:val="0"/>
          <w:sz w:val="28"/>
          <w:szCs w:val="21"/>
          <w:lang w:val="en-US" w:eastAsia="zh-CN" w:bidi="ar"/>
        </w:rPr>
        <w:t xml:space="preserve">                 </w:t>
      </w:r>
    </w:p>
    <w:p>
      <w:pPr>
        <w:jc w:val="center"/>
        <w:rPr>
          <w:rFonts w:hint="default" w:ascii="宋体" w:hAnsi="宋体" w:cs="宋体"/>
          <w:b/>
          <w:bCs/>
          <w:color w:val="auto"/>
          <w:sz w:val="52"/>
          <w:szCs w:val="52"/>
          <w:highlight w:val="none"/>
          <w:lang w:val="en-US" w:eastAsia="zh-CN"/>
        </w:rPr>
      </w:pPr>
      <w:r>
        <w:rPr>
          <w:rFonts w:hint="eastAsia" w:ascii="宋体" w:hAnsi="宋体" w:cs="宋体"/>
          <w:b/>
          <w:bCs/>
          <w:color w:val="auto"/>
          <w:sz w:val="52"/>
          <w:szCs w:val="52"/>
          <w:highlight w:val="none"/>
          <w:lang w:val="en-US" w:eastAsia="zh-CN"/>
        </w:rPr>
        <w:t>2025年</w:t>
      </w:r>
      <w:bookmarkStart w:id="0" w:name="_GoBack"/>
      <w:bookmarkEnd w:id="0"/>
      <w:r>
        <w:rPr>
          <w:rFonts w:hint="eastAsia" w:ascii="宋体" w:hAnsi="宋体" w:cs="宋体"/>
          <w:b/>
          <w:bCs/>
          <w:color w:val="auto"/>
          <w:sz w:val="52"/>
          <w:szCs w:val="52"/>
          <w:highlight w:val="none"/>
          <w:lang w:val="en-US" w:eastAsia="zh-CN"/>
        </w:rPr>
        <w:t>黔能公司食堂油烟系统、玻璃清洗</w:t>
      </w:r>
    </w:p>
    <w:p>
      <w:pPr>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技术规范书</w:t>
      </w:r>
    </w:p>
    <w:p>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0" w:firstLineChars="0"/>
        <w:jc w:val="center"/>
        <w:textAlignment w:val="auto"/>
        <w:rPr>
          <w:rFonts w:hint="eastAsia" w:ascii="宋体" w:hAnsi="Calibri" w:eastAsia="黑体" w:cs="黑体"/>
          <w:b/>
          <w:bCs w:val="0"/>
          <w:spacing w:val="10"/>
          <w:kern w:val="0"/>
          <w:sz w:val="36"/>
          <w:szCs w:val="20"/>
          <w:lang w:val="en-US" w:eastAsia="zh-CN" w:bidi="ar"/>
        </w:rPr>
      </w:pPr>
    </w:p>
    <w:p>
      <w:pPr>
        <w:keepNext w:val="0"/>
        <w:keepLines w:val="0"/>
        <w:widowControl w:val="0"/>
        <w:suppressLineNumbers w:val="0"/>
        <w:spacing w:before="480" w:beforeLines="200" w:beforeAutospacing="0" w:after="0" w:afterAutospacing="0" w:line="360" w:lineRule="auto"/>
        <w:ind w:left="0" w:right="0" w:firstLine="0" w:firstLineChars="0"/>
        <w:jc w:val="center"/>
        <w:rPr>
          <w:rFonts w:eastAsia="黑体"/>
          <w:b/>
          <w:bCs w:val="0"/>
          <w:sz w:val="36"/>
          <w:szCs w:val="20"/>
          <w:lang w:val="en-US"/>
        </w:rPr>
      </w:pPr>
    </w:p>
    <w:p>
      <w:pPr>
        <w:pStyle w:val="2"/>
        <w:rPr>
          <w:rFonts w:eastAsia="黑体"/>
          <w:b/>
          <w:bCs w:val="0"/>
          <w:sz w:val="36"/>
          <w:szCs w:val="20"/>
          <w:lang w:val="en-US"/>
        </w:rPr>
      </w:pPr>
    </w:p>
    <w:p>
      <w:pPr>
        <w:pStyle w:val="3"/>
        <w:rPr>
          <w:rFonts w:eastAsia="黑体"/>
          <w:b/>
          <w:bCs w:val="0"/>
          <w:sz w:val="36"/>
          <w:szCs w:val="20"/>
          <w:lang w:val="en-US"/>
        </w:rPr>
      </w:pPr>
    </w:p>
    <w:p>
      <w:pPr>
        <w:rPr>
          <w:rFonts w:eastAsia="黑体"/>
          <w:b/>
          <w:bCs w:val="0"/>
          <w:sz w:val="36"/>
          <w:szCs w:val="20"/>
          <w:lang w:val="en-US"/>
        </w:rPr>
      </w:pPr>
    </w:p>
    <w:p>
      <w:pPr>
        <w:pStyle w:val="2"/>
        <w:rPr>
          <w:rFonts w:eastAsia="黑体"/>
          <w:b/>
          <w:bCs w:val="0"/>
          <w:sz w:val="36"/>
          <w:szCs w:val="20"/>
          <w:lang w:val="en-US"/>
        </w:rPr>
      </w:pPr>
    </w:p>
    <w:p>
      <w:pPr>
        <w:pStyle w:val="3"/>
        <w:jc w:val="both"/>
        <w:rPr>
          <w:lang w:val="en-US"/>
        </w:rPr>
      </w:pPr>
    </w:p>
    <w:p>
      <w:pPr>
        <w:keepNext w:val="0"/>
        <w:keepLines w:val="0"/>
        <w:widowControl w:val="0"/>
        <w:suppressLineNumbers w:val="0"/>
        <w:spacing w:before="480" w:beforeLines="200" w:beforeAutospacing="0" w:after="0" w:afterAutospacing="0" w:line="360" w:lineRule="auto"/>
        <w:ind w:left="0" w:right="0" w:firstLine="0" w:firstLineChars="0"/>
        <w:jc w:val="center"/>
        <w:rPr>
          <w:rFonts w:eastAsia="黑体"/>
          <w:b/>
          <w:bCs w:val="0"/>
          <w:spacing w:val="20"/>
          <w:w w:val="135"/>
          <w:sz w:val="30"/>
          <w:szCs w:val="20"/>
          <w:lang w:val="en-US"/>
        </w:rPr>
      </w:pPr>
      <w:r>
        <w:rPr>
          <w:rFonts w:hint="eastAsia" w:ascii="宋体" w:hAnsi="Calibri" w:eastAsia="黑体" w:cs="黑体"/>
          <w:b/>
          <w:bCs w:val="0"/>
          <w:spacing w:val="20"/>
          <w:w w:val="135"/>
          <w:kern w:val="0"/>
          <w:sz w:val="30"/>
          <w:szCs w:val="20"/>
          <w:lang w:val="en-US" w:eastAsia="zh-CN" w:bidi="ar"/>
        </w:rPr>
        <w:t>贵州</w:t>
      </w:r>
      <w:r>
        <w:rPr>
          <w:rFonts w:hint="eastAsia" w:ascii="宋体" w:eastAsia="黑体" w:cs="黑体"/>
          <w:b/>
          <w:bCs w:val="0"/>
          <w:spacing w:val="20"/>
          <w:w w:val="135"/>
          <w:kern w:val="0"/>
          <w:sz w:val="30"/>
          <w:szCs w:val="20"/>
          <w:lang w:val="en-US" w:eastAsia="zh-CN" w:bidi="ar"/>
        </w:rPr>
        <w:t>黔能企业</w:t>
      </w:r>
      <w:r>
        <w:rPr>
          <w:rFonts w:hint="eastAsia" w:ascii="宋体" w:hAnsi="Calibri" w:eastAsia="黑体" w:cs="黑体"/>
          <w:b/>
          <w:bCs w:val="0"/>
          <w:spacing w:val="20"/>
          <w:w w:val="135"/>
          <w:kern w:val="0"/>
          <w:sz w:val="30"/>
          <w:szCs w:val="20"/>
          <w:lang w:val="en-US" w:eastAsia="zh-CN" w:bidi="ar"/>
        </w:rPr>
        <w:t>有限责任公司</w:t>
      </w:r>
    </w:p>
    <w:p>
      <w:pPr>
        <w:keepNext w:val="0"/>
        <w:keepLines w:val="0"/>
        <w:widowControl w:val="0"/>
        <w:suppressLineNumbers w:val="0"/>
        <w:spacing w:before="0" w:beforeAutospacing="0" w:after="0" w:afterAutospacing="0" w:line="360" w:lineRule="auto"/>
        <w:ind w:left="0" w:right="0" w:firstLine="0" w:firstLineChars="0"/>
        <w:jc w:val="center"/>
        <w:rPr>
          <w:rFonts w:hint="default" w:ascii="Times New Roman" w:hAnsi="Times New Roman" w:eastAsia="方正小标宋_GBK" w:cs="Times New Roman"/>
          <w:b/>
          <w:bCs/>
          <w:sz w:val="44"/>
          <w:szCs w:val="44"/>
          <w:lang w:eastAsia="zh-CN"/>
        </w:rPr>
        <w:sectPr>
          <w:footerReference r:id="rId3" w:type="default"/>
          <w:pgSz w:w="11906" w:h="16838"/>
          <w:pgMar w:top="0" w:right="0" w:bottom="0" w:left="0" w:header="0" w:footer="0" w:gutter="0"/>
          <w:pgNumType w:start="1"/>
          <w:cols w:space="0" w:num="1"/>
          <w:rtlGutter w:val="0"/>
          <w:docGrid w:type="lines" w:linePitch="312" w:charSpace="0"/>
        </w:sectPr>
      </w:pPr>
      <w:r>
        <w:rPr>
          <w:rFonts w:hint="eastAsia" w:ascii="宋体" w:hAnsi="Calibri" w:eastAsia="黑体" w:cs="Times New Roman"/>
          <w:b/>
          <w:bCs w:val="0"/>
          <w:spacing w:val="20"/>
          <w:w w:val="135"/>
          <w:kern w:val="0"/>
          <w:sz w:val="30"/>
          <w:szCs w:val="20"/>
          <w:lang w:val="en-US" w:eastAsia="zh-CN" w:bidi="ar"/>
        </w:rPr>
        <w:t>202</w:t>
      </w:r>
      <w:r>
        <w:rPr>
          <w:rFonts w:hint="eastAsia" w:ascii="宋体" w:eastAsia="黑体" w:cs="Times New Roman"/>
          <w:b/>
          <w:bCs w:val="0"/>
          <w:spacing w:val="20"/>
          <w:w w:val="135"/>
          <w:kern w:val="0"/>
          <w:sz w:val="30"/>
          <w:szCs w:val="20"/>
          <w:lang w:val="en-US" w:eastAsia="zh-CN" w:bidi="ar"/>
        </w:rPr>
        <w:t>5</w:t>
      </w:r>
      <w:r>
        <w:rPr>
          <w:rFonts w:hint="eastAsia" w:ascii="宋体" w:hAnsi="Calibri" w:eastAsia="黑体" w:cs="黑体"/>
          <w:b/>
          <w:bCs w:val="0"/>
          <w:spacing w:val="20"/>
          <w:w w:val="135"/>
          <w:kern w:val="0"/>
          <w:sz w:val="30"/>
          <w:szCs w:val="20"/>
          <w:lang w:val="en-US" w:eastAsia="zh-CN" w:bidi="ar"/>
        </w:rPr>
        <w:t>年</w:t>
      </w:r>
      <w:r>
        <w:rPr>
          <w:rFonts w:hint="eastAsia" w:ascii="宋体" w:eastAsia="黑体" w:cs="黑体"/>
          <w:b/>
          <w:bCs w:val="0"/>
          <w:spacing w:val="20"/>
          <w:w w:val="135"/>
          <w:kern w:val="0"/>
          <w:sz w:val="30"/>
          <w:szCs w:val="20"/>
          <w:lang w:val="en-US" w:eastAsia="zh-CN" w:bidi="ar"/>
        </w:rPr>
        <w:t>11</w:t>
      </w:r>
      <w:r>
        <w:rPr>
          <w:rFonts w:hint="eastAsia" w:ascii="宋体" w:hAnsi="Calibri" w:eastAsia="黑体" w:cs="黑体"/>
          <w:b/>
          <w:bCs w:val="0"/>
          <w:spacing w:val="20"/>
          <w:w w:val="135"/>
          <w:kern w:val="0"/>
          <w:sz w:val="30"/>
          <w:szCs w:val="20"/>
          <w:lang w:val="en-US" w:eastAsia="zh-CN" w:bidi="ar"/>
        </w:rPr>
        <w:t>月</w:t>
      </w:r>
    </w:p>
    <w:p>
      <w:pPr>
        <w:keepNext w:val="0"/>
        <w:keepLines w:val="0"/>
        <w:pageBreakBefore w:val="0"/>
        <w:widowControl/>
        <w:kinsoku/>
        <w:wordWrap/>
        <w:overflowPunct/>
        <w:topLinePunct w:val="0"/>
        <w:autoSpaceDE/>
        <w:autoSpaceDN/>
        <w:bidi w:val="0"/>
        <w:adjustRightInd w:val="0"/>
        <w:snapToGrid w:val="0"/>
        <w:spacing w:line="560" w:lineRule="exact"/>
        <w:ind w:firstLine="560" w:firstLineChars="200"/>
        <w:jc w:val="left"/>
        <w:textAlignment w:val="auto"/>
        <w:rPr>
          <w:rFonts w:hint="default" w:cs="Times New Roman" w:asciiTheme="minorEastAsia" w:hAnsiTheme="minorEastAsia"/>
          <w:sz w:val="28"/>
          <w:szCs w:val="28"/>
          <w:lang w:val="en-US" w:eastAsia="zh-CN"/>
        </w:rPr>
      </w:pPr>
      <w:r>
        <w:rPr>
          <w:rFonts w:hint="eastAsia" w:cs="Times New Roman" w:asciiTheme="minorEastAsia" w:hAnsiTheme="minorEastAsia"/>
          <w:sz w:val="28"/>
          <w:szCs w:val="28"/>
          <w:lang w:val="en-US" w:eastAsia="zh-CN"/>
        </w:rPr>
        <w:t>本技术规范书适用于贵州黔能企业有限责任公司本部的食堂餐厅的油烟系统清洗工作。规范涵盖单位食堂中使用的所有类型排油烟设施的清洗、维护与检查工作。</w:t>
      </w:r>
    </w:p>
    <w:p>
      <w:pPr>
        <w:keepNext w:val="0"/>
        <w:keepLines w:val="0"/>
        <w:pageBreakBefore w:val="0"/>
        <w:widowControl/>
        <w:kinsoku/>
        <w:wordWrap/>
        <w:overflowPunct/>
        <w:topLinePunct w:val="0"/>
        <w:autoSpaceDE/>
        <w:autoSpaceDN/>
        <w:bidi w:val="0"/>
        <w:adjustRightInd w:val="0"/>
        <w:snapToGrid w:val="0"/>
        <w:spacing w:line="560" w:lineRule="exact"/>
        <w:ind w:firstLine="560" w:firstLineChars="200"/>
        <w:jc w:val="left"/>
        <w:textAlignment w:val="auto"/>
        <w:rPr>
          <w:rFonts w:hint="eastAsia" w:cs="Times New Roman" w:asciiTheme="minorEastAsia" w:hAnsiTheme="minorEastAsia"/>
          <w:sz w:val="28"/>
          <w:szCs w:val="28"/>
          <w:lang w:val="en-US" w:eastAsia="zh-CN"/>
        </w:rPr>
      </w:pPr>
      <w:r>
        <w:rPr>
          <w:rFonts w:hint="eastAsia" w:cs="Times New Roman" w:asciiTheme="minorEastAsia" w:hAnsiTheme="minorEastAsia"/>
          <w:sz w:val="28"/>
          <w:szCs w:val="28"/>
          <w:lang w:val="en-US" w:eastAsia="zh-CN"/>
        </w:rPr>
        <w:t>本规范的清洗范围包括油烟系统中的所有组成部分：集烟罩、烟道（管道）、防火阀、油烟净化器、风机、排烟口以及相关配套部件；食堂操作间及用餐区域玻璃清洗。相关要求如下：</w:t>
      </w:r>
    </w:p>
    <w:p>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ascii="黑体" w:hAnsi="黑体" w:eastAsia="黑体"/>
          <w:sz w:val="28"/>
          <w:szCs w:val="28"/>
        </w:rPr>
      </w:pPr>
      <w:r>
        <w:rPr>
          <w:rFonts w:hint="eastAsia" w:ascii="黑体" w:hAnsi="黑体" w:eastAsia="黑体"/>
          <w:sz w:val="28"/>
          <w:szCs w:val="28"/>
        </w:rPr>
        <w:t>1.</w:t>
      </w:r>
      <w:r>
        <w:rPr>
          <w:rFonts w:hint="eastAsia" w:ascii="黑体" w:hAnsi="黑体" w:eastAsia="黑体"/>
          <w:sz w:val="28"/>
          <w:szCs w:val="28"/>
          <w:lang w:eastAsia="zh-CN"/>
        </w:rPr>
        <w:t>服务</w:t>
      </w:r>
      <w:r>
        <w:rPr>
          <w:rFonts w:hint="eastAsia" w:ascii="黑体" w:hAnsi="黑体" w:eastAsia="黑体"/>
          <w:sz w:val="28"/>
          <w:szCs w:val="28"/>
        </w:rPr>
        <w:t>基本情况</w:t>
      </w:r>
    </w:p>
    <w:p>
      <w:pPr>
        <w:keepNext w:val="0"/>
        <w:keepLines w:val="0"/>
        <w:pageBreakBefore w:val="0"/>
        <w:widowControl/>
        <w:kinsoku/>
        <w:wordWrap/>
        <w:overflowPunct/>
        <w:topLinePunct w:val="0"/>
        <w:autoSpaceDE/>
        <w:autoSpaceDN/>
        <w:bidi w:val="0"/>
        <w:adjustRightInd w:val="0"/>
        <w:snapToGrid w:val="0"/>
        <w:spacing w:line="560" w:lineRule="exact"/>
        <w:ind w:firstLine="560" w:firstLineChars="200"/>
        <w:jc w:val="left"/>
        <w:textAlignment w:val="auto"/>
        <w:rPr>
          <w:rFonts w:hint="default" w:cs="Times New Roman" w:asciiTheme="minorEastAsia" w:hAnsiTheme="minorEastAsia"/>
          <w:sz w:val="28"/>
          <w:szCs w:val="28"/>
          <w:lang w:val="en-US" w:eastAsia="zh-CN"/>
        </w:rPr>
      </w:pPr>
      <w:r>
        <w:rPr>
          <w:rFonts w:hint="eastAsia" w:cs="Times New Roman" w:asciiTheme="minorEastAsia" w:hAnsiTheme="minorEastAsia"/>
          <w:sz w:val="28"/>
          <w:szCs w:val="28"/>
          <w:lang w:val="en-US" w:eastAsia="zh-CN"/>
        </w:rPr>
        <w:t>1.1地点：贵州省贵阳市南明区市南路九架炉巷黔电发展楼</w:t>
      </w:r>
    </w:p>
    <w:p>
      <w:pPr>
        <w:keepNext w:val="0"/>
        <w:keepLines w:val="0"/>
        <w:pageBreakBefore w:val="0"/>
        <w:widowControl/>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sz w:val="28"/>
          <w:szCs w:val="28"/>
          <w:lang w:val="en-US" w:eastAsia="zh-CN"/>
        </w:rPr>
      </w:pPr>
      <w:r>
        <w:rPr>
          <w:rFonts w:hint="eastAsia" w:asciiTheme="minorEastAsia" w:hAnsiTheme="minorEastAsia"/>
          <w:sz w:val="28"/>
          <w:szCs w:val="28"/>
          <w:lang w:val="en-US" w:eastAsia="zh-CN"/>
        </w:rPr>
        <w:t>1.2时间：2025年11月至12月（需2025年度完成，具体时间待于甲方商定）</w:t>
      </w:r>
    </w:p>
    <w:p>
      <w:pPr>
        <w:keepNext w:val="0"/>
        <w:keepLines w:val="0"/>
        <w:pageBreakBefore w:val="0"/>
        <w:widowControl/>
        <w:kinsoku/>
        <w:wordWrap/>
        <w:overflowPunct/>
        <w:topLinePunct w:val="0"/>
        <w:autoSpaceDE/>
        <w:autoSpaceDN/>
        <w:bidi w:val="0"/>
        <w:adjustRightInd w:val="0"/>
        <w:snapToGrid w:val="0"/>
        <w:spacing w:line="560" w:lineRule="exact"/>
        <w:ind w:firstLine="560" w:firstLineChars="200"/>
        <w:jc w:val="left"/>
        <w:textAlignment w:val="auto"/>
        <w:rPr>
          <w:rFonts w:hint="default"/>
          <w:lang w:val="en-US" w:eastAsia="zh-CN"/>
        </w:rPr>
      </w:pPr>
      <w:r>
        <w:rPr>
          <w:rFonts w:hint="eastAsia" w:asciiTheme="minorEastAsia" w:hAnsiTheme="minorEastAsia"/>
          <w:sz w:val="28"/>
          <w:szCs w:val="28"/>
          <w:lang w:val="en-US" w:eastAsia="zh-CN"/>
        </w:rPr>
        <w:t>1.3服务周期：1次</w:t>
      </w:r>
    </w:p>
    <w:p>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default" w:ascii="黑体" w:hAnsi="黑体" w:eastAsia="黑体"/>
          <w:sz w:val="28"/>
          <w:szCs w:val="28"/>
          <w:lang w:val="en-US" w:eastAsia="zh-CN"/>
        </w:rPr>
      </w:pPr>
      <w:r>
        <w:rPr>
          <w:rFonts w:hint="eastAsia" w:ascii="黑体" w:hAnsi="黑体" w:eastAsia="黑体"/>
          <w:sz w:val="28"/>
          <w:szCs w:val="28"/>
        </w:rPr>
        <w:t>2</w:t>
      </w:r>
      <w:r>
        <w:rPr>
          <w:rFonts w:hint="eastAsia" w:ascii="黑体" w:hAnsi="黑体" w:eastAsia="黑体" w:cs="Times New Roman"/>
          <w:sz w:val="28"/>
          <w:szCs w:val="28"/>
          <w:lang w:eastAsia="zh-CN"/>
        </w:rPr>
        <w:t>.</w:t>
      </w:r>
      <w:r>
        <w:rPr>
          <w:rFonts w:hint="eastAsia" w:ascii="黑体" w:hAnsi="黑体" w:eastAsia="黑体" w:cs="Times New Roman"/>
          <w:sz w:val="28"/>
          <w:szCs w:val="28"/>
          <w:lang w:val="en-US" w:eastAsia="zh-CN"/>
        </w:rPr>
        <w:t>服务机构基本要求</w:t>
      </w:r>
    </w:p>
    <w:p>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default" w:ascii="Times New Roman" w:hAnsi="Times New Roman" w:cs="Times New Roman"/>
          <w:sz w:val="28"/>
          <w:szCs w:val="28"/>
          <w:vertAlign w:val="baseline"/>
          <w:lang w:val="en-US" w:eastAsia="zh-CN"/>
        </w:rPr>
      </w:pPr>
      <w:r>
        <w:rPr>
          <w:rFonts w:hint="eastAsia" w:asciiTheme="minorEastAsia" w:hAnsiTheme="minorEastAsia"/>
          <w:sz w:val="28"/>
          <w:szCs w:val="28"/>
          <w:lang w:val="en-US" w:eastAsia="zh-CN"/>
        </w:rPr>
        <w:t>2.1</w:t>
      </w:r>
      <w:r>
        <w:rPr>
          <w:rFonts w:hint="eastAsia" w:cs="Times New Roman" w:asciiTheme="minorEastAsia" w:hAnsiTheme="minorEastAsia"/>
          <w:sz w:val="28"/>
          <w:szCs w:val="28"/>
          <w:lang w:val="en-US" w:eastAsia="zh-CN"/>
        </w:rPr>
        <w:t xml:space="preserve"> 资质要求：必须具有独立法人资格，依法取得工商营业执照，经营范围应包括油烟清洗、环保服务或相关内容。优先选择在地方环保产业协会备案的机构。</w:t>
      </w:r>
    </w:p>
    <w:p>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eastAsia" w:cs="Times New Roman" w:asciiTheme="minorEastAsia" w:hAnsiTheme="minorEastAsia"/>
          <w:sz w:val="28"/>
          <w:szCs w:val="28"/>
          <w:lang w:val="en-US" w:eastAsia="zh-CN"/>
        </w:rPr>
      </w:pPr>
      <w:r>
        <w:rPr>
          <w:rFonts w:hint="eastAsia" w:asciiTheme="minorEastAsia" w:hAnsiTheme="minorEastAsia"/>
          <w:sz w:val="28"/>
          <w:szCs w:val="28"/>
        </w:rPr>
        <w:t>2.</w:t>
      </w:r>
      <w:r>
        <w:rPr>
          <w:rFonts w:hint="eastAsia" w:asciiTheme="minorEastAsia" w:hAnsiTheme="minorEastAsia"/>
          <w:sz w:val="28"/>
          <w:szCs w:val="28"/>
          <w:lang w:val="en-US" w:eastAsia="zh-CN"/>
        </w:rPr>
        <w:t>2管理</w:t>
      </w:r>
      <w:r>
        <w:rPr>
          <w:rFonts w:hint="eastAsia" w:cs="Times New Roman" w:asciiTheme="minorEastAsia" w:hAnsiTheme="minorEastAsia"/>
          <w:sz w:val="28"/>
          <w:szCs w:val="28"/>
          <w:lang w:val="en-US" w:eastAsia="zh-CN"/>
        </w:rPr>
        <w:t>要求：服务机构应有完善的质量管理体系、安全管理体系和客户服务制度。需制定标准化的清洗服务流程、质量控制标准、现在安全操作规程和应急预案，形成书面文件。</w:t>
      </w:r>
    </w:p>
    <w:p>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default"/>
          <w:lang w:val="en-US" w:eastAsia="zh-CN"/>
        </w:rPr>
      </w:pPr>
      <w:r>
        <w:rPr>
          <w:rFonts w:hint="eastAsia" w:cs="Times New Roman" w:asciiTheme="minorEastAsia" w:hAnsiTheme="minorEastAsia"/>
          <w:sz w:val="28"/>
          <w:szCs w:val="28"/>
          <w:lang w:val="en-US" w:eastAsia="zh-CN"/>
        </w:rPr>
        <w:t>2.3设备要求：应配备与清洗业务相适应的专业设备和工具，包括高压清洗设备、蒸汽清洗设备、油污降解剂、个人防护装备等。</w:t>
      </w:r>
    </w:p>
    <w:p>
      <w:pPr>
        <w:keepNext w:val="0"/>
        <w:keepLines w:val="0"/>
        <w:pageBreakBefore w:val="0"/>
        <w:numPr>
          <w:ilvl w:val="0"/>
          <w:numId w:val="1"/>
        </w:numPr>
        <w:kinsoku/>
        <w:wordWrap/>
        <w:overflowPunct/>
        <w:topLinePunct w:val="0"/>
        <w:autoSpaceDE/>
        <w:autoSpaceDN/>
        <w:bidi w:val="0"/>
        <w:adjustRightInd w:val="0"/>
        <w:snapToGrid w:val="0"/>
        <w:spacing w:line="560" w:lineRule="exact"/>
        <w:ind w:left="839" w:leftChars="266" w:hanging="280" w:hangingChars="100"/>
        <w:jc w:val="left"/>
        <w:textAlignment w:val="auto"/>
        <w:rPr>
          <w:rFonts w:hint="eastAsia" w:ascii="Times New Roman" w:hAnsi="Times New Roman" w:cs="Times New Roman"/>
          <w:sz w:val="28"/>
          <w:szCs w:val="28"/>
          <w:vertAlign w:val="baseline"/>
          <w:lang w:val="en-US" w:eastAsia="zh-CN"/>
        </w:rPr>
      </w:pPr>
      <w:r>
        <w:rPr>
          <w:rFonts w:hint="eastAsia" w:ascii="黑体" w:hAnsi="黑体" w:eastAsia="黑体" w:cs="Times New Roman"/>
          <w:sz w:val="28"/>
          <w:szCs w:val="28"/>
        </w:rPr>
        <w:t>服务内容</w:t>
      </w:r>
    </w:p>
    <w:p>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cs="Times New Roman" w:asciiTheme="minorEastAsia" w:hAnsiTheme="minorEastAsia"/>
          <w:sz w:val="28"/>
          <w:szCs w:val="28"/>
          <w:lang w:val="en-US" w:eastAsia="zh-CN"/>
        </w:rPr>
      </w:pPr>
      <w:r>
        <w:rPr>
          <w:rFonts w:hint="eastAsia" w:cs="Times New Roman" w:asciiTheme="minorEastAsia" w:hAnsiTheme="minorEastAsia"/>
          <w:sz w:val="28"/>
          <w:szCs w:val="28"/>
          <w:lang w:val="en-US" w:eastAsia="zh-CN"/>
        </w:rPr>
        <w:t>3.1油烟清洗服务：油烟系统清洗、维护与检查。</w:t>
      </w:r>
      <w:r>
        <w:rPr>
          <w:rFonts w:hint="eastAsia" w:cs="Times New Roman" w:asciiTheme="minorEastAsia" w:hAnsiTheme="minorEastAsia"/>
          <w:sz w:val="28"/>
          <w:szCs w:val="28"/>
        </w:rPr>
        <w:br w:type="textWrapping"/>
      </w:r>
      <w:r>
        <w:rPr>
          <w:rFonts w:hint="eastAsia" w:cs="Times New Roman" w:asciiTheme="minorEastAsia" w:hAnsiTheme="minorEastAsia"/>
          <w:sz w:val="28"/>
          <w:szCs w:val="28"/>
          <w:lang w:val="en-US" w:eastAsia="zh-CN"/>
        </w:rPr>
        <w:t xml:space="preserve">    3.2玻璃清洗</w:t>
      </w:r>
      <w:r>
        <w:rPr>
          <w:rFonts w:hint="eastAsia" w:cs="Times New Roman" w:asciiTheme="minorEastAsia" w:hAnsiTheme="minorEastAsia"/>
          <w:sz w:val="28"/>
          <w:szCs w:val="28"/>
        </w:rPr>
        <w:t>服务：</w:t>
      </w:r>
      <w:r>
        <w:rPr>
          <w:rFonts w:hint="eastAsia" w:cs="Times New Roman" w:asciiTheme="minorEastAsia" w:hAnsiTheme="minorEastAsia"/>
          <w:sz w:val="28"/>
          <w:szCs w:val="28"/>
          <w:lang w:val="en-US" w:eastAsia="zh-CN"/>
        </w:rPr>
        <w:t>操作区、用餐区的玻璃清洗</w:t>
      </w:r>
      <w:r>
        <w:rPr>
          <w:rFonts w:hint="eastAsia" w:cs="Times New Roman" w:asciiTheme="minorEastAsia" w:hAnsiTheme="minorEastAsia"/>
          <w:sz w:val="28"/>
          <w:szCs w:val="28"/>
        </w:rPr>
        <w:t>。</w:t>
      </w:r>
      <w:r>
        <w:rPr>
          <w:rFonts w:hint="eastAsia" w:cs="Times New Roman" w:asciiTheme="minorEastAsia" w:hAnsiTheme="minorEastAsia"/>
          <w:sz w:val="28"/>
          <w:szCs w:val="28"/>
        </w:rPr>
        <w:br w:type="textWrapping"/>
      </w:r>
      <w:r>
        <w:rPr>
          <w:rFonts w:hint="eastAsia" w:cs="Times New Roman" w:asciiTheme="minorEastAsia" w:hAnsiTheme="minorEastAsia"/>
          <w:sz w:val="28"/>
          <w:szCs w:val="28"/>
          <w:lang w:val="en-US" w:eastAsia="zh-CN"/>
        </w:rPr>
        <w:t xml:space="preserve">    </w:t>
      </w:r>
      <w:r>
        <w:rPr>
          <w:rFonts w:hint="eastAsia" w:cs="Times New Roman" w:asciiTheme="minorEastAsia" w:hAnsiTheme="minorEastAsia"/>
          <w:sz w:val="28"/>
          <w:szCs w:val="28"/>
        </w:rPr>
        <w:t>3.</w:t>
      </w:r>
      <w:r>
        <w:rPr>
          <w:rFonts w:hint="eastAsia" w:cs="Times New Roman" w:asciiTheme="minorEastAsia" w:hAnsiTheme="minorEastAsia"/>
          <w:sz w:val="28"/>
          <w:szCs w:val="28"/>
          <w:lang w:val="en-US" w:eastAsia="zh-CN"/>
        </w:rPr>
        <w:t>3食堂电器维护</w:t>
      </w:r>
      <w:r>
        <w:rPr>
          <w:rFonts w:hint="eastAsia" w:cs="Times New Roman" w:asciiTheme="minorEastAsia" w:hAnsiTheme="minorEastAsia"/>
          <w:sz w:val="28"/>
          <w:szCs w:val="28"/>
        </w:rPr>
        <w:t>服务：</w:t>
      </w:r>
      <w:r>
        <w:rPr>
          <w:rFonts w:hint="eastAsia" w:cs="Times New Roman" w:asciiTheme="minorEastAsia" w:hAnsiTheme="minorEastAsia"/>
          <w:sz w:val="28"/>
          <w:szCs w:val="28"/>
          <w:lang w:val="en-US" w:eastAsia="zh-CN"/>
        </w:rPr>
        <w:t>食堂区域的电器设备检查及维护</w:t>
      </w:r>
      <w:r>
        <w:rPr>
          <w:rFonts w:hint="eastAsia" w:cs="Times New Roman" w:asciiTheme="minorEastAsia" w:hAnsiTheme="minorEastAsia"/>
          <w:sz w:val="28"/>
          <w:szCs w:val="28"/>
        </w:rPr>
        <w:t>。</w:t>
      </w:r>
    </w:p>
    <w:p>
      <w:pPr>
        <w:keepNext w:val="0"/>
        <w:keepLines w:val="0"/>
        <w:pageBreakBefore w:val="0"/>
        <w:numPr>
          <w:ilvl w:val="0"/>
          <w:numId w:val="1"/>
        </w:numPr>
        <w:kinsoku/>
        <w:wordWrap/>
        <w:overflowPunct/>
        <w:topLinePunct w:val="0"/>
        <w:autoSpaceDE/>
        <w:autoSpaceDN/>
        <w:bidi w:val="0"/>
        <w:adjustRightInd w:val="0"/>
        <w:snapToGrid w:val="0"/>
        <w:spacing w:line="560" w:lineRule="exact"/>
        <w:ind w:left="839" w:leftChars="266" w:hanging="280" w:hangingChars="100"/>
        <w:jc w:val="left"/>
        <w:textAlignment w:val="auto"/>
        <w:rPr>
          <w:rFonts w:hint="eastAsia" w:ascii="黑体" w:hAnsi="黑体" w:eastAsia="黑体"/>
          <w:sz w:val="28"/>
          <w:szCs w:val="28"/>
          <w:lang w:val="en-US" w:eastAsia="zh-CN"/>
        </w:rPr>
      </w:pPr>
      <w:r>
        <w:rPr>
          <w:rFonts w:hint="eastAsia" w:ascii="黑体" w:hAnsi="黑体" w:eastAsia="黑体"/>
          <w:sz w:val="28"/>
          <w:szCs w:val="28"/>
          <w:lang w:val="en-US" w:eastAsia="zh-CN"/>
        </w:rPr>
        <w:t>验收标准</w:t>
      </w:r>
    </w:p>
    <w:p>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sz w:val="28"/>
          <w:szCs w:val="28"/>
          <w:lang w:val="en-US" w:eastAsia="zh-CN"/>
        </w:rPr>
      </w:pPr>
      <w:r>
        <w:rPr>
          <w:rFonts w:hint="eastAsia" w:asciiTheme="minorEastAsia" w:hAnsiTheme="minorEastAsia"/>
          <w:sz w:val="28"/>
          <w:szCs w:val="28"/>
          <w:lang w:val="en-US" w:eastAsia="zh-CN"/>
        </w:rPr>
        <w:t>食堂油烟系统、玻璃清洗完成后，应按照以下标准进行验收，确保清洗质量符合要求：</w:t>
      </w:r>
    </w:p>
    <w:p>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sz w:val="28"/>
          <w:szCs w:val="28"/>
          <w:lang w:val="en-US" w:eastAsia="zh-CN"/>
        </w:rPr>
      </w:pPr>
      <w:r>
        <w:rPr>
          <w:rFonts w:hint="eastAsia" w:asciiTheme="minorEastAsia" w:hAnsiTheme="minorEastAsia"/>
          <w:sz w:val="28"/>
          <w:szCs w:val="28"/>
          <w:lang w:val="en-US" w:eastAsia="zh-CN"/>
        </w:rPr>
        <w:t>4.1感官验收：内外表面无可见油污，用手触摸表面无明显黏腻感。不锈钢材质应显现原有金属光泽，无清洗剂残留油污，绝缘子等配件清洁干燥。</w:t>
      </w:r>
    </w:p>
    <w:p>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default"/>
          <w:lang w:val="en-US" w:eastAsia="zh-CN"/>
        </w:rPr>
      </w:pPr>
      <w:r>
        <w:rPr>
          <w:rFonts w:hint="eastAsia" w:asciiTheme="minorEastAsia" w:hAnsiTheme="minorEastAsia"/>
          <w:sz w:val="28"/>
          <w:szCs w:val="28"/>
          <w:lang w:val="en-US" w:eastAsia="zh-CN"/>
        </w:rPr>
        <w:t>4.2设备验收：设备运行平稳，无异常振动和噪音，各连接处密封良好，无漏风漏水现象。安全设施完好，功能正常</w:t>
      </w:r>
    </w:p>
    <w:p>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eastAsia" w:ascii="黑体" w:hAnsi="黑体" w:eastAsia="黑体"/>
          <w:sz w:val="28"/>
          <w:szCs w:val="28"/>
          <w:lang w:val="en-US" w:eastAsia="zh-CN"/>
        </w:rPr>
      </w:pPr>
    </w:p>
    <w:p>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ascii="黑体" w:hAnsi="黑体" w:eastAsia="黑体"/>
          <w:sz w:val="28"/>
          <w:szCs w:val="28"/>
        </w:rPr>
      </w:pPr>
      <w:r>
        <w:rPr>
          <w:rFonts w:hint="eastAsia" w:ascii="黑体" w:hAnsi="黑体" w:eastAsia="黑体"/>
          <w:sz w:val="28"/>
          <w:szCs w:val="28"/>
          <w:lang w:val="en-US" w:eastAsia="zh-CN"/>
        </w:rPr>
        <w:t>5.安全管理</w:t>
      </w:r>
    </w:p>
    <w:p>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sz w:val="28"/>
          <w:szCs w:val="28"/>
          <w:lang w:val="en-US" w:eastAsia="zh-CN"/>
        </w:rPr>
      </w:pPr>
      <w:r>
        <w:rPr>
          <w:rFonts w:hint="eastAsia" w:asciiTheme="minorEastAsia" w:hAnsiTheme="minorEastAsia"/>
          <w:sz w:val="28"/>
          <w:szCs w:val="28"/>
          <w:lang w:val="en-US" w:eastAsia="zh-CN"/>
        </w:rPr>
        <w:t>5</w:t>
      </w:r>
      <w:r>
        <w:rPr>
          <w:rFonts w:hint="eastAsia" w:asciiTheme="minorEastAsia" w:hAnsiTheme="minorEastAsia"/>
          <w:sz w:val="28"/>
          <w:szCs w:val="28"/>
        </w:rPr>
        <w:t>.1</w:t>
      </w:r>
      <w:r>
        <w:rPr>
          <w:rFonts w:hint="eastAsia" w:asciiTheme="minorEastAsia" w:hAnsiTheme="minorEastAsia"/>
          <w:sz w:val="28"/>
          <w:szCs w:val="28"/>
          <w:lang w:val="en-US" w:eastAsia="zh-CN"/>
        </w:rPr>
        <w:t>安全责任制：明确现场负责人为安全第一责任人，负责监督安全措施落实。</w:t>
      </w:r>
    </w:p>
    <w:p>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sz w:val="28"/>
          <w:szCs w:val="28"/>
          <w:lang w:val="en-US" w:eastAsia="zh-CN"/>
        </w:rPr>
      </w:pPr>
      <w:r>
        <w:rPr>
          <w:rFonts w:hint="eastAsia" w:asciiTheme="minorEastAsia" w:hAnsiTheme="minorEastAsia"/>
          <w:sz w:val="28"/>
          <w:szCs w:val="28"/>
          <w:lang w:val="en-US" w:eastAsia="zh-CN"/>
        </w:rPr>
        <w:t>5.2现场安全管理：清洗作业区域应设置明显警示标志，必要时安排专人看守。高空等特殊作业时，必须严格执行相关安全规程。</w:t>
      </w:r>
    </w:p>
    <w:p>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sz w:val="28"/>
          <w:szCs w:val="28"/>
          <w:lang w:val="en-US" w:eastAsia="zh-CN"/>
        </w:rPr>
      </w:pPr>
      <w:r>
        <w:rPr>
          <w:rFonts w:hint="eastAsia" w:asciiTheme="minorEastAsia" w:hAnsiTheme="minorEastAsia"/>
          <w:sz w:val="28"/>
          <w:szCs w:val="28"/>
          <w:lang w:val="en-US" w:eastAsia="zh-CN"/>
        </w:rPr>
        <w:t>5.3安全用电：所有电动工具和设备应有可靠的接地保护和漏电保护装置。在潮湿环境作业时，应使用安全电压的电动工具。</w:t>
      </w:r>
    </w:p>
    <w:p>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default" w:asciiTheme="minorEastAsia" w:hAnsiTheme="minorEastAsia"/>
          <w:sz w:val="28"/>
          <w:szCs w:val="28"/>
          <w:lang w:val="en-US" w:eastAsia="zh-CN"/>
        </w:rPr>
      </w:pPr>
      <w:r>
        <w:rPr>
          <w:rFonts w:hint="eastAsia" w:asciiTheme="minorEastAsia" w:hAnsiTheme="minorEastAsia"/>
          <w:sz w:val="28"/>
          <w:szCs w:val="28"/>
          <w:lang w:val="en-US" w:eastAsia="zh-CN"/>
        </w:rPr>
        <w:t>5.4化学品管理：清洗剂等化学品应有明确的管理制度，强酸、强碱等危险化学品应有专人管理，明确使用规程。</w:t>
      </w:r>
    </w:p>
    <w:p>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ascii="黑体" w:hAnsi="黑体" w:eastAsia="黑体"/>
          <w:sz w:val="28"/>
          <w:szCs w:val="28"/>
        </w:rPr>
      </w:pPr>
      <w:r>
        <w:rPr>
          <w:rFonts w:hint="eastAsia" w:ascii="黑体" w:hAnsi="黑体" w:eastAsia="黑体"/>
          <w:sz w:val="28"/>
          <w:szCs w:val="28"/>
          <w:lang w:val="en-US" w:eastAsia="zh-CN"/>
        </w:rPr>
        <w:t>6.售后服务</w:t>
      </w:r>
    </w:p>
    <w:p>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default" w:ascii="Times New Roman" w:hAnsi="Times New Roman" w:cs="Times New Roman"/>
        </w:rPr>
      </w:pPr>
      <w:r>
        <w:rPr>
          <w:rFonts w:hint="eastAsia" w:asciiTheme="minorEastAsia" w:hAnsiTheme="minorEastAsia"/>
          <w:sz w:val="28"/>
          <w:szCs w:val="28"/>
          <w:lang w:val="en-US" w:eastAsia="zh-CN"/>
        </w:rPr>
        <w:t>质量保证：保质期1个月（保质期内食堂清洗过的物品有损坏或质量问题应免费返工）</w:t>
      </w:r>
    </w:p>
    <w:sectPr>
      <w:pgSz w:w="11906" w:h="16838"/>
      <w:pgMar w:top="1440" w:right="1800" w:bottom="1440" w:left="1800"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eastAsia="宋体"/>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6"/>
                      <w:rPr>
                        <w:rFonts w:hint="eastAsia" w:eastAsia="宋体"/>
                        <w:lang w:eastAsia="zh-CN"/>
                      </w:rPr>
                    </w:pP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CDCB27B"/>
    <w:multiLevelType w:val="singleLevel"/>
    <w:tmpl w:val="1CDCB27B"/>
    <w:lvl w:ilvl="0" w:tentative="0">
      <w:start w:val="3"/>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5F3269"/>
    <w:rsid w:val="0315429A"/>
    <w:rsid w:val="05B538EA"/>
    <w:rsid w:val="05BB4F82"/>
    <w:rsid w:val="089C542F"/>
    <w:rsid w:val="0A3F28CB"/>
    <w:rsid w:val="0B004B5E"/>
    <w:rsid w:val="0B176B66"/>
    <w:rsid w:val="0D0C06B6"/>
    <w:rsid w:val="0D6A0C74"/>
    <w:rsid w:val="146E63D0"/>
    <w:rsid w:val="16F94282"/>
    <w:rsid w:val="17195CD5"/>
    <w:rsid w:val="174B32AD"/>
    <w:rsid w:val="187B1E53"/>
    <w:rsid w:val="19297320"/>
    <w:rsid w:val="194155AD"/>
    <w:rsid w:val="1AC76089"/>
    <w:rsid w:val="1B6F57D5"/>
    <w:rsid w:val="1BCD51DB"/>
    <w:rsid w:val="1BDE776D"/>
    <w:rsid w:val="1C422AEE"/>
    <w:rsid w:val="1DBC53E5"/>
    <w:rsid w:val="1EA43EF7"/>
    <w:rsid w:val="1EE61F6E"/>
    <w:rsid w:val="1FE4784A"/>
    <w:rsid w:val="1FEE3FA3"/>
    <w:rsid w:val="23361110"/>
    <w:rsid w:val="24AF4B14"/>
    <w:rsid w:val="253051D6"/>
    <w:rsid w:val="25842B3C"/>
    <w:rsid w:val="25A073CB"/>
    <w:rsid w:val="25F7075F"/>
    <w:rsid w:val="261C766C"/>
    <w:rsid w:val="27F82CDF"/>
    <w:rsid w:val="28370B73"/>
    <w:rsid w:val="2B48702A"/>
    <w:rsid w:val="2C631425"/>
    <w:rsid w:val="2D545280"/>
    <w:rsid w:val="2E51752C"/>
    <w:rsid w:val="2E840698"/>
    <w:rsid w:val="301146F1"/>
    <w:rsid w:val="30EF1E8C"/>
    <w:rsid w:val="3188488B"/>
    <w:rsid w:val="31BA3584"/>
    <w:rsid w:val="31DB0743"/>
    <w:rsid w:val="31E7605F"/>
    <w:rsid w:val="336F6D43"/>
    <w:rsid w:val="33BA42D6"/>
    <w:rsid w:val="33E96339"/>
    <w:rsid w:val="34D36CAD"/>
    <w:rsid w:val="351362C8"/>
    <w:rsid w:val="37300AB5"/>
    <w:rsid w:val="382656EA"/>
    <w:rsid w:val="38584EB0"/>
    <w:rsid w:val="3B696B9D"/>
    <w:rsid w:val="3C8A2C84"/>
    <w:rsid w:val="3CAD5E20"/>
    <w:rsid w:val="3ED008FB"/>
    <w:rsid w:val="3F157E0B"/>
    <w:rsid w:val="40020CDF"/>
    <w:rsid w:val="403E2FD1"/>
    <w:rsid w:val="4077045D"/>
    <w:rsid w:val="418E526C"/>
    <w:rsid w:val="426113AB"/>
    <w:rsid w:val="431B5F63"/>
    <w:rsid w:val="44351DC1"/>
    <w:rsid w:val="451B5BEA"/>
    <w:rsid w:val="454926E3"/>
    <w:rsid w:val="45882FF7"/>
    <w:rsid w:val="45FA1C7B"/>
    <w:rsid w:val="469C6E6D"/>
    <w:rsid w:val="46DB6172"/>
    <w:rsid w:val="479E411C"/>
    <w:rsid w:val="496474E2"/>
    <w:rsid w:val="4A2D71EF"/>
    <w:rsid w:val="4AB93E6B"/>
    <w:rsid w:val="4B242AAD"/>
    <w:rsid w:val="4B366C1D"/>
    <w:rsid w:val="4BB53473"/>
    <w:rsid w:val="4C1B27DC"/>
    <w:rsid w:val="4C3900A5"/>
    <w:rsid w:val="4C961417"/>
    <w:rsid w:val="4D26487B"/>
    <w:rsid w:val="4D7D67AE"/>
    <w:rsid w:val="4EE179C4"/>
    <w:rsid w:val="50E87AF5"/>
    <w:rsid w:val="52C01DA2"/>
    <w:rsid w:val="531F6EC4"/>
    <w:rsid w:val="54035150"/>
    <w:rsid w:val="550A20F9"/>
    <w:rsid w:val="5519584B"/>
    <w:rsid w:val="58FA34C2"/>
    <w:rsid w:val="590B3253"/>
    <w:rsid w:val="592D7ADB"/>
    <w:rsid w:val="59BD2651"/>
    <w:rsid w:val="59D55C59"/>
    <w:rsid w:val="5C3A3B06"/>
    <w:rsid w:val="5CB1582C"/>
    <w:rsid w:val="5CC63BC1"/>
    <w:rsid w:val="5CEF75F7"/>
    <w:rsid w:val="5D3A5F4F"/>
    <w:rsid w:val="5D725B22"/>
    <w:rsid w:val="5EAE5485"/>
    <w:rsid w:val="5F3C4471"/>
    <w:rsid w:val="5FEE1A48"/>
    <w:rsid w:val="611B7105"/>
    <w:rsid w:val="624A58C1"/>
    <w:rsid w:val="62AA49F7"/>
    <w:rsid w:val="62CE5C07"/>
    <w:rsid w:val="64EB5B9C"/>
    <w:rsid w:val="65341937"/>
    <w:rsid w:val="656A3361"/>
    <w:rsid w:val="66001F98"/>
    <w:rsid w:val="67BD022C"/>
    <w:rsid w:val="68870616"/>
    <w:rsid w:val="68873869"/>
    <w:rsid w:val="68A45DBE"/>
    <w:rsid w:val="69B34E10"/>
    <w:rsid w:val="69BB7462"/>
    <w:rsid w:val="6AB93BCD"/>
    <w:rsid w:val="6BBF3861"/>
    <w:rsid w:val="6C4B668A"/>
    <w:rsid w:val="6F4B06C3"/>
    <w:rsid w:val="6F8F6BD9"/>
    <w:rsid w:val="70284131"/>
    <w:rsid w:val="702A58C5"/>
    <w:rsid w:val="71103F3B"/>
    <w:rsid w:val="712E0BB6"/>
    <w:rsid w:val="715C6CBE"/>
    <w:rsid w:val="730F35A5"/>
    <w:rsid w:val="73885472"/>
    <w:rsid w:val="73A772CD"/>
    <w:rsid w:val="743131FA"/>
    <w:rsid w:val="747C0088"/>
    <w:rsid w:val="74BD0990"/>
    <w:rsid w:val="75B15EA3"/>
    <w:rsid w:val="781B066C"/>
    <w:rsid w:val="78C60FB3"/>
    <w:rsid w:val="7AD0445A"/>
    <w:rsid w:val="7B3A7937"/>
    <w:rsid w:val="7B80455E"/>
    <w:rsid w:val="7C54371D"/>
    <w:rsid w:val="7C6524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1"/>
    <w:basedOn w:val="1"/>
    <w:next w:val="1"/>
    <w:qFormat/>
    <w:uiPriority w:val="0"/>
    <w:pPr>
      <w:keepNext/>
      <w:keepLines/>
      <w:spacing w:after="0" w:line="360" w:lineRule="auto"/>
      <w:ind w:firstLine="200" w:firstLineChars="200"/>
      <w:outlineLvl w:val="0"/>
    </w:pPr>
    <w:rPr>
      <w:rFonts w:ascii="仿宋" w:hAnsi="仿宋" w:eastAsia="仿宋"/>
      <w:b/>
      <w:sz w:val="28"/>
      <w:szCs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3"/>
    <w:next w:val="3"/>
    <w:semiHidden/>
    <w:unhideWhenUsed/>
    <w:qFormat/>
    <w:uiPriority w:val="99"/>
    <w:pPr>
      <w:spacing w:after="120" w:afterLines="0" w:afterAutospacing="0"/>
    </w:pPr>
  </w:style>
  <w:style w:type="paragraph" w:styleId="3">
    <w:name w:val="Title"/>
    <w:basedOn w:val="1"/>
    <w:next w:val="1"/>
    <w:qFormat/>
    <w:uiPriority w:val="10"/>
    <w:pPr>
      <w:ind w:firstLine="0" w:firstLineChars="0"/>
      <w:jc w:val="center"/>
    </w:pPr>
    <w:rPr>
      <w:rFonts w:ascii="等线 Light" w:hAnsi="等线 Light" w:eastAsia="方正小标宋简体"/>
      <w:b/>
      <w:bCs/>
      <w:kern w:val="0"/>
      <w:sz w:val="48"/>
      <w:szCs w:val="32"/>
    </w:rPr>
  </w:style>
  <w:style w:type="paragraph" w:styleId="5">
    <w:name w:val="annotation text"/>
    <w:basedOn w:val="1"/>
    <w:unhideWhenUsed/>
    <w:qFormat/>
    <w:uiPriority w:val="99"/>
    <w:pPr>
      <w:jc w:val="left"/>
    </w:pPr>
  </w:style>
  <w:style w:type="paragraph" w:styleId="6">
    <w:name w:val="footer"/>
    <w:basedOn w:val="1"/>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10">
    <w:name w:val="目录 21"/>
    <w:basedOn w:val="1"/>
    <w:next w:val="1"/>
    <w:qFormat/>
    <w:uiPriority w:val="0"/>
    <w:pPr>
      <w:spacing w:before="100" w:beforeAutospacing="1" w:after="100" w:afterAutospacing="1"/>
      <w:ind w:left="420" w:left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2020-12-01T09:30:00Z</dcterms:created>
  <dc:creator>Administrator</dc:creator>
  <cp:lastModifiedBy>段显亭</cp:lastModifiedBy>
  <dcterms:modified xsi:type="dcterms:W3CDTF">2025-11-17T08:59:45Z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9E3191DF0D0F46238A5A7E8C400482C9</vt:lpwstr>
  </property>
</Properties>
</file>