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能源公司光伏组件设计寿命评估服务</w:t>
      </w:r>
    </w:p>
    <w:p>
      <w:pPr>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采购要求</w:t>
      </w:r>
    </w:p>
    <w:p>
      <w:pPr>
        <w:pStyle w:val="2"/>
        <w:ind w:firstLine="880"/>
        <w:rPr>
          <w:rFonts w:hint="eastAsia" w:ascii="方正小标宋_GBK" w:hAnsi="方正小标宋_GBK" w:eastAsia="方正小标宋_GBK" w:cs="方正小标宋_GBK"/>
          <w:bCs/>
          <w:sz w:val="44"/>
          <w:szCs w:val="44"/>
        </w:rPr>
      </w:pPr>
    </w:p>
    <w:p>
      <w:pPr>
        <w:adjustRightInd w:val="0"/>
        <w:snapToGrid w:val="0"/>
        <w:spacing w:line="560" w:lineRule="exact"/>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一、项目概述</w:t>
      </w:r>
    </w:p>
    <w:p>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因公司业务需要，拟向具备检测认证能力的机构采购服务，根据我司提供的项目地址、组件等设备参数及试验报告等内容，按区域对组件等设备适应性进行分析，评估其设计寿命，并出具设计寿命评估报告。</w:t>
      </w:r>
    </w:p>
    <w:p>
      <w:pPr>
        <w:adjustRightInd w:val="0"/>
        <w:snapToGrid w:val="0"/>
        <w:spacing w:line="560" w:lineRule="exact"/>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二、供应商资格</w:t>
      </w:r>
    </w:p>
    <w:p>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（1）同时具备中国国家认证认可监督管理委员会颁发的检验检测机构资质认定证书CMA、中国合格评定国家认可委员会实验室认可证书CNAS。</w:t>
      </w:r>
    </w:p>
    <w:p>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（2）近三年（2022年1月1日起至今）具有类似技术服务业绩。</w:t>
      </w:r>
    </w:p>
    <w:p>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供应商需提供：</w:t>
      </w:r>
    </w:p>
    <w:p>
      <w:pPr>
        <w:numPr>
          <w:ilvl w:val="0"/>
          <w:numId w:val="1"/>
        </w:num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CMA、CNAS证书扫描件。</w:t>
      </w:r>
    </w:p>
    <w:p>
      <w:pPr>
        <w:numPr>
          <w:ilvl w:val="0"/>
          <w:numId w:val="1"/>
        </w:num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近三年（2022年1月1日年投标截止之日）具有类似项目业绩（提供类似业绩的合同扫描件及发票，合同扫描件须至少包含：合同双方盖章页、合同签订时间和关键信息页，以合同签订时间为准）。</w:t>
      </w:r>
    </w:p>
    <w:p>
      <w:pPr>
        <w:pStyle w:val="2"/>
      </w:pPr>
    </w:p>
    <w:p>
      <w:pPr>
        <w:adjustRightInd w:val="0"/>
        <w:snapToGrid w:val="0"/>
        <w:spacing w:line="560" w:lineRule="exact"/>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三、供应商选择原则</w:t>
      </w:r>
    </w:p>
    <w:p>
      <w:pPr>
        <w:pStyle w:val="2"/>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经不少于三家比较评审，综合得分最高的一家作为本次采购的供应商，综合得分=商务技术分×商务技术分权重+价格分×价格分权重。</w:t>
      </w:r>
    </w:p>
    <w:p>
      <w:pPr>
        <w:pStyle w:val="2"/>
        <w:ind w:firstLine="640"/>
        <w:rPr>
          <w:rFonts w:ascii="仿宋_GB2312" w:hAnsi="仿宋_GB2312" w:eastAsia="仿宋_GB2312" w:cs="仿宋_GB2312"/>
          <w:sz w:val="32"/>
          <w:szCs w:val="32"/>
        </w:rPr>
      </w:pPr>
    </w:p>
    <w:tbl>
      <w:tblPr>
        <w:tblStyle w:val="17"/>
        <w:tblpPr w:leftFromText="180" w:rightFromText="180" w:vertAnchor="text" w:horzAnchor="page" w:tblpX="1770" w:tblpYSpec="bottom"/>
        <w:tblOverlap w:val="never"/>
        <w:tblW w:w="5000" w:type="pct"/>
        <w:tblInd w:w="0" w:type="dxa"/>
        <w:tblLayout w:type="autofit"/>
        <w:tblCellMar>
          <w:top w:w="0" w:type="dxa"/>
          <w:left w:w="108" w:type="dxa"/>
          <w:bottom w:w="0" w:type="dxa"/>
          <w:right w:w="108" w:type="dxa"/>
        </w:tblCellMar>
      </w:tblPr>
      <w:tblGrid>
        <w:gridCol w:w="705"/>
        <w:gridCol w:w="706"/>
        <w:gridCol w:w="714"/>
        <w:gridCol w:w="704"/>
        <w:gridCol w:w="2134"/>
        <w:gridCol w:w="2840"/>
        <w:gridCol w:w="719"/>
      </w:tblGrid>
      <w:tr>
        <w:tblPrEx>
          <w:tblCellMar>
            <w:top w:w="0" w:type="dxa"/>
            <w:left w:w="108" w:type="dxa"/>
            <w:bottom w:w="0" w:type="dxa"/>
            <w:right w:w="108" w:type="dxa"/>
          </w:tblCellMar>
        </w:tblPrEx>
        <w:trPr>
          <w:trHeight w:val="300" w:hRule="atLeast"/>
        </w:trPr>
        <w:tc>
          <w:tcPr>
            <w:tcW w:w="5000" w:type="pct"/>
            <w:gridSpan w:val="7"/>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供应商选择办法</w:t>
            </w:r>
          </w:p>
        </w:tc>
      </w:tr>
      <w:tr>
        <w:tblPrEx>
          <w:tblCellMar>
            <w:top w:w="0" w:type="dxa"/>
            <w:left w:w="108" w:type="dxa"/>
            <w:bottom w:w="0" w:type="dxa"/>
            <w:right w:w="108" w:type="dxa"/>
          </w:tblCellMar>
        </w:tblPrEx>
        <w:trPr>
          <w:trHeight w:val="300" w:hRule="atLeast"/>
        </w:trPr>
        <w:tc>
          <w:tcPr>
            <w:tcW w:w="1247" w:type="pct"/>
            <w:gridSpan w:val="3"/>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分值权重表</w:t>
            </w:r>
          </w:p>
        </w:tc>
        <w:tc>
          <w:tcPr>
            <w:tcW w:w="1665" w:type="pct"/>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商务技术分权重</w:t>
            </w:r>
          </w:p>
        </w:tc>
        <w:tc>
          <w:tcPr>
            <w:tcW w:w="166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价格分权重</w:t>
            </w:r>
          </w:p>
        </w:tc>
        <w:tc>
          <w:tcPr>
            <w:tcW w:w="42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r>
              <w:rPr>
                <w:rFonts w:hint="eastAsia" w:ascii="宋体" w:hAnsi="宋体" w:cs="宋体"/>
                <w:color w:val="000000"/>
                <w:szCs w:val="21"/>
              </w:rPr>
              <w:t>备注</w:t>
            </w:r>
          </w:p>
        </w:tc>
      </w:tr>
      <w:tr>
        <w:tblPrEx>
          <w:tblCellMar>
            <w:top w:w="0" w:type="dxa"/>
            <w:left w:w="108" w:type="dxa"/>
            <w:bottom w:w="0" w:type="dxa"/>
            <w:right w:w="108" w:type="dxa"/>
          </w:tblCellMar>
        </w:tblPrEx>
        <w:trPr>
          <w:trHeight w:val="795" w:hRule="atLeast"/>
        </w:trPr>
        <w:tc>
          <w:tcPr>
            <w:tcW w:w="1247" w:type="pct"/>
            <w:gridSpan w:val="3"/>
            <w:vMerge w:val="continue"/>
            <w:tcBorders>
              <w:left w:val="single" w:color="000000" w:sz="4" w:space="0"/>
              <w:bottom w:val="single" w:color="000000" w:sz="4" w:space="0"/>
              <w:right w:val="single" w:color="000000" w:sz="4" w:space="0"/>
            </w:tcBorders>
            <w:noWrap/>
            <w:vAlign w:val="center"/>
          </w:tcPr>
          <w:p>
            <w:pPr>
              <w:jc w:val="center"/>
              <w:rPr>
                <w:rFonts w:hint="eastAsia" w:ascii="宋体" w:hAnsi="宋体" w:cs="宋体"/>
                <w:color w:val="000000"/>
                <w:szCs w:val="21"/>
              </w:rPr>
            </w:pPr>
          </w:p>
        </w:tc>
        <w:tc>
          <w:tcPr>
            <w:tcW w:w="1665" w:type="pct"/>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50%</w:t>
            </w:r>
          </w:p>
        </w:tc>
        <w:tc>
          <w:tcPr>
            <w:tcW w:w="166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50%</w:t>
            </w:r>
          </w:p>
        </w:tc>
        <w:tc>
          <w:tcPr>
            <w:tcW w:w="42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r>
      <w:tr>
        <w:tblPrEx>
          <w:tblCellMar>
            <w:top w:w="0" w:type="dxa"/>
            <w:left w:w="108" w:type="dxa"/>
            <w:bottom w:w="0" w:type="dxa"/>
            <w:right w:w="108" w:type="dxa"/>
          </w:tblCellMar>
        </w:tblPrEx>
        <w:trPr>
          <w:trHeight w:val="300" w:hRule="atLeast"/>
        </w:trPr>
        <w:tc>
          <w:tcPr>
            <w:tcW w:w="1247" w:type="pct"/>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综合分计算</w:t>
            </w:r>
          </w:p>
        </w:tc>
        <w:tc>
          <w:tcPr>
            <w:tcW w:w="3752" w:type="pct"/>
            <w:gridSpan w:val="4"/>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eastAsia="zh-CN" w:bidi="ar"/>
              </w:rPr>
              <w:t>供应商</w:t>
            </w:r>
            <w:r>
              <w:rPr>
                <w:rFonts w:hint="eastAsia" w:ascii="宋体" w:hAnsi="宋体" w:cs="宋体"/>
                <w:color w:val="000000"/>
                <w:kern w:val="0"/>
                <w:szCs w:val="21"/>
                <w:lang w:bidi="ar"/>
              </w:rPr>
              <w:t>得分=商务技术分×商务技术分权重+价格分×价格分权重</w:t>
            </w:r>
          </w:p>
        </w:tc>
      </w:tr>
      <w:tr>
        <w:tblPrEx>
          <w:tblCellMar>
            <w:top w:w="0" w:type="dxa"/>
            <w:left w:w="108" w:type="dxa"/>
            <w:bottom w:w="0" w:type="dxa"/>
            <w:right w:w="108" w:type="dxa"/>
          </w:tblCellMar>
        </w:tblPrEx>
        <w:trPr>
          <w:trHeight w:val="300" w:hRule="atLeast"/>
        </w:trPr>
        <w:tc>
          <w:tcPr>
            <w:tcW w:w="414"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商务技术评分办法</w:t>
            </w:r>
          </w:p>
        </w:tc>
        <w:tc>
          <w:tcPr>
            <w:tcW w:w="41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序号</w:t>
            </w:r>
          </w:p>
        </w:tc>
        <w:tc>
          <w:tcPr>
            <w:tcW w:w="832" w:type="pct"/>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条款名称</w:t>
            </w:r>
          </w:p>
        </w:tc>
        <w:tc>
          <w:tcPr>
            <w:tcW w:w="2917" w:type="pct"/>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条款描述</w:t>
            </w:r>
          </w:p>
        </w:tc>
        <w:tc>
          <w:tcPr>
            <w:tcW w:w="4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分值</w:t>
            </w:r>
          </w:p>
        </w:tc>
      </w:tr>
      <w:tr>
        <w:tblPrEx>
          <w:tblCellMar>
            <w:top w:w="0" w:type="dxa"/>
            <w:left w:w="108" w:type="dxa"/>
            <w:bottom w:w="0" w:type="dxa"/>
            <w:right w:w="108" w:type="dxa"/>
          </w:tblCellMar>
        </w:tblPrEx>
        <w:trPr>
          <w:trHeight w:val="300" w:hRule="atLeast"/>
        </w:trPr>
        <w:tc>
          <w:tcPr>
            <w:tcW w:w="414"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c>
          <w:tcPr>
            <w:tcW w:w="414"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832" w:type="pct"/>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eastAsia="zh-CN" w:bidi="ar"/>
              </w:rPr>
              <w:t>供应商</w:t>
            </w:r>
            <w:r>
              <w:rPr>
                <w:rFonts w:hint="eastAsia" w:ascii="宋体" w:hAnsi="宋体" w:cs="宋体"/>
                <w:color w:val="000000"/>
                <w:kern w:val="0"/>
                <w:szCs w:val="21"/>
                <w:lang w:bidi="ar"/>
              </w:rPr>
              <w:t>信誉</w:t>
            </w:r>
          </w:p>
        </w:tc>
        <w:tc>
          <w:tcPr>
            <w:tcW w:w="2917"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企业管理体系</w:t>
            </w:r>
          </w:p>
        </w:tc>
        <w:tc>
          <w:tcPr>
            <w:tcW w:w="420"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bottom"/>
              <w:rPr>
                <w:rFonts w:hint="eastAsia" w:ascii="宋体" w:hAnsi="宋体" w:cs="宋体"/>
                <w:color w:val="000000"/>
                <w:szCs w:val="21"/>
              </w:rPr>
            </w:pPr>
            <w:r>
              <w:rPr>
                <w:rFonts w:hint="eastAsia" w:ascii="宋体" w:hAnsi="宋体" w:cs="宋体"/>
                <w:color w:val="000000"/>
                <w:kern w:val="0"/>
                <w:szCs w:val="21"/>
                <w:lang w:bidi="ar"/>
              </w:rPr>
              <w:t>20</w:t>
            </w:r>
          </w:p>
        </w:tc>
      </w:tr>
      <w:tr>
        <w:tblPrEx>
          <w:tblCellMar>
            <w:top w:w="0" w:type="dxa"/>
            <w:left w:w="108" w:type="dxa"/>
            <w:bottom w:w="0" w:type="dxa"/>
            <w:right w:w="108" w:type="dxa"/>
          </w:tblCellMar>
        </w:tblPrEx>
        <w:trPr>
          <w:trHeight w:val="300" w:hRule="atLeast"/>
        </w:trPr>
        <w:tc>
          <w:tcPr>
            <w:tcW w:w="414"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c>
          <w:tcPr>
            <w:tcW w:w="414"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c>
          <w:tcPr>
            <w:tcW w:w="832" w:type="pct"/>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c>
          <w:tcPr>
            <w:tcW w:w="2917"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1.无质量管理体系认证证书的，本项不得分；</w:t>
            </w:r>
          </w:p>
        </w:tc>
        <w:tc>
          <w:tcPr>
            <w:tcW w:w="42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r>
      <w:tr>
        <w:tblPrEx>
          <w:tblCellMar>
            <w:top w:w="0" w:type="dxa"/>
            <w:left w:w="108" w:type="dxa"/>
            <w:bottom w:w="0" w:type="dxa"/>
            <w:right w:w="108" w:type="dxa"/>
          </w:tblCellMar>
        </w:tblPrEx>
        <w:trPr>
          <w:trHeight w:val="614" w:hRule="atLeast"/>
        </w:trPr>
        <w:tc>
          <w:tcPr>
            <w:tcW w:w="414"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c>
          <w:tcPr>
            <w:tcW w:w="414"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c>
          <w:tcPr>
            <w:tcW w:w="832" w:type="pct"/>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c>
          <w:tcPr>
            <w:tcW w:w="2917"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2.有质量管理体系认证证书得基础分8分，有环境管理体系认证证书、职业健康安全管理体系认证证书，各得6分；</w:t>
            </w:r>
          </w:p>
        </w:tc>
        <w:tc>
          <w:tcPr>
            <w:tcW w:w="42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r>
      <w:tr>
        <w:tblPrEx>
          <w:tblCellMar>
            <w:top w:w="0" w:type="dxa"/>
            <w:left w:w="108" w:type="dxa"/>
            <w:bottom w:w="0" w:type="dxa"/>
            <w:right w:w="108" w:type="dxa"/>
          </w:tblCellMar>
        </w:tblPrEx>
        <w:trPr>
          <w:trHeight w:val="1290" w:hRule="atLeast"/>
        </w:trPr>
        <w:tc>
          <w:tcPr>
            <w:tcW w:w="414"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c>
          <w:tcPr>
            <w:tcW w:w="41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2</w:t>
            </w:r>
          </w:p>
        </w:tc>
        <w:tc>
          <w:tcPr>
            <w:tcW w:w="832" w:type="pct"/>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符合要求的业绩情况</w:t>
            </w:r>
          </w:p>
        </w:tc>
        <w:tc>
          <w:tcPr>
            <w:tcW w:w="2917"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除资格条件要求的业绩以外，</w:t>
            </w:r>
            <w:r>
              <w:rPr>
                <w:rFonts w:hint="eastAsia" w:ascii="宋体" w:hAnsi="宋体" w:cs="宋体"/>
                <w:color w:val="000000"/>
                <w:kern w:val="0"/>
                <w:szCs w:val="21"/>
                <w:lang w:eastAsia="zh-CN" w:bidi="ar"/>
              </w:rPr>
              <w:t>供应商</w:t>
            </w:r>
            <w:r>
              <w:rPr>
                <w:rFonts w:hint="eastAsia" w:ascii="宋体" w:hAnsi="宋体" w:cs="宋体"/>
                <w:color w:val="000000"/>
                <w:kern w:val="0"/>
                <w:szCs w:val="21"/>
                <w:lang w:bidi="ar"/>
              </w:rPr>
              <w:t>每增加一个符合</w:t>
            </w:r>
            <w:r>
              <w:rPr>
                <w:rFonts w:hint="eastAsia" w:ascii="宋体" w:hAnsi="宋体" w:cs="宋体"/>
                <w:color w:val="000000"/>
                <w:kern w:val="0"/>
                <w:szCs w:val="21"/>
                <w:lang w:eastAsia="zh-CN" w:bidi="ar"/>
              </w:rPr>
              <w:t>供应商</w:t>
            </w:r>
            <w:r>
              <w:rPr>
                <w:rFonts w:hint="eastAsia" w:ascii="宋体" w:hAnsi="宋体" w:cs="宋体"/>
                <w:color w:val="000000"/>
                <w:kern w:val="0"/>
                <w:szCs w:val="21"/>
                <w:lang w:bidi="ar"/>
              </w:rPr>
              <w:t>资格条件的业绩计</w:t>
            </w:r>
            <w:r>
              <w:rPr>
                <w:rFonts w:hint="eastAsia" w:ascii="宋体" w:hAnsi="宋体" w:cs="宋体"/>
                <w:color w:val="000000"/>
                <w:kern w:val="0"/>
                <w:szCs w:val="21"/>
                <w:lang w:val="en-US" w:eastAsia="zh-CN" w:bidi="ar"/>
              </w:rPr>
              <w:t>10</w:t>
            </w:r>
            <w:r>
              <w:rPr>
                <w:rFonts w:hint="eastAsia" w:ascii="宋体" w:hAnsi="宋体" w:cs="宋体"/>
                <w:color w:val="000000"/>
                <w:kern w:val="0"/>
                <w:szCs w:val="21"/>
                <w:lang w:bidi="ar"/>
              </w:rPr>
              <w:t>分，最高</w:t>
            </w:r>
            <w:r>
              <w:rPr>
                <w:rFonts w:hint="eastAsia" w:ascii="宋体" w:hAnsi="宋体" w:cs="宋体"/>
                <w:color w:val="000000"/>
                <w:kern w:val="0"/>
                <w:szCs w:val="21"/>
                <w:lang w:val="en-US" w:eastAsia="zh-CN" w:bidi="ar"/>
              </w:rPr>
              <w:t>3</w:t>
            </w:r>
            <w:r>
              <w:rPr>
                <w:rFonts w:hint="eastAsia" w:ascii="宋体" w:hAnsi="宋体" w:cs="宋体"/>
                <w:color w:val="000000"/>
                <w:kern w:val="0"/>
                <w:szCs w:val="21"/>
                <w:lang w:bidi="ar"/>
              </w:rPr>
              <w:t>0分（</w:t>
            </w:r>
            <w:r>
              <w:rPr>
                <w:rFonts w:hint="eastAsia" w:ascii="宋体" w:hAnsi="宋体" w:cs="宋体"/>
                <w:color w:val="000000"/>
                <w:kern w:val="0"/>
                <w:szCs w:val="21"/>
                <w:lang w:eastAsia="zh-CN" w:bidi="ar"/>
              </w:rPr>
              <w:t>供应商</w:t>
            </w:r>
            <w:r>
              <w:rPr>
                <w:rFonts w:hint="eastAsia" w:ascii="宋体" w:hAnsi="宋体" w:cs="宋体"/>
                <w:color w:val="000000"/>
                <w:kern w:val="0"/>
                <w:szCs w:val="21"/>
                <w:lang w:bidi="ar"/>
              </w:rPr>
              <w:t>应在投标文件中提供业绩汇总表，并注明作为评分业绩的项目；须提供合同复印件，包括但不限于显示工作范围等信息的合同关键页、签署页，以合同显示时间为准）。</w:t>
            </w:r>
          </w:p>
        </w:tc>
        <w:tc>
          <w:tcPr>
            <w:tcW w:w="4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bottom"/>
              <w:rPr>
                <w:rFonts w:hint="eastAsia" w:ascii="宋体" w:hAnsi="宋体" w:cs="宋体"/>
                <w:color w:val="000000"/>
                <w:szCs w:val="21"/>
              </w:rPr>
            </w:pPr>
            <w:r>
              <w:rPr>
                <w:rFonts w:hint="eastAsia" w:ascii="宋体" w:hAnsi="宋体" w:cs="宋体"/>
                <w:color w:val="000000"/>
                <w:kern w:val="0"/>
                <w:szCs w:val="21"/>
                <w:lang w:val="en-US" w:eastAsia="zh-CN" w:bidi="ar"/>
              </w:rPr>
              <w:t>3</w:t>
            </w:r>
            <w:r>
              <w:rPr>
                <w:rFonts w:hint="eastAsia" w:ascii="宋体" w:hAnsi="宋体" w:cs="宋体"/>
                <w:color w:val="000000"/>
                <w:kern w:val="0"/>
                <w:szCs w:val="21"/>
                <w:lang w:bidi="ar"/>
              </w:rPr>
              <w:t>0</w:t>
            </w:r>
          </w:p>
        </w:tc>
      </w:tr>
      <w:tr>
        <w:tblPrEx>
          <w:tblCellMar>
            <w:top w:w="0" w:type="dxa"/>
            <w:left w:w="108" w:type="dxa"/>
            <w:bottom w:w="0" w:type="dxa"/>
            <w:right w:w="108" w:type="dxa"/>
          </w:tblCellMar>
        </w:tblPrEx>
        <w:trPr>
          <w:trHeight w:val="525" w:hRule="atLeast"/>
        </w:trPr>
        <w:tc>
          <w:tcPr>
            <w:tcW w:w="414"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c>
          <w:tcPr>
            <w:tcW w:w="41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832" w:type="pct"/>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承诺完成时间</w:t>
            </w:r>
          </w:p>
        </w:tc>
        <w:tc>
          <w:tcPr>
            <w:tcW w:w="2917"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有详细的光伏组件设计寿命评估报告完成时间，对各供应商进行横向对比，第一名得</w:t>
            </w:r>
            <w:r>
              <w:rPr>
                <w:rFonts w:hint="eastAsia" w:ascii="宋体" w:hAnsi="宋体" w:cs="宋体"/>
                <w:color w:val="000000"/>
                <w:kern w:val="0"/>
                <w:szCs w:val="21"/>
                <w:lang w:val="en-US" w:eastAsia="zh-CN" w:bidi="ar"/>
              </w:rPr>
              <w:t>3</w:t>
            </w:r>
            <w:bookmarkStart w:id="0" w:name="_GoBack"/>
            <w:bookmarkEnd w:id="0"/>
            <w:r>
              <w:rPr>
                <w:rFonts w:hint="eastAsia" w:ascii="宋体" w:hAnsi="宋体" w:cs="宋体"/>
                <w:color w:val="000000"/>
                <w:kern w:val="0"/>
                <w:szCs w:val="21"/>
                <w:lang w:bidi="ar"/>
              </w:rPr>
              <w:t>0分，第二名得20分，以此类推。排名可并列。</w:t>
            </w:r>
          </w:p>
        </w:tc>
        <w:tc>
          <w:tcPr>
            <w:tcW w:w="4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000000"/>
                <w:szCs w:val="21"/>
              </w:rPr>
            </w:pPr>
            <w:r>
              <w:rPr>
                <w:rFonts w:hint="eastAsia"/>
                <w:color w:val="000000"/>
                <w:kern w:val="0"/>
                <w:szCs w:val="21"/>
                <w:lang w:val="en-US" w:eastAsia="zh-CN" w:bidi="ar"/>
              </w:rPr>
              <w:t>3</w:t>
            </w:r>
            <w:r>
              <w:rPr>
                <w:color w:val="000000"/>
                <w:kern w:val="0"/>
                <w:szCs w:val="21"/>
                <w:lang w:bidi="ar"/>
              </w:rPr>
              <w:t>0</w:t>
            </w:r>
          </w:p>
        </w:tc>
      </w:tr>
      <w:tr>
        <w:tblPrEx>
          <w:tblCellMar>
            <w:top w:w="0" w:type="dxa"/>
            <w:left w:w="108" w:type="dxa"/>
            <w:bottom w:w="0" w:type="dxa"/>
            <w:right w:w="108" w:type="dxa"/>
          </w:tblCellMar>
        </w:tblPrEx>
        <w:trPr>
          <w:trHeight w:val="555" w:hRule="atLeast"/>
        </w:trPr>
        <w:tc>
          <w:tcPr>
            <w:tcW w:w="414"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c>
          <w:tcPr>
            <w:tcW w:w="414"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4</w:t>
            </w:r>
          </w:p>
        </w:tc>
        <w:tc>
          <w:tcPr>
            <w:tcW w:w="832" w:type="pct"/>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服务方案</w:t>
            </w:r>
          </w:p>
        </w:tc>
        <w:tc>
          <w:tcPr>
            <w:tcW w:w="2917"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w:t>
            </w:r>
            <w:r>
              <w:rPr>
                <w:color w:val="000000"/>
                <w:kern w:val="0"/>
                <w:szCs w:val="21"/>
                <w:lang w:bidi="ar"/>
              </w:rPr>
              <w:t>1</w:t>
            </w:r>
            <w:r>
              <w:rPr>
                <w:rFonts w:hint="eastAsia" w:ascii="宋体" w:hAnsi="宋体" w:cs="宋体"/>
                <w:color w:val="000000"/>
                <w:kern w:val="0"/>
                <w:szCs w:val="21"/>
                <w:lang w:bidi="ar"/>
              </w:rPr>
              <w:t>）响应时间：出具光伏组件设计寿命评估报告后，对采购方需求响应时间，对各供应商进行横向对比，第一名得10分，第二名得8分，以此类推。排名可并列。</w:t>
            </w:r>
          </w:p>
        </w:tc>
        <w:tc>
          <w:tcPr>
            <w:tcW w:w="420"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bottom"/>
              <w:rPr>
                <w:rFonts w:hint="eastAsia" w:ascii="宋体" w:hAnsi="宋体" w:cs="宋体"/>
                <w:color w:val="000000"/>
                <w:szCs w:val="21"/>
              </w:rPr>
            </w:pPr>
            <w:r>
              <w:rPr>
                <w:rFonts w:hint="eastAsia" w:ascii="宋体" w:hAnsi="宋体" w:cs="宋体"/>
                <w:color w:val="000000"/>
                <w:kern w:val="0"/>
                <w:szCs w:val="21"/>
                <w:lang w:bidi="ar"/>
              </w:rPr>
              <w:t>20</w:t>
            </w:r>
          </w:p>
        </w:tc>
      </w:tr>
      <w:tr>
        <w:tblPrEx>
          <w:tblCellMar>
            <w:top w:w="0" w:type="dxa"/>
            <w:left w:w="108" w:type="dxa"/>
            <w:bottom w:w="0" w:type="dxa"/>
            <w:right w:w="108" w:type="dxa"/>
          </w:tblCellMar>
        </w:tblPrEx>
        <w:trPr>
          <w:trHeight w:val="810" w:hRule="atLeast"/>
        </w:trPr>
        <w:tc>
          <w:tcPr>
            <w:tcW w:w="414"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c>
          <w:tcPr>
            <w:tcW w:w="414"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c>
          <w:tcPr>
            <w:tcW w:w="832" w:type="pct"/>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c>
          <w:tcPr>
            <w:tcW w:w="2917" w:type="pct"/>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w:t>
            </w:r>
            <w:r>
              <w:rPr>
                <w:rFonts w:hint="eastAsia"/>
                <w:color w:val="000000"/>
                <w:kern w:val="0"/>
                <w:szCs w:val="21"/>
                <w:lang w:bidi="ar"/>
              </w:rPr>
              <w:t>2</w:t>
            </w:r>
            <w:r>
              <w:rPr>
                <w:rFonts w:hint="eastAsia" w:ascii="宋体" w:hAnsi="宋体" w:cs="宋体"/>
                <w:color w:val="000000"/>
                <w:kern w:val="0"/>
                <w:szCs w:val="21"/>
                <w:lang w:bidi="ar"/>
              </w:rPr>
              <w:t>）质量保证：光伏组件设计寿命评估服务的质量保证措施，对各供应商进行横向对比，第一名得10分，第二名得8分，以此类推。排名可并列。</w:t>
            </w:r>
          </w:p>
        </w:tc>
        <w:tc>
          <w:tcPr>
            <w:tcW w:w="420"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r>
      <w:tr>
        <w:tblPrEx>
          <w:tblCellMar>
            <w:top w:w="0" w:type="dxa"/>
            <w:left w:w="108" w:type="dxa"/>
            <w:bottom w:w="0" w:type="dxa"/>
            <w:right w:w="108" w:type="dxa"/>
          </w:tblCellMar>
        </w:tblPrEx>
        <w:trPr>
          <w:trHeight w:val="300" w:hRule="atLeast"/>
        </w:trPr>
        <w:tc>
          <w:tcPr>
            <w:tcW w:w="414"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c>
          <w:tcPr>
            <w:tcW w:w="41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8</w:t>
            </w:r>
          </w:p>
        </w:tc>
        <w:tc>
          <w:tcPr>
            <w:tcW w:w="832" w:type="pct"/>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合计</w:t>
            </w:r>
          </w:p>
        </w:tc>
        <w:tc>
          <w:tcPr>
            <w:tcW w:w="2917" w:type="pct"/>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c>
          <w:tcPr>
            <w:tcW w:w="4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100</w:t>
            </w:r>
          </w:p>
        </w:tc>
      </w:tr>
      <w:tr>
        <w:tblPrEx>
          <w:tblCellMar>
            <w:top w:w="0" w:type="dxa"/>
            <w:left w:w="108" w:type="dxa"/>
            <w:bottom w:w="0" w:type="dxa"/>
            <w:right w:w="108" w:type="dxa"/>
          </w:tblCellMar>
        </w:tblPrEx>
        <w:trPr>
          <w:trHeight w:val="300" w:hRule="atLeast"/>
        </w:trPr>
        <w:tc>
          <w:tcPr>
            <w:tcW w:w="41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价格分评分办法</w:t>
            </w:r>
          </w:p>
        </w:tc>
        <w:tc>
          <w:tcPr>
            <w:tcW w:w="41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c>
          <w:tcPr>
            <w:tcW w:w="3749" w:type="pct"/>
            <w:gridSpan w:val="4"/>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对各供应商报价进行横向对比，第一名得100分，第二名得80分，以此类推。排名可并列。</w:t>
            </w:r>
          </w:p>
        </w:tc>
        <w:tc>
          <w:tcPr>
            <w:tcW w:w="4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100</w:t>
            </w:r>
          </w:p>
        </w:tc>
      </w:tr>
    </w:tbl>
    <w:p>
      <w:pPr>
        <w:pStyle w:val="2"/>
        <w:ind w:firstLine="640"/>
        <w:rPr>
          <w:rFonts w:hint="eastAsia" w:ascii="仿宋_GB2312" w:hAnsi="仿宋_GB2312" w:eastAsia="仿宋_GB2312" w:cs="仿宋_GB2312"/>
          <w:sz w:val="32"/>
          <w:szCs w:val="32"/>
        </w:rPr>
      </w:pPr>
    </w:p>
    <w:p>
      <w:pPr>
        <w:adjustRightInd w:val="0"/>
        <w:snapToGrid w:val="0"/>
        <w:spacing w:line="560" w:lineRule="exact"/>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四、供应商提供文件格式</w:t>
      </w:r>
    </w:p>
    <w:p>
      <w:pPr>
        <w:pStyle w:val="2"/>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1、供应商营业执照</w:t>
      </w:r>
    </w:p>
    <w:p>
      <w:pPr>
        <w:pStyle w:val="2"/>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2、CMA、CNAS证书</w:t>
      </w:r>
    </w:p>
    <w:p>
      <w:pPr>
        <w:pStyle w:val="2"/>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3、近三年（2022年1月1日年投标截止之日）具有类似项目业绩（提供类似业绩的合同扫描件及发票，合同扫描件须至少包含：合同双方盖章页、合同签订时间和关键信息页，以合同签订时间为准）</w:t>
      </w:r>
    </w:p>
    <w:p>
      <w:pPr>
        <w:pStyle w:val="2"/>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4、企业管理体系证书</w:t>
      </w:r>
    </w:p>
    <w:p>
      <w:pPr>
        <w:pStyle w:val="2"/>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5、符合要求的业绩情况</w:t>
      </w:r>
    </w:p>
    <w:p>
      <w:pPr>
        <w:pStyle w:val="2"/>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6、承诺完成时间</w:t>
      </w:r>
    </w:p>
    <w:p>
      <w:pPr>
        <w:pStyle w:val="2"/>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7、服务方案</w:t>
      </w:r>
    </w:p>
    <w:p>
      <w:pPr>
        <w:pStyle w:val="2"/>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8、报价（含6%增值税</w:t>
      </w:r>
      <w:r>
        <w:rPr>
          <w:rFonts w:hint="eastAsia" w:ascii="仿宋_GB2312" w:hAnsi="仿宋_GB2312" w:eastAsia="仿宋_GB2312" w:cs="仿宋_GB2312"/>
          <w:sz w:val="32"/>
          <w:szCs w:val="32"/>
          <w:lang w:val="en-US" w:eastAsia="zh-CN"/>
        </w:rPr>
        <w:t>的包干</w:t>
      </w:r>
      <w:r>
        <w:rPr>
          <w:rFonts w:hint="eastAsia" w:ascii="仿宋_GB2312" w:hAnsi="仿宋_GB2312" w:eastAsia="仿宋_GB2312" w:cs="仿宋_GB2312"/>
          <w:sz w:val="32"/>
          <w:szCs w:val="32"/>
        </w:rPr>
        <w:t>总价）</w:t>
      </w:r>
    </w:p>
    <w:p>
      <w:pPr>
        <w:pStyle w:val="2"/>
        <w:ind w:firstLine="640"/>
        <w:rPr>
          <w:rFonts w:hint="eastAsia" w:ascii="仿宋_GB2312" w:hAnsi="仿宋_GB2312" w:eastAsia="仿宋_GB2312" w:cs="仿宋_GB2312"/>
          <w:sz w:val="32"/>
          <w:szCs w:val="32"/>
        </w:rPr>
      </w:pPr>
    </w:p>
    <w:p>
      <w:pPr>
        <w:pStyle w:val="2"/>
        <w:ind w:firstLine="560"/>
        <w:rPr>
          <w:rFonts w:hint="eastAsia" w:ascii="方正小标宋_GBK" w:hAnsi="方正小标宋_GBK" w:eastAsia="方正小标宋_GBK" w:cs="方正小标宋_GBK"/>
          <w:bCs/>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简体">
    <w:altName w:val="宋体"/>
    <w:panose1 w:val="00000000000000000000"/>
    <w:charset w:val="86"/>
    <w:family w:val="auto"/>
    <w:pitch w:val="default"/>
    <w:sig w:usb0="00000000" w:usb1="00000000" w:usb2="00000010" w:usb3="00000000" w:csb0="00040000"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42578E"/>
    <w:multiLevelType w:val="singleLevel"/>
    <w:tmpl w:val="CD42578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286EC6"/>
    <w:rsid w:val="00026525"/>
    <w:rsid w:val="00151BFD"/>
    <w:rsid w:val="004166CB"/>
    <w:rsid w:val="004E2A49"/>
    <w:rsid w:val="00703457"/>
    <w:rsid w:val="00BC3722"/>
    <w:rsid w:val="00BD79F3"/>
    <w:rsid w:val="00C97095"/>
    <w:rsid w:val="00FF7FAC"/>
    <w:rsid w:val="1A6B2AB1"/>
    <w:rsid w:val="1E55398A"/>
    <w:rsid w:val="2155625D"/>
    <w:rsid w:val="35E86633"/>
    <w:rsid w:val="48286EC6"/>
    <w:rsid w:val="490233B6"/>
    <w:rsid w:val="64CA2A9A"/>
    <w:rsid w:val="735845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qFormat/>
    <w:uiPriority w:val="0"/>
    <w:pPr>
      <w:spacing w:line="300" w:lineRule="auto"/>
      <w:ind w:firstLine="420" w:firstLineChars="200"/>
    </w:pPr>
    <w:rPr>
      <w:rFonts w:ascii="Calibri" w:hAnsi="Calibri" w:eastAsia="方正书宋简体"/>
      <w:szCs w:val="20"/>
    </w:rPr>
  </w:style>
  <w:style w:type="paragraph" w:styleId="3">
    <w:name w:val="Normal Indent"/>
    <w:basedOn w:val="1"/>
    <w:next w:val="1"/>
    <w:unhideWhenUsed/>
    <w:qFormat/>
    <w:uiPriority w:val="99"/>
    <w:pPr>
      <w:ind w:firstLine="420" w:firstLineChars="200"/>
    </w:pPr>
    <w:rPr>
      <w:szCs w:val="21"/>
    </w:rPr>
  </w:style>
  <w:style w:type="paragraph" w:styleId="4">
    <w:name w:val="annotation text"/>
    <w:basedOn w:val="1"/>
    <w:next w:val="5"/>
    <w:qFormat/>
    <w:uiPriority w:val="0"/>
    <w:pPr>
      <w:jc w:val="left"/>
    </w:pPr>
  </w:style>
  <w:style w:type="paragraph" w:customStyle="1" w:styleId="5">
    <w:name w:val="样式6"/>
    <w:next w:val="6"/>
    <w:qFormat/>
    <w:uiPriority w:val="0"/>
    <w:pPr>
      <w:widowControl w:val="0"/>
      <w:spacing w:before="120" w:after="120" w:line="240" w:lineRule="atLeast"/>
      <w:ind w:firstLine="5120"/>
      <w:jc w:val="both"/>
    </w:pPr>
    <w:rPr>
      <w:rFonts w:ascii="宋体" w:hAnsi="Times New Roman" w:eastAsia="宋体" w:cs="Times New Roman"/>
      <w:caps/>
      <w:lang w:val="en-US" w:eastAsia="zh-CN" w:bidi="ar-SA"/>
    </w:rPr>
  </w:style>
  <w:style w:type="paragraph" w:styleId="6">
    <w:name w:val="Body Text 2"/>
    <w:basedOn w:val="1"/>
    <w:next w:val="7"/>
    <w:qFormat/>
    <w:uiPriority w:val="0"/>
    <w:rPr>
      <w:sz w:val="24"/>
      <w:lang w:val="zh-CN"/>
    </w:rPr>
  </w:style>
  <w:style w:type="paragraph" w:customStyle="1" w:styleId="7">
    <w:name w:val="默认段落字体 Para Char"/>
    <w:basedOn w:val="1"/>
    <w:next w:val="8"/>
    <w:qFormat/>
    <w:uiPriority w:val="0"/>
    <w:pPr>
      <w:widowControl/>
      <w:spacing w:before="160" w:after="160" w:line="240" w:lineRule="atLeast"/>
      <w:ind w:left="1701" w:firstLine="3584"/>
    </w:pPr>
    <w:rPr>
      <w:kern w:val="0"/>
      <w:sz w:val="20"/>
      <w:szCs w:val="20"/>
    </w:rPr>
  </w:style>
  <w:style w:type="paragraph" w:customStyle="1" w:styleId="8">
    <w:name w:val="Char Char Char Char Char Char Char Char Char Char Char Char Char Char Char Char"/>
    <w:basedOn w:val="1"/>
    <w:next w:val="9"/>
    <w:qFormat/>
    <w:uiPriority w:val="0"/>
    <w:pPr>
      <w:ind w:firstLine="3584"/>
    </w:pPr>
    <w:rPr>
      <w:kern w:val="0"/>
      <w:sz w:val="20"/>
      <w:szCs w:val="20"/>
    </w:rPr>
  </w:style>
  <w:style w:type="paragraph" w:customStyle="1" w:styleId="9">
    <w:name w:val="列表段落1"/>
    <w:basedOn w:val="1"/>
    <w:next w:val="10"/>
    <w:qFormat/>
    <w:uiPriority w:val="0"/>
    <w:pPr>
      <w:ind w:left="420" w:firstLine="3748"/>
    </w:pPr>
    <w:rPr>
      <w:kern w:val="0"/>
      <w:sz w:val="20"/>
      <w:szCs w:val="20"/>
    </w:rPr>
  </w:style>
  <w:style w:type="paragraph" w:customStyle="1" w:styleId="10">
    <w:name w:val="Char"/>
    <w:basedOn w:val="1"/>
    <w:next w:val="11"/>
    <w:qFormat/>
    <w:uiPriority w:val="0"/>
    <w:rPr>
      <w:sz w:val="24"/>
      <w:szCs w:val="24"/>
    </w:rPr>
  </w:style>
  <w:style w:type="paragraph" w:customStyle="1" w:styleId="11">
    <w:name w:val="p0"/>
    <w:basedOn w:val="1"/>
    <w:next w:val="12"/>
    <w:qFormat/>
    <w:uiPriority w:val="0"/>
    <w:pPr>
      <w:widowControl/>
    </w:pPr>
    <w:rPr>
      <w:kern w:val="0"/>
      <w:szCs w:val="21"/>
    </w:rPr>
  </w:style>
  <w:style w:type="paragraph" w:customStyle="1" w:styleId="12">
    <w:name w:val="Char Char2"/>
    <w:basedOn w:val="1"/>
    <w:next w:val="13"/>
    <w:qFormat/>
    <w:uiPriority w:val="0"/>
    <w:pPr>
      <w:ind w:firstLine="3584"/>
    </w:pPr>
    <w:rPr>
      <w:kern w:val="0"/>
      <w:sz w:val="20"/>
      <w:szCs w:val="20"/>
    </w:rPr>
  </w:style>
  <w:style w:type="paragraph" w:styleId="13">
    <w:name w:val="Plain Text"/>
    <w:basedOn w:val="1"/>
    <w:next w:val="14"/>
    <w:qFormat/>
    <w:uiPriority w:val="0"/>
    <w:rPr>
      <w:rFonts w:ascii="宋体" w:hAnsi="Courier New"/>
      <w:kern w:val="0"/>
      <w:sz w:val="20"/>
      <w:szCs w:val="20"/>
    </w:rPr>
  </w:style>
  <w:style w:type="paragraph" w:styleId="14">
    <w:name w:val="footer"/>
    <w:basedOn w:val="1"/>
    <w:next w:val="15"/>
    <w:qFormat/>
    <w:uiPriority w:val="99"/>
    <w:pPr>
      <w:tabs>
        <w:tab w:val="center" w:pos="4153"/>
        <w:tab w:val="right" w:pos="8306"/>
      </w:tabs>
      <w:snapToGrid w:val="0"/>
      <w:jc w:val="left"/>
    </w:pPr>
    <w:rPr>
      <w:sz w:val="18"/>
    </w:rPr>
  </w:style>
  <w:style w:type="paragraph" w:styleId="15">
    <w:name w:val="annotation subject"/>
    <w:basedOn w:val="4"/>
    <w:next w:val="4"/>
    <w:qFormat/>
    <w:uiPriority w:val="99"/>
    <w:rPr>
      <w:b/>
      <w:bCs/>
    </w:rPr>
  </w:style>
  <w:style w:type="paragraph" w:styleId="16">
    <w:name w:val="header"/>
    <w:basedOn w:val="1"/>
    <w:link w:val="22"/>
    <w:qFormat/>
    <w:uiPriority w:val="0"/>
    <w:pPr>
      <w:tabs>
        <w:tab w:val="center" w:pos="4153"/>
        <w:tab w:val="right" w:pos="8306"/>
      </w:tabs>
      <w:snapToGrid w:val="0"/>
      <w:jc w:val="center"/>
    </w:pPr>
    <w:rPr>
      <w:sz w:val="18"/>
      <w:szCs w:val="18"/>
    </w:rPr>
  </w:style>
  <w:style w:type="table" w:styleId="18">
    <w:name w:val="Table Grid"/>
    <w:basedOn w:val="17"/>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
    <w:name w:val="font11"/>
    <w:basedOn w:val="19"/>
    <w:qFormat/>
    <w:uiPriority w:val="0"/>
    <w:rPr>
      <w:rFonts w:hint="default" w:ascii="Times New Roman" w:hAnsi="Times New Roman" w:cs="Times New Roman"/>
      <w:color w:val="000000"/>
      <w:sz w:val="21"/>
      <w:szCs w:val="21"/>
      <w:u w:val="none"/>
    </w:rPr>
  </w:style>
  <w:style w:type="character" w:customStyle="1" w:styleId="21">
    <w:name w:val="font31"/>
    <w:basedOn w:val="19"/>
    <w:qFormat/>
    <w:uiPriority w:val="0"/>
    <w:rPr>
      <w:rFonts w:hint="eastAsia" w:ascii="宋体" w:hAnsi="宋体" w:eastAsia="宋体" w:cs="宋体"/>
      <w:color w:val="000000"/>
      <w:sz w:val="21"/>
      <w:szCs w:val="21"/>
      <w:u w:val="none"/>
    </w:rPr>
  </w:style>
  <w:style w:type="character" w:customStyle="1" w:styleId="22">
    <w:name w:val="页眉 字符"/>
    <w:basedOn w:val="19"/>
    <w:link w:val="16"/>
    <w:qFormat/>
    <w:uiPriority w:val="0"/>
    <w:rPr>
      <w:kern w:val="2"/>
      <w:sz w:val="18"/>
      <w:szCs w:val="18"/>
    </w:rPr>
  </w:style>
  <w:style w:type="paragraph" w:customStyle="1" w:styleId="23">
    <w:name w:val="Revision"/>
    <w:hidden/>
    <w:unhideWhenUsed/>
    <w:qFormat/>
    <w:uiPriority w:val="99"/>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659</Words>
  <Characters>707</Characters>
  <Lines>117</Lines>
  <Paragraphs>136</Paragraphs>
  <TotalTime>317</TotalTime>
  <ScaleCrop>false</ScaleCrop>
  <LinksUpToDate>false</LinksUpToDate>
  <CharactersWithSpaces>1230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2025-11-18T10:09:00Z</dcterms:created>
  <dc:creator>LongWK</dc:creator>
  <cp:lastModifiedBy>LongWK</cp:lastModifiedBy>
  <dcterms:modified xsi:type="dcterms:W3CDTF">2025-11-19T09:02:05Z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B5CDBC062EB3454F9EF824014CFE6F14</vt:lpwstr>
  </property>
</Properties>
</file>