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shd w:val="clear" w:color="auto" w:fill="auto"/>
        <w:kinsoku/>
        <w:wordWrap/>
        <w:overflowPunct/>
        <w:topLinePunct w:val="0"/>
        <w:bidi w:val="0"/>
        <w:adjustRightInd w:val="0"/>
        <w:snapToGrid w:val="0"/>
        <w:spacing w:line="360" w:lineRule="auto"/>
        <w:jc w:val="center"/>
        <w:textAlignment w:val="auto"/>
        <w:outlineLvl w:val="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项目名称</w:t>
      </w:r>
      <w:r>
        <w:rPr>
          <w:rFonts w:hint="eastAsia" w:hAnsi="宋体" w:cs="宋体"/>
          <w:b/>
          <w:bCs/>
          <w:color w:val="auto"/>
          <w:sz w:val="28"/>
          <w:szCs w:val="28"/>
          <w:highlight w:val="none"/>
          <w:u w:val="none"/>
          <w:lang w:val="en-US" w:eastAsia="zh-CN"/>
        </w:rPr>
        <w:t>：</w:t>
      </w:r>
      <w:r>
        <w:rPr>
          <w:rFonts w:hint="eastAsia" w:ascii="宋体" w:hAnsi="宋体" w:eastAsia="宋体" w:cs="宋体"/>
          <w:b/>
          <w:bCs/>
          <w:color w:val="auto"/>
          <w:sz w:val="28"/>
          <w:szCs w:val="28"/>
          <w:highlight w:val="none"/>
          <w:u w:val="none"/>
          <w:lang w:val="en-US" w:eastAsia="zh-CN"/>
        </w:rPr>
        <w:t>湖南-贵州电力灵活互济工程（贵州段交流工程）</w:t>
      </w:r>
      <w:r>
        <w:rPr>
          <w:rFonts w:hint="eastAsia" w:hAnsi="宋体" w:cs="宋体"/>
          <w:b/>
          <w:bCs/>
          <w:color w:val="auto"/>
          <w:sz w:val="28"/>
          <w:szCs w:val="28"/>
          <w:highlight w:val="none"/>
          <w:u w:val="none"/>
          <w:lang w:val="en-US" w:eastAsia="zh-CN"/>
        </w:rPr>
        <w:t>线路</w:t>
      </w:r>
      <w:r>
        <w:rPr>
          <w:rFonts w:hint="eastAsia" w:ascii="宋体" w:hAnsi="宋体" w:eastAsia="宋体" w:cs="宋体"/>
          <w:b/>
          <w:bCs/>
          <w:color w:val="auto"/>
          <w:sz w:val="28"/>
          <w:szCs w:val="28"/>
          <w:highlight w:val="none"/>
          <w:u w:val="none"/>
          <w:lang w:val="en-US" w:eastAsia="zh-CN"/>
        </w:rPr>
        <w:t>施工</w:t>
      </w:r>
    </w:p>
    <w:tbl>
      <w:tblPr>
        <w:tblStyle w:val="14"/>
        <w:tblW w:w="8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412"/>
        <w:gridCol w:w="4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序号</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文件名称</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1</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可研批复文号</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电规电网〔2025〕1467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2</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项目备案文号</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发改能源〔2025〕1459号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3</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初设批复文号</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南方电网工程〔2025〕10号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4</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资金落实情况</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黔电计财〔2025〕63号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exact"/>
          <w:jc w:val="center"/>
        </w:trPr>
        <w:tc>
          <w:tcPr>
            <w:tcW w:w="805"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5</w:t>
            </w:r>
          </w:p>
        </w:tc>
        <w:tc>
          <w:tcPr>
            <w:tcW w:w="2412"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施工图预算批复文号</w:t>
            </w:r>
          </w:p>
        </w:tc>
        <w:tc>
          <w:tcPr>
            <w:tcW w:w="4973" w:type="dxa"/>
            <w:vAlign w:val="center"/>
          </w:tcPr>
          <w:p>
            <w:pPr>
              <w:pStyle w:val="7"/>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6</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项目建设单位</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贵州电网有限责任公司建设分公司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7</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项目建设地点</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贵州</w:t>
            </w:r>
            <w:r>
              <w:rPr>
                <w:rFonts w:hint="eastAsia" w:ascii="宋体" w:hAnsi="宋体" w:eastAsia="宋体" w:cs="宋体"/>
                <w:color w:val="auto"/>
                <w:sz w:val="21"/>
                <w:szCs w:val="21"/>
                <w:highlight w:val="none"/>
                <w:lang w:val="en-US" w:eastAsia="zh-CN"/>
              </w:rPr>
              <w:t>省</w:t>
            </w:r>
            <w:r>
              <w:rPr>
                <w:rFonts w:hint="eastAsia" w:hAnsi="宋体" w:cs="宋体"/>
                <w:color w:val="auto"/>
                <w:sz w:val="21"/>
                <w:szCs w:val="21"/>
                <w:highlight w:val="none"/>
                <w:lang w:val="en-US" w:eastAsia="zh-CN"/>
              </w:rPr>
              <w:t>铜仁市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8</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前期的设计或咨询服务单位名称</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可研、</w:t>
            </w:r>
            <w:r>
              <w:rPr>
                <w:rFonts w:hint="eastAsia" w:ascii="宋体" w:hAnsi="宋体" w:eastAsia="宋体" w:cs="宋体"/>
                <w:b/>
                <w:bCs/>
                <w:color w:val="auto"/>
                <w:sz w:val="21"/>
                <w:szCs w:val="21"/>
                <w:highlight w:val="none"/>
                <w:lang w:eastAsia="zh-CN"/>
              </w:rPr>
              <w:t>勘察</w:t>
            </w:r>
            <w:r>
              <w:rPr>
                <w:rFonts w:hint="eastAsia" w:ascii="宋体" w:hAnsi="宋体" w:eastAsia="宋体" w:cs="宋体"/>
                <w:b/>
                <w:bCs/>
                <w:color w:val="auto"/>
                <w:sz w:val="21"/>
                <w:szCs w:val="21"/>
                <w:highlight w:val="none"/>
              </w:rPr>
              <w:t>设计单位</w:t>
            </w:r>
            <w:r>
              <w:rPr>
                <w:rFonts w:hint="eastAsia" w:ascii="宋体" w:hAnsi="宋体" w:eastAsia="宋体" w:cs="宋体"/>
                <w:color w:val="auto"/>
                <w:sz w:val="21"/>
                <w:szCs w:val="21"/>
                <w:highlight w:val="none"/>
              </w:rPr>
              <w:t>：</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hAnsi="宋体" w:cs="宋体"/>
                <w:color w:val="auto"/>
                <w:sz w:val="21"/>
                <w:szCs w:val="21"/>
                <w:highlight w:val="none"/>
                <w:lang w:eastAsia="zh-CN"/>
              </w:rPr>
            </w:pPr>
            <w:r>
              <w:rPr>
                <w:rFonts w:hint="eastAsia" w:hAnsi="宋体" w:cs="宋体"/>
                <w:color w:val="auto"/>
                <w:sz w:val="21"/>
                <w:szCs w:val="21"/>
                <w:highlight w:val="none"/>
                <w:lang w:eastAsia="zh-CN"/>
              </w:rPr>
              <w:t>中国电建集团贵州电力设计研究院有限公司</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设计评审单位</w:t>
            </w:r>
            <w:r>
              <w:rPr>
                <w:rFonts w:hint="eastAsia" w:ascii="宋体" w:hAnsi="宋体" w:eastAsia="宋体" w:cs="宋体"/>
                <w:color w:val="auto"/>
                <w:sz w:val="21"/>
                <w:szCs w:val="21"/>
                <w:highlight w:val="none"/>
              </w:rPr>
              <w:t>：</w:t>
            </w:r>
          </w:p>
          <w:p>
            <w:pPr>
              <w:keepNext w:val="0"/>
              <w:keepLines w:val="0"/>
              <w:widowControl/>
              <w:suppressLineNumbers w:val="0"/>
              <w:jc w:val="left"/>
              <w:rPr>
                <w:rFonts w:hint="eastAsia" w:hAnsi="宋体" w:cs="宋体"/>
                <w:sz w:val="21"/>
                <w:szCs w:val="21"/>
                <w:highlight w:val="none"/>
                <w:lang w:val="en-US" w:eastAsia="zh-CN"/>
              </w:rPr>
            </w:pPr>
            <w:r>
              <w:rPr>
                <w:rFonts w:hint="eastAsia" w:ascii="宋体" w:hAnsi="宋体" w:eastAsia="宋体" w:cs="宋体"/>
                <w:kern w:val="0"/>
                <w:sz w:val="21"/>
                <w:szCs w:val="21"/>
                <w:highlight w:val="none"/>
                <w:lang w:val="en-US" w:eastAsia="zh-CN" w:bidi="ar-SA"/>
              </w:rPr>
              <w:t>电力规划设计总院</w:t>
            </w:r>
            <w:r>
              <w:rPr>
                <w:rFonts w:hint="eastAsia" w:ascii="宋体" w:hAnsi="宋体" w:cs="宋体"/>
                <w:kern w:val="0"/>
                <w:sz w:val="21"/>
                <w:szCs w:val="21"/>
                <w:highlight w:val="none"/>
                <w:lang w:val="en-US" w:eastAsia="zh-CN" w:bidi="ar-SA"/>
              </w:rPr>
              <w:t>（</w:t>
            </w:r>
            <w:r>
              <w:rPr>
                <w:rFonts w:hint="eastAsia" w:ascii="宋体" w:hAnsi="宋体" w:eastAsia="宋体" w:cs="宋体"/>
                <w:kern w:val="0"/>
                <w:sz w:val="21"/>
                <w:szCs w:val="21"/>
                <w:highlight w:val="none"/>
                <w:lang w:val="en-US" w:eastAsia="zh-CN" w:bidi="ar-SA"/>
              </w:rPr>
              <w:t>电力规划总院有限公司</w:t>
            </w:r>
            <w:r>
              <w:rPr>
                <w:rFonts w:hint="eastAsia" w:ascii="宋体" w:hAnsi="宋体" w:cs="宋体"/>
                <w:kern w:val="0"/>
                <w:sz w:val="21"/>
                <w:szCs w:val="21"/>
                <w:highlight w:val="none"/>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工程检测咨询单位</w:t>
            </w:r>
            <w:r>
              <w:rPr>
                <w:rFonts w:hint="eastAsia" w:ascii="宋体" w:hAnsi="宋体" w:eastAsia="宋体" w:cs="宋体"/>
                <w:color w:val="auto"/>
                <w:sz w:val="21"/>
                <w:szCs w:val="21"/>
                <w:highlight w:val="none"/>
              </w:rPr>
              <w:t>：</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auto"/>
                <w:sz w:val="21"/>
                <w:szCs w:val="21"/>
                <w:highlight w:val="none"/>
                <w:lang w:val="en-US"/>
              </w:rPr>
            </w:pPr>
            <w:r>
              <w:rPr>
                <w:rFonts w:hint="eastAsia" w:ascii="宋体" w:hAnsi="宋体" w:eastAsia="宋体" w:cs="宋体"/>
                <w:sz w:val="21"/>
                <w:szCs w:val="21"/>
                <w:highlight w:val="none"/>
                <w:lang w:eastAsia="zh-CN"/>
              </w:rPr>
              <w:t>贵州卓诚工程质量检测有限公司、四川华航科技有限公司、广东粤电科试验检测技术有限公司</w:t>
            </w:r>
            <w:r>
              <w:rPr>
                <w:rFonts w:hint="eastAsia" w:hAnsi="宋体" w:cs="宋体"/>
                <w:sz w:val="21"/>
                <w:szCs w:val="21"/>
                <w:highlight w:val="none"/>
                <w:lang w:eastAsia="zh-CN"/>
              </w:rPr>
              <w:t>、</w:t>
            </w:r>
            <w:r>
              <w:rPr>
                <w:rFonts w:hint="eastAsia" w:hAnsi="宋体" w:cs="宋体"/>
                <w:sz w:val="21"/>
                <w:szCs w:val="21"/>
                <w:highlight w:val="none"/>
                <w:lang w:val="en-US" w:eastAsia="zh-CN"/>
              </w:rPr>
              <w:t>长春市博鸿科技服务有限责任公司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jc w:val="center"/>
        </w:trPr>
        <w:tc>
          <w:tcPr>
            <w:tcW w:w="805"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9</w:t>
            </w:r>
          </w:p>
        </w:tc>
        <w:tc>
          <w:tcPr>
            <w:tcW w:w="2412"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监理单位</w:t>
            </w:r>
          </w:p>
        </w:tc>
        <w:tc>
          <w:tcPr>
            <w:tcW w:w="49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待招标</w:t>
            </w:r>
          </w:p>
        </w:tc>
      </w:tr>
    </w:tbl>
    <w:p>
      <w:pPr>
        <w:numPr>
          <w:ilvl w:val="0"/>
          <w:numId w:val="0"/>
        </w:numPr>
        <w:spacing w:line="600" w:lineRule="exact"/>
        <w:ind w:left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一、</w:t>
      </w:r>
      <w:r>
        <w:rPr>
          <w:rFonts w:hint="eastAsia" w:hAnsi="宋体" w:eastAsia="宋体" w:cs="宋体"/>
          <w:b/>
          <w:color w:val="auto"/>
          <w:sz w:val="24"/>
          <w:szCs w:val="24"/>
          <w:highlight w:val="none"/>
          <w:lang w:val="en-US" w:eastAsia="zh-CN"/>
        </w:rPr>
        <w:t>建设规模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（一）湖南-贵州电力灵活互济工程（贵州段交流工程）</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1、贵州侧相关500kV变电站保护改造工程</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1）500kV 铜仁变～换流站线路保护 </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本期换流站双“π”接入 500kV 铜碧甲乙线，原 500kV 铜碧甲、乙线路两侧配置两套完全独立的、全线速动的主保护，两套主保护均采用光纤分相电流差动保护，其中主一辅 A 保护采用集成过电压及远跳保护光纤分相电流差动保护、主二辅 B 保护采用集成过电压及远跳保护的光纤分相电流差动保护。每套保护装置均具有两个独立的光纤接口，均采用复用光纤通道 2Mbit/s 接口。主一辅 A 保护屏采用南京南瑞继保电气有限公司生产的 PPC31NY-51-D 型光纤电流差动保护屏，主二辅 B 保护屏采用北京四方继保自动化股份有限公司生产的GXH103AYN-DG-N-201 型光纤电流差动保护屏。铜碧甲乙线 2018 年投运，当湘黔换流站投运时，铜碧甲乙线原保护装置已接近退运年限，故本期 500kV 铜仁～换流站双回线路保护装置需更换保护装置，更换后的500kV线路主一保护及500kV线路主二保护采用集成过电压及远跳保护的光纤分相电流差动保护。 </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对侧换流站保护由其本体工程考虑，但保护选型两侧应一致。</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2）500kV 碧江变～换流站线路保护 </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本期换流站双“π”接入 500kV 铜碧甲乙线，原 500kV 铜碧甲、乙线路两侧配置两套完全独立的、全线速动的主保护，两套主保护均采用光纤分相电流差动保护，其中主一辅 A 保护采用集成过电压及远跳保护光纤分相电流差动保护、主二辅 B 保护采用集成过电压及远跳保护的光纤分相电流差动保护。每套保护装置均具有两个独立的光纤接口，均采用复用光纤通道 2Mbit/s 接口。主一辅 A 保护屏均采用南京南瑞继保电气有限公司生产的 PPC31NY-51-D 型光纤电流差动保护屏，主二辅 B 保护屏均采用北京四方继保自动化股份有限公司生产的GXH103AYN-DG-N-201 型光纤电流差动保护屏。铜碧甲乙线 2018 年投运，当湘黔换流站投运时，铜碧甲乙线原保护装置已接近退运年限，故本期 500kV 碧江～换流站双回线路保护装置需更换保护装置，更换后的500kV线路主一保护及500kV线路主二保护采用集成过电压及远跳保护、纵联距离保护功能的光纤分相电流差动保护。 </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对侧换流站保护由其本体工程考虑，但保护选型两侧应一致， </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每套线路保护均具有三段式相间距离、接地距离以及定时限、反时限零序电流保护等完善的后备保护；本期新上的两套线路保护各装于一面屏上，并分别使用独立的 TA、TV、直流电源、跳闸线圈、通道接口设备，保护选用国产微机型。</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2、铜仁～碧江开断接入换流站500kV 线路工程</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铜仁～碧江双回 500kV 线路开断接入换流站，新建线路长度 </w:t>
      </w:r>
      <w:r>
        <w:rPr>
          <w:rFonts w:hint="default" w:ascii="宋体" w:hAnsi="宋体" w:eastAsia="宋体" w:cs="宋体"/>
          <w:b w:val="0"/>
          <w:bCs/>
          <w:color w:val="auto"/>
          <w:kern w:val="2"/>
          <w:sz w:val="21"/>
          <w:szCs w:val="21"/>
          <w:highlight w:val="none"/>
          <w:lang w:val="en-US" w:eastAsia="zh-CN" w:bidi="ar-SA"/>
        </w:rPr>
        <w:t>2×15km，其中，碧江侧 2×6.5km，铜仁侧2×8.5km，除换流站 出线采用双回终端塔外，其余均采用单回路架设。导线截面采用4×400mm2，导线最高允许温度按 80℃设计。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3、换流站～牌楼变 500kV 线路工程（贵州段）</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新建换流站～牌楼单回 500kV 线路</w:t>
      </w:r>
      <w:r>
        <w:rPr>
          <w:rFonts w:hint="eastAsia" w:ascii="宋体" w:hAnsi="宋体" w:cs="宋体"/>
          <w:b w:val="0"/>
          <w:bCs/>
          <w:color w:val="auto"/>
          <w:kern w:val="2"/>
          <w:sz w:val="21"/>
          <w:szCs w:val="21"/>
          <w:highlight w:val="none"/>
          <w:lang w:val="en-US" w:eastAsia="zh-CN" w:bidi="ar-SA"/>
        </w:rPr>
        <w:t>（贵州段）</w:t>
      </w:r>
      <w:r>
        <w:rPr>
          <w:rFonts w:hint="eastAsia" w:ascii="宋体" w:hAnsi="宋体" w:eastAsia="宋体" w:cs="宋体"/>
          <w:b w:val="0"/>
          <w:bCs/>
          <w:color w:val="auto"/>
          <w:kern w:val="2"/>
          <w:sz w:val="21"/>
          <w:szCs w:val="21"/>
          <w:highlight w:val="none"/>
          <w:lang w:val="en-US" w:eastAsia="zh-CN" w:bidi="ar-SA"/>
        </w:rPr>
        <w:t>，新建单回路 28km、双回路1km(单边挂线)</w:t>
      </w:r>
      <w:r>
        <w:rPr>
          <w:rFonts w:hint="default" w:ascii="宋体" w:hAnsi="宋体" w:eastAsia="宋体" w:cs="宋体"/>
          <w:b w:val="0"/>
          <w:bCs/>
          <w:color w:val="auto"/>
          <w:kern w:val="2"/>
          <w:sz w:val="21"/>
          <w:szCs w:val="21"/>
          <w:highlight w:val="none"/>
          <w:lang w:val="en-US" w:eastAsia="zh-CN" w:bidi="ar-SA"/>
        </w:rPr>
        <w:t>。导线截面采用 4×630mm2</w:t>
      </w:r>
      <w:r>
        <w:rPr>
          <w:rFonts w:hint="eastAsia" w:ascii="宋体" w:hAnsi="宋体" w:cs="宋体"/>
          <w:b w:val="0"/>
          <w:bCs/>
          <w:color w:val="auto"/>
          <w:kern w:val="2"/>
          <w:sz w:val="21"/>
          <w:szCs w:val="21"/>
          <w:highlight w:val="none"/>
          <w:lang w:val="en-US" w:eastAsia="zh-CN" w:bidi="ar-SA"/>
        </w:rPr>
        <w:t>，</w:t>
      </w:r>
      <w:r>
        <w:rPr>
          <w:rFonts w:hint="default" w:ascii="宋体" w:hAnsi="宋体" w:eastAsia="宋体" w:cs="宋体"/>
          <w:b w:val="0"/>
          <w:bCs/>
          <w:color w:val="auto"/>
          <w:kern w:val="2"/>
          <w:sz w:val="21"/>
          <w:szCs w:val="21"/>
          <w:highlight w:val="none"/>
          <w:lang w:val="en-US" w:eastAsia="zh-CN" w:bidi="ar-SA"/>
        </w:rPr>
        <w:t>导线最高允许温度按 80℃设计。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cs="宋体"/>
          <w:b/>
          <w:bCs/>
          <w:color w:val="auto"/>
          <w:kern w:val="2"/>
          <w:sz w:val="21"/>
          <w:szCs w:val="21"/>
          <w:highlight w:val="none"/>
          <w:lang w:val="en-US" w:eastAsia="zh-CN"/>
        </w:rPr>
        <w:t>4</w:t>
      </w:r>
      <w:r>
        <w:rPr>
          <w:rFonts w:hint="eastAsia" w:ascii="宋体" w:hAnsi="宋体" w:eastAsia="宋体" w:cs="宋体"/>
          <w:b/>
          <w:bCs/>
          <w:color w:val="auto"/>
          <w:kern w:val="2"/>
          <w:sz w:val="21"/>
          <w:szCs w:val="21"/>
          <w:highlight w:val="none"/>
          <w:lang w:val="en-US" w:eastAsia="zh-CN"/>
        </w:rPr>
        <w:t>、换流站～边城变 500kV 线路工程（贵州段）</w:t>
      </w:r>
    </w:p>
    <w:p>
      <w:pPr>
        <w:spacing w:line="360" w:lineRule="auto"/>
        <w:ind w:firstLine="420" w:firstLineChars="200"/>
        <w:rPr>
          <w:rFonts w:hint="eastAsia"/>
          <w:lang w:val="en-US" w:eastAsia="zh-CN"/>
        </w:rPr>
      </w:pPr>
      <w:r>
        <w:rPr>
          <w:rFonts w:hint="eastAsia" w:ascii="宋体" w:hAnsi="宋体" w:eastAsia="宋体" w:cs="宋体"/>
          <w:b w:val="0"/>
          <w:bCs/>
          <w:color w:val="auto"/>
          <w:kern w:val="2"/>
          <w:sz w:val="21"/>
          <w:szCs w:val="21"/>
          <w:highlight w:val="none"/>
          <w:lang w:val="en-US" w:eastAsia="zh-CN" w:bidi="ar-SA"/>
        </w:rPr>
        <w:t>新建换流站～边城单回 500kV 线路</w:t>
      </w:r>
      <w:r>
        <w:rPr>
          <w:rFonts w:hint="eastAsia" w:ascii="宋体" w:hAnsi="宋体" w:cs="宋体"/>
          <w:b w:val="0"/>
          <w:bCs/>
          <w:color w:val="auto"/>
          <w:kern w:val="2"/>
          <w:sz w:val="21"/>
          <w:szCs w:val="21"/>
          <w:highlight w:val="none"/>
          <w:lang w:val="en-US" w:eastAsia="zh-CN" w:bidi="ar-SA"/>
        </w:rPr>
        <w:t>（贵州段）</w:t>
      </w:r>
      <w:r>
        <w:rPr>
          <w:rFonts w:hint="eastAsia" w:ascii="宋体" w:hAnsi="宋体" w:eastAsia="宋体" w:cs="宋体"/>
          <w:b w:val="0"/>
          <w:bCs/>
          <w:color w:val="auto"/>
          <w:kern w:val="2"/>
          <w:sz w:val="21"/>
          <w:szCs w:val="21"/>
          <w:highlight w:val="none"/>
          <w:lang w:val="en-US" w:eastAsia="zh-CN" w:bidi="ar-SA"/>
        </w:rPr>
        <w:t>，新建单回路 36km、双回路1km(仅单边挂线)</w:t>
      </w:r>
      <w:r>
        <w:rPr>
          <w:rFonts w:hint="default" w:ascii="宋体" w:hAnsi="宋体" w:eastAsia="宋体" w:cs="宋体"/>
          <w:b w:val="0"/>
          <w:bCs/>
          <w:color w:val="auto"/>
          <w:kern w:val="2"/>
          <w:sz w:val="21"/>
          <w:szCs w:val="21"/>
          <w:highlight w:val="none"/>
          <w:lang w:val="en-US" w:eastAsia="zh-CN" w:bidi="ar-SA"/>
        </w:rPr>
        <w:t>。导线截面采用 4×630mm2，导线最高允许温度按 80℃设计。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cs="宋体"/>
          <w:b/>
          <w:bCs/>
          <w:color w:val="auto"/>
          <w:kern w:val="2"/>
          <w:sz w:val="21"/>
          <w:szCs w:val="21"/>
          <w:highlight w:val="none"/>
          <w:lang w:val="en-US" w:eastAsia="zh-CN"/>
        </w:rPr>
        <w:t>5</w:t>
      </w:r>
      <w:r>
        <w:rPr>
          <w:rFonts w:hint="eastAsia" w:ascii="宋体" w:hAnsi="宋体" w:eastAsia="宋体" w:cs="宋体"/>
          <w:b/>
          <w:bCs/>
          <w:color w:val="auto"/>
          <w:kern w:val="2"/>
          <w:sz w:val="21"/>
          <w:szCs w:val="21"/>
          <w:highlight w:val="none"/>
          <w:lang w:val="en-US" w:eastAsia="zh-CN"/>
        </w:rPr>
        <w:t>、安全稳定控制系统工程（贵州电网）</w:t>
      </w:r>
    </w:p>
    <w:p>
      <w:pPr>
        <w:spacing w:line="360" w:lineRule="auto"/>
        <w:ind w:firstLine="420" w:firstLineChars="200"/>
        <w:rPr>
          <w:rFonts w:hint="eastAsia"/>
          <w:lang w:val="en-US" w:eastAsia="zh-CN"/>
        </w:rPr>
      </w:pPr>
      <w:r>
        <w:rPr>
          <w:rFonts w:hint="eastAsia" w:ascii="宋体" w:hAnsi="宋体" w:eastAsia="宋体" w:cs="宋体"/>
          <w:b w:val="0"/>
          <w:bCs/>
          <w:color w:val="auto"/>
          <w:kern w:val="2"/>
          <w:sz w:val="21"/>
          <w:szCs w:val="21"/>
          <w:highlight w:val="none"/>
          <w:lang w:val="en-US" w:eastAsia="zh-CN" w:bidi="ar-SA"/>
        </w:rPr>
        <w:t>500kV铜仁变及500kV碧江变本期改接后线路接入500kV继电器室按双重化原则配置两套安全稳定控制系统采集装置的备用接入位置</w:t>
      </w:r>
      <w:r>
        <w:rPr>
          <w:rFonts w:hint="eastAsia" w:ascii="宋体" w:hAnsi="宋体" w:cs="宋体"/>
          <w:b w:val="0"/>
          <w:bCs/>
          <w:color w:val="auto"/>
          <w:kern w:val="2"/>
          <w:sz w:val="21"/>
          <w:szCs w:val="21"/>
          <w:highlight w:val="none"/>
          <w:lang w:val="en-US" w:eastAsia="zh-CN" w:bidi="ar-SA"/>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cs="宋体"/>
          <w:b/>
          <w:bCs/>
          <w:color w:val="auto"/>
          <w:kern w:val="2"/>
          <w:sz w:val="21"/>
          <w:szCs w:val="21"/>
          <w:highlight w:val="none"/>
          <w:lang w:val="en-US" w:eastAsia="zh-CN"/>
        </w:rPr>
        <w:t>6</w:t>
      </w:r>
      <w:r>
        <w:rPr>
          <w:rFonts w:hint="eastAsia" w:ascii="宋体" w:hAnsi="宋体" w:eastAsia="宋体" w:cs="宋体"/>
          <w:b/>
          <w:bCs/>
          <w:color w:val="auto"/>
          <w:kern w:val="2"/>
          <w:sz w:val="21"/>
          <w:szCs w:val="21"/>
          <w:highlight w:val="none"/>
          <w:lang w:val="en-US" w:eastAsia="zh-CN"/>
        </w:rPr>
        <w:t>、光纤通信工程（贵州电网）</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原铜碧甲线 1 根 24 芯 OPGW 随线路π入湘黔换流站，随湘黔</w:t>
      </w:r>
      <w:r>
        <w:rPr>
          <w:rFonts w:hint="default" w:ascii="宋体" w:hAnsi="宋体" w:eastAsia="宋体" w:cs="宋体"/>
          <w:b w:val="0"/>
          <w:bCs/>
          <w:color w:val="auto"/>
          <w:kern w:val="2"/>
          <w:sz w:val="21"/>
          <w:szCs w:val="21"/>
          <w:highlight w:val="none"/>
          <w:lang w:val="en-US" w:eastAsia="zh-CN" w:bidi="ar-SA"/>
        </w:rPr>
        <w:t>换流站～破口点新建的 500kV 线路架设 2 根 48 芯 OPGW（2×24芯预留远期发展），接续后形成铜仁～湘黔换流站～碧江 1 根 24</w:t>
      </w:r>
      <w:r>
        <w:rPr>
          <w:rFonts w:hint="eastAsia" w:ascii="宋体" w:hAnsi="宋体" w:eastAsia="宋体" w:cs="宋体"/>
          <w:b w:val="0"/>
          <w:bCs/>
          <w:color w:val="auto"/>
          <w:kern w:val="2"/>
          <w:sz w:val="21"/>
          <w:szCs w:val="21"/>
          <w:highlight w:val="none"/>
          <w:lang w:val="en-US" w:eastAsia="zh-CN" w:bidi="ar-SA"/>
        </w:rPr>
        <w:t>芯光缆路由；原铜碧乙线破口接入湘黔换流站，随湘黔换流站～</w:t>
      </w:r>
      <w:r>
        <w:rPr>
          <w:rFonts w:hint="default" w:ascii="宋体" w:hAnsi="宋体" w:eastAsia="宋体" w:cs="宋体"/>
          <w:b w:val="0"/>
          <w:bCs/>
          <w:color w:val="auto"/>
          <w:kern w:val="2"/>
          <w:sz w:val="21"/>
          <w:szCs w:val="21"/>
          <w:highlight w:val="none"/>
          <w:lang w:val="en-US" w:eastAsia="zh-CN" w:bidi="ar-SA"/>
        </w:rPr>
        <w:t xml:space="preserve">破口点新建的 500kV 线路架设 2 根 96 芯 OPGW，同时改造原铜碧乙线上的1根地线为96芯OPGW，接续后形成铜仁～湘黔换流站～碧江 1 根 96 芯光缆路由。 </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 xml:space="preserve">随湘黔换流站～边城新建单回 500kV 线路、湘黔换流站～牌楼新建单回 500kV 线路每回架设 1 根 72 芯 OPGW，牌楼变出口段利旧牌边线 1 根 72 芯光缆中的 36 芯，接续后形成湘黔换流站～边城 1 根 72 芯光缆路由，湘黔换流站～牌楼 1 根 36 芯光缆路由。 </w:t>
      </w:r>
    </w:p>
    <w:p>
      <w:pPr>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随湘黔换流站～220kV 开天新建单回 110kV 站外电源线路架设 1 根 48 芯 OPGW。</w:t>
      </w:r>
    </w:p>
    <w:p>
      <w:pPr>
        <w:spacing w:line="360" w:lineRule="auto"/>
        <w:ind w:firstLine="420" w:firstLineChars="200"/>
        <w:rPr>
          <w:rFonts w:hint="eastAsia"/>
          <w:lang w:val="en-US" w:eastAsia="zh-CN"/>
        </w:rPr>
      </w:pPr>
      <w:r>
        <w:rPr>
          <w:rFonts w:hint="default" w:ascii="宋体" w:hAnsi="宋体" w:eastAsia="宋体" w:cs="宋体"/>
          <w:b w:val="0"/>
          <w:bCs/>
          <w:color w:val="auto"/>
          <w:kern w:val="2"/>
          <w:sz w:val="21"/>
          <w:szCs w:val="21"/>
          <w:highlight w:val="none"/>
          <w:lang w:val="en-US" w:eastAsia="zh-CN" w:bidi="ar-SA"/>
        </w:rPr>
        <w:t>上述光缆均采用 G.652D 纤芯</w:t>
      </w:r>
      <w:r>
        <w:rPr>
          <w:rFonts w:hint="eastAsia" w:ascii="宋体" w:hAnsi="宋体" w:cs="宋体"/>
          <w:b w:val="0"/>
          <w:bCs/>
          <w:color w:val="auto"/>
          <w:kern w:val="2"/>
          <w:sz w:val="21"/>
          <w:szCs w:val="21"/>
          <w:highlight w:val="none"/>
          <w:lang w:val="en-US" w:eastAsia="zh-CN" w:bidi="ar-SA"/>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二、采购范围</w:t>
      </w:r>
    </w:p>
    <w:p>
      <w:pPr>
        <w:pStyle w:val="2"/>
        <w:spacing w:line="240" w:lineRule="auto"/>
        <w:ind w:firstLine="420" w:firstLineChars="200"/>
        <w:jc w:val="left"/>
        <w:rPr>
          <w:rFonts w:hint="eastAsia" w:ascii="宋体" w:hAnsi="宋体" w:eastAsia="宋体" w:cs="宋体"/>
          <w:b w:val="0"/>
          <w:bCs w:val="0"/>
          <w:color w:val="auto"/>
          <w:kern w:val="2"/>
          <w:sz w:val="21"/>
          <w:szCs w:val="22"/>
          <w:highlight w:val="none"/>
          <w:u w:val="single"/>
          <w:shd w:val="clear" w:color="auto" w:fill="auto"/>
        </w:rPr>
      </w:pPr>
      <w:permStart w:id="0" w:edGrp="everyone"/>
      <w:r>
        <w:rPr>
          <w:rFonts w:hint="eastAsia" w:ascii="宋体" w:hAnsi="宋体" w:eastAsia="宋体" w:cs="宋体"/>
          <w:color w:val="auto"/>
          <w:szCs w:val="21"/>
          <w:highlight w:val="none"/>
          <w:u w:val="single"/>
        </w:rPr>
        <w:t xml:space="preserve"> </w:t>
      </w:r>
      <w:r>
        <w:rPr>
          <w:rFonts w:hint="eastAsia" w:ascii="宋体" w:hAnsi="宋体" w:eastAsia="宋体" w:cs="宋体"/>
          <w:b w:val="0"/>
          <w:bCs/>
          <w:color w:val="auto"/>
          <w:sz w:val="21"/>
          <w:szCs w:val="21"/>
          <w:highlight w:val="none"/>
        </w:rPr>
        <w:t>详见附件B。</w:t>
      </w:r>
    </w:p>
    <w:permEnd w:id="0"/>
    <w:p>
      <w:pPr>
        <w:pStyle w:val="4"/>
        <w:keepNext w:val="0"/>
        <w:keepLines w:val="0"/>
        <w:pageBreakBefore w:val="0"/>
        <w:numPr>
          <w:ilvl w:val="0"/>
          <w:numId w:val="0"/>
        </w:numPr>
        <w:kinsoku/>
        <w:wordWrap/>
        <w:overflowPunct/>
        <w:topLinePunct w:val="0"/>
        <w:bidi w:val="0"/>
        <w:spacing w:line="360" w:lineRule="auto"/>
        <w:outlineLvl w:val="1"/>
        <w:rPr>
          <w:rFonts w:hint="eastAsia" w:ascii="宋体" w:hAnsi="宋体" w:eastAsia="宋体" w:cs="宋体"/>
          <w:b/>
          <w:bCs/>
          <w:i w:val="0"/>
          <w:color w:val="auto"/>
          <w:kern w:val="2"/>
          <w:sz w:val="24"/>
          <w:szCs w:val="24"/>
          <w:highlight w:val="none"/>
          <w:lang w:val="en-US" w:eastAsia="zh-CN" w:bidi="ar-SA"/>
        </w:rPr>
      </w:pPr>
      <w:r>
        <w:rPr>
          <w:rFonts w:hint="eastAsia" w:ascii="宋体" w:hAnsi="宋体" w:eastAsia="宋体" w:cs="宋体"/>
          <w:b/>
          <w:bCs/>
          <w:i w:val="0"/>
          <w:color w:val="auto"/>
          <w:kern w:val="2"/>
          <w:sz w:val="24"/>
          <w:szCs w:val="24"/>
          <w:highlight w:val="none"/>
          <w:lang w:val="en-US" w:eastAsia="zh-CN" w:bidi="ar-SA"/>
        </w:rPr>
        <w:t>三、承包方式</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ascii="宋体" w:hAnsi="宋体" w:eastAsia="宋体" w:cs="宋体"/>
          <w:b w:val="0"/>
          <w:bCs w:val="0"/>
          <w:color w:val="auto"/>
          <w:kern w:val="2"/>
          <w:sz w:val="21"/>
          <w:szCs w:val="21"/>
          <w:highlight w:val="none"/>
          <w:u w:val="none"/>
          <w:lang w:val="en-US" w:eastAsia="zh-CN" w:bidi="ar-SA"/>
        </w:rPr>
        <w:t>包工、部分包料，包工期、包质量、包安全、包文明施工。</w:t>
      </w:r>
      <w:r>
        <w:rPr>
          <w:rFonts w:hint="eastAsia" w:ascii="宋体" w:hAnsi="宋体" w:eastAsia="宋体" w:cs="宋体"/>
          <w:b w:val="0"/>
          <w:bCs/>
          <w:color w:val="auto"/>
          <w:sz w:val="21"/>
          <w:szCs w:val="21"/>
          <w:highlight w:val="none"/>
        </w:rPr>
        <w:t>详见附件B。</w:t>
      </w:r>
    </w:p>
    <w:p>
      <w:pPr>
        <w:adjustRightInd w:val="0"/>
        <w:snapToGrid w:val="0"/>
        <w:spacing w:line="360" w:lineRule="auto"/>
        <w:jc w:val="both"/>
        <w:rPr>
          <w:rFonts w:hint="eastAsia" w:ascii="宋体" w:hAnsi="宋体" w:eastAsia="宋体" w:cs="宋体"/>
          <w:b/>
          <w:bCs/>
          <w:color w:val="auto"/>
          <w:sz w:val="28"/>
          <w:szCs w:val="28"/>
          <w:highlight w:val="none"/>
          <w:u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MzFiNzA3YWM0ZTcxOWNkY2ZjZmYyMWVhMzc5ZTMifQ=="/>
  </w:docVars>
  <w:rsids>
    <w:rsidRoot w:val="511C160B"/>
    <w:rsid w:val="000178C1"/>
    <w:rsid w:val="000D7660"/>
    <w:rsid w:val="000F7F1E"/>
    <w:rsid w:val="00142573"/>
    <w:rsid w:val="00157D27"/>
    <w:rsid w:val="00260F48"/>
    <w:rsid w:val="002E40A5"/>
    <w:rsid w:val="0035398E"/>
    <w:rsid w:val="00371154"/>
    <w:rsid w:val="00410C32"/>
    <w:rsid w:val="004B6D06"/>
    <w:rsid w:val="004F738F"/>
    <w:rsid w:val="005F1995"/>
    <w:rsid w:val="0061497D"/>
    <w:rsid w:val="00634432"/>
    <w:rsid w:val="006D356A"/>
    <w:rsid w:val="00734A37"/>
    <w:rsid w:val="007B648A"/>
    <w:rsid w:val="008220AF"/>
    <w:rsid w:val="00866B95"/>
    <w:rsid w:val="00873B6F"/>
    <w:rsid w:val="008A7E06"/>
    <w:rsid w:val="008B0C84"/>
    <w:rsid w:val="008B6104"/>
    <w:rsid w:val="00921C7C"/>
    <w:rsid w:val="0093189F"/>
    <w:rsid w:val="00963F97"/>
    <w:rsid w:val="00A60D4E"/>
    <w:rsid w:val="00A65149"/>
    <w:rsid w:val="00C411D4"/>
    <w:rsid w:val="00C60F64"/>
    <w:rsid w:val="00C97BB6"/>
    <w:rsid w:val="00CB6911"/>
    <w:rsid w:val="00CC555D"/>
    <w:rsid w:val="00CF4570"/>
    <w:rsid w:val="00D8640F"/>
    <w:rsid w:val="00DC62E4"/>
    <w:rsid w:val="00DD73D3"/>
    <w:rsid w:val="00DE7398"/>
    <w:rsid w:val="014257FC"/>
    <w:rsid w:val="01AF4475"/>
    <w:rsid w:val="01F65F44"/>
    <w:rsid w:val="028411A8"/>
    <w:rsid w:val="031272C0"/>
    <w:rsid w:val="035157E3"/>
    <w:rsid w:val="03986975"/>
    <w:rsid w:val="04834199"/>
    <w:rsid w:val="049A7648"/>
    <w:rsid w:val="04F76354"/>
    <w:rsid w:val="05D50A2C"/>
    <w:rsid w:val="05D64E9F"/>
    <w:rsid w:val="060427A6"/>
    <w:rsid w:val="062E657B"/>
    <w:rsid w:val="063F3A64"/>
    <w:rsid w:val="07011193"/>
    <w:rsid w:val="074F4051"/>
    <w:rsid w:val="07CE2A0D"/>
    <w:rsid w:val="07F75D8B"/>
    <w:rsid w:val="08B60A52"/>
    <w:rsid w:val="08C71AF5"/>
    <w:rsid w:val="09123C79"/>
    <w:rsid w:val="0A184932"/>
    <w:rsid w:val="0AB26C7B"/>
    <w:rsid w:val="0AF96778"/>
    <w:rsid w:val="0B21108D"/>
    <w:rsid w:val="0BDB4AD1"/>
    <w:rsid w:val="0C2D2A97"/>
    <w:rsid w:val="0C3822A5"/>
    <w:rsid w:val="0C5000A6"/>
    <w:rsid w:val="0D4B0FE4"/>
    <w:rsid w:val="0D630921"/>
    <w:rsid w:val="0D9C6CCB"/>
    <w:rsid w:val="0DA71BD8"/>
    <w:rsid w:val="0DF1079C"/>
    <w:rsid w:val="0DF24DF4"/>
    <w:rsid w:val="0E7739D1"/>
    <w:rsid w:val="0ECB4A9A"/>
    <w:rsid w:val="0EDC2445"/>
    <w:rsid w:val="0F935C83"/>
    <w:rsid w:val="101C06DD"/>
    <w:rsid w:val="10852E07"/>
    <w:rsid w:val="10AA4E88"/>
    <w:rsid w:val="1102722C"/>
    <w:rsid w:val="118B7CD4"/>
    <w:rsid w:val="119E6026"/>
    <w:rsid w:val="11A025A1"/>
    <w:rsid w:val="11A81771"/>
    <w:rsid w:val="11CF6595"/>
    <w:rsid w:val="120B0460"/>
    <w:rsid w:val="12850BE4"/>
    <w:rsid w:val="13642DDD"/>
    <w:rsid w:val="14535FF1"/>
    <w:rsid w:val="14620C1C"/>
    <w:rsid w:val="14681861"/>
    <w:rsid w:val="14795290"/>
    <w:rsid w:val="153D3B3F"/>
    <w:rsid w:val="154B447A"/>
    <w:rsid w:val="154D3F83"/>
    <w:rsid w:val="160D793F"/>
    <w:rsid w:val="17920B64"/>
    <w:rsid w:val="17932DFF"/>
    <w:rsid w:val="17BF5F2D"/>
    <w:rsid w:val="1833792F"/>
    <w:rsid w:val="1834616B"/>
    <w:rsid w:val="186C3A85"/>
    <w:rsid w:val="189D1FB4"/>
    <w:rsid w:val="190D2C12"/>
    <w:rsid w:val="1951304D"/>
    <w:rsid w:val="19D31DFA"/>
    <w:rsid w:val="19F03C9C"/>
    <w:rsid w:val="1A2410F9"/>
    <w:rsid w:val="1A2F61FF"/>
    <w:rsid w:val="1A473CA6"/>
    <w:rsid w:val="1A9234A5"/>
    <w:rsid w:val="1AEC4E38"/>
    <w:rsid w:val="1B23671D"/>
    <w:rsid w:val="1B960285"/>
    <w:rsid w:val="1BD97B89"/>
    <w:rsid w:val="1C25434D"/>
    <w:rsid w:val="1C8F506E"/>
    <w:rsid w:val="1CCE4408"/>
    <w:rsid w:val="1D1B2ECF"/>
    <w:rsid w:val="1D732357"/>
    <w:rsid w:val="1DC345E1"/>
    <w:rsid w:val="1E187482"/>
    <w:rsid w:val="1E6D3EC0"/>
    <w:rsid w:val="1E9A0DC1"/>
    <w:rsid w:val="1EA25BAA"/>
    <w:rsid w:val="1EA70593"/>
    <w:rsid w:val="1EC36C35"/>
    <w:rsid w:val="1EF45C66"/>
    <w:rsid w:val="1F49110A"/>
    <w:rsid w:val="1FA16F92"/>
    <w:rsid w:val="1FA716FE"/>
    <w:rsid w:val="1FDF4F76"/>
    <w:rsid w:val="20687E07"/>
    <w:rsid w:val="20BA2A49"/>
    <w:rsid w:val="20C35C60"/>
    <w:rsid w:val="21080C5C"/>
    <w:rsid w:val="21FF093C"/>
    <w:rsid w:val="223F1AF3"/>
    <w:rsid w:val="2249190D"/>
    <w:rsid w:val="22B6537E"/>
    <w:rsid w:val="22C05381"/>
    <w:rsid w:val="232C52D7"/>
    <w:rsid w:val="23BB4107"/>
    <w:rsid w:val="23D63CC8"/>
    <w:rsid w:val="23DC5C6B"/>
    <w:rsid w:val="241C1DA2"/>
    <w:rsid w:val="245B6D34"/>
    <w:rsid w:val="24D83745"/>
    <w:rsid w:val="251A309D"/>
    <w:rsid w:val="25534F9E"/>
    <w:rsid w:val="258419AF"/>
    <w:rsid w:val="25CF570F"/>
    <w:rsid w:val="26D20A42"/>
    <w:rsid w:val="27084C20"/>
    <w:rsid w:val="27265503"/>
    <w:rsid w:val="27707112"/>
    <w:rsid w:val="27906876"/>
    <w:rsid w:val="27936CDC"/>
    <w:rsid w:val="287E6033"/>
    <w:rsid w:val="2931626B"/>
    <w:rsid w:val="29933DBD"/>
    <w:rsid w:val="29DB2BB8"/>
    <w:rsid w:val="2A6308E4"/>
    <w:rsid w:val="2B011473"/>
    <w:rsid w:val="2B3A2E84"/>
    <w:rsid w:val="2B7938DE"/>
    <w:rsid w:val="2B8536A2"/>
    <w:rsid w:val="2BFE6C18"/>
    <w:rsid w:val="2D69660C"/>
    <w:rsid w:val="2D786DEC"/>
    <w:rsid w:val="2DC20BC6"/>
    <w:rsid w:val="2E886F4F"/>
    <w:rsid w:val="2EEA79D3"/>
    <w:rsid w:val="2F043BEE"/>
    <w:rsid w:val="2F204BB3"/>
    <w:rsid w:val="2F55112B"/>
    <w:rsid w:val="2F7068D3"/>
    <w:rsid w:val="2FAB710C"/>
    <w:rsid w:val="30DA4B38"/>
    <w:rsid w:val="310608E9"/>
    <w:rsid w:val="311355CD"/>
    <w:rsid w:val="314408D9"/>
    <w:rsid w:val="31AB668C"/>
    <w:rsid w:val="31C25ABC"/>
    <w:rsid w:val="3240775C"/>
    <w:rsid w:val="32445586"/>
    <w:rsid w:val="3348674D"/>
    <w:rsid w:val="33605984"/>
    <w:rsid w:val="33D85EA1"/>
    <w:rsid w:val="345E36CA"/>
    <w:rsid w:val="346B736D"/>
    <w:rsid w:val="349D75B2"/>
    <w:rsid w:val="34BB0D48"/>
    <w:rsid w:val="34E335C4"/>
    <w:rsid w:val="35255666"/>
    <w:rsid w:val="355E2D37"/>
    <w:rsid w:val="359D48FF"/>
    <w:rsid w:val="35B610E1"/>
    <w:rsid w:val="35DB557F"/>
    <w:rsid w:val="35F75A41"/>
    <w:rsid w:val="35F90319"/>
    <w:rsid w:val="360F68C0"/>
    <w:rsid w:val="36B85FBC"/>
    <w:rsid w:val="36BF0103"/>
    <w:rsid w:val="36EA7C97"/>
    <w:rsid w:val="36EB1726"/>
    <w:rsid w:val="37021190"/>
    <w:rsid w:val="38090E8A"/>
    <w:rsid w:val="387441B5"/>
    <w:rsid w:val="387D663A"/>
    <w:rsid w:val="38A94C06"/>
    <w:rsid w:val="39BB6120"/>
    <w:rsid w:val="39C70BC8"/>
    <w:rsid w:val="39DF5AAD"/>
    <w:rsid w:val="3A372908"/>
    <w:rsid w:val="3AF958A6"/>
    <w:rsid w:val="3B2C5D94"/>
    <w:rsid w:val="3BF236BF"/>
    <w:rsid w:val="3C391D8E"/>
    <w:rsid w:val="3C6518C8"/>
    <w:rsid w:val="3C740593"/>
    <w:rsid w:val="3C765471"/>
    <w:rsid w:val="3CEC3273"/>
    <w:rsid w:val="3CF75DDC"/>
    <w:rsid w:val="3CFB369B"/>
    <w:rsid w:val="3CFF16A1"/>
    <w:rsid w:val="3D62004A"/>
    <w:rsid w:val="3D6A2893"/>
    <w:rsid w:val="3E324F16"/>
    <w:rsid w:val="3E332998"/>
    <w:rsid w:val="3E574CC8"/>
    <w:rsid w:val="3EE13377"/>
    <w:rsid w:val="3F183A1E"/>
    <w:rsid w:val="3F364729"/>
    <w:rsid w:val="3F5F0F0C"/>
    <w:rsid w:val="3FED4ABB"/>
    <w:rsid w:val="40681530"/>
    <w:rsid w:val="409E427D"/>
    <w:rsid w:val="40EC0F34"/>
    <w:rsid w:val="4171116E"/>
    <w:rsid w:val="419D4F33"/>
    <w:rsid w:val="41B0733C"/>
    <w:rsid w:val="41B56FB3"/>
    <w:rsid w:val="41C52885"/>
    <w:rsid w:val="41E66B91"/>
    <w:rsid w:val="428144DF"/>
    <w:rsid w:val="429B73D4"/>
    <w:rsid w:val="42AA46BF"/>
    <w:rsid w:val="42BC7436"/>
    <w:rsid w:val="42EB3BBD"/>
    <w:rsid w:val="42F04887"/>
    <w:rsid w:val="431F1507"/>
    <w:rsid w:val="43407B62"/>
    <w:rsid w:val="435D0B10"/>
    <w:rsid w:val="43656A9D"/>
    <w:rsid w:val="441D4AED"/>
    <w:rsid w:val="44774BE8"/>
    <w:rsid w:val="44C83A4D"/>
    <w:rsid w:val="44F22DAC"/>
    <w:rsid w:val="44FA5C39"/>
    <w:rsid w:val="45437F6F"/>
    <w:rsid w:val="45E60868"/>
    <w:rsid w:val="461D302D"/>
    <w:rsid w:val="46696808"/>
    <w:rsid w:val="468F70F5"/>
    <w:rsid w:val="46E57D0F"/>
    <w:rsid w:val="46FA78FD"/>
    <w:rsid w:val="46FE32D9"/>
    <w:rsid w:val="477403CF"/>
    <w:rsid w:val="479E21E3"/>
    <w:rsid w:val="4860789D"/>
    <w:rsid w:val="4887556D"/>
    <w:rsid w:val="48B50058"/>
    <w:rsid w:val="48C07D45"/>
    <w:rsid w:val="48EA3B26"/>
    <w:rsid w:val="49A54F54"/>
    <w:rsid w:val="49DF11B1"/>
    <w:rsid w:val="49E066E8"/>
    <w:rsid w:val="4A196D6A"/>
    <w:rsid w:val="4A6E3687"/>
    <w:rsid w:val="4B946DE7"/>
    <w:rsid w:val="4C953C5A"/>
    <w:rsid w:val="4D391DAD"/>
    <w:rsid w:val="4D5C53F9"/>
    <w:rsid w:val="4D7007C6"/>
    <w:rsid w:val="4DFB3043"/>
    <w:rsid w:val="4E380C04"/>
    <w:rsid w:val="4EA02F95"/>
    <w:rsid w:val="4EE24A5B"/>
    <w:rsid w:val="4F43064C"/>
    <w:rsid w:val="4F443F90"/>
    <w:rsid w:val="4FB02509"/>
    <w:rsid w:val="50435530"/>
    <w:rsid w:val="50A306D9"/>
    <w:rsid w:val="50CF4003"/>
    <w:rsid w:val="51093901"/>
    <w:rsid w:val="511C160B"/>
    <w:rsid w:val="51B0254E"/>
    <w:rsid w:val="522524FA"/>
    <w:rsid w:val="52287E89"/>
    <w:rsid w:val="53195E74"/>
    <w:rsid w:val="53264CD2"/>
    <w:rsid w:val="53BB08EB"/>
    <w:rsid w:val="53EC185D"/>
    <w:rsid w:val="54047EB6"/>
    <w:rsid w:val="543B5B50"/>
    <w:rsid w:val="55532F8B"/>
    <w:rsid w:val="55737D26"/>
    <w:rsid w:val="5609200A"/>
    <w:rsid w:val="564E2C80"/>
    <w:rsid w:val="574865FD"/>
    <w:rsid w:val="57A14B97"/>
    <w:rsid w:val="58722059"/>
    <w:rsid w:val="59071871"/>
    <w:rsid w:val="590B4F9F"/>
    <w:rsid w:val="59B44D10"/>
    <w:rsid w:val="59D05446"/>
    <w:rsid w:val="59F3544C"/>
    <w:rsid w:val="59F6323B"/>
    <w:rsid w:val="5A4A276E"/>
    <w:rsid w:val="5AF3242A"/>
    <w:rsid w:val="5B9C47F3"/>
    <w:rsid w:val="5B9D22F0"/>
    <w:rsid w:val="5BF15B82"/>
    <w:rsid w:val="5C062C54"/>
    <w:rsid w:val="5C346363"/>
    <w:rsid w:val="5C8332D2"/>
    <w:rsid w:val="5CDE319B"/>
    <w:rsid w:val="5CFD05F6"/>
    <w:rsid w:val="5D8B71D0"/>
    <w:rsid w:val="5DE16A92"/>
    <w:rsid w:val="5DF623CB"/>
    <w:rsid w:val="5DF72347"/>
    <w:rsid w:val="5E6121A0"/>
    <w:rsid w:val="5EA12CD6"/>
    <w:rsid w:val="5EC7706D"/>
    <w:rsid w:val="5EE0274D"/>
    <w:rsid w:val="5F0E6C35"/>
    <w:rsid w:val="5FB93BB6"/>
    <w:rsid w:val="600F3A15"/>
    <w:rsid w:val="60837066"/>
    <w:rsid w:val="60C345CC"/>
    <w:rsid w:val="61671CF0"/>
    <w:rsid w:val="616D2866"/>
    <w:rsid w:val="61AF5B61"/>
    <w:rsid w:val="629F7A4A"/>
    <w:rsid w:val="62DD0419"/>
    <w:rsid w:val="63243314"/>
    <w:rsid w:val="63270E5D"/>
    <w:rsid w:val="63390621"/>
    <w:rsid w:val="63870A9D"/>
    <w:rsid w:val="63B3000C"/>
    <w:rsid w:val="64076245"/>
    <w:rsid w:val="64426A25"/>
    <w:rsid w:val="644B6B6B"/>
    <w:rsid w:val="64C5571C"/>
    <w:rsid w:val="650342F4"/>
    <w:rsid w:val="6515647F"/>
    <w:rsid w:val="653C303F"/>
    <w:rsid w:val="65453DB0"/>
    <w:rsid w:val="656873D8"/>
    <w:rsid w:val="657A3BA7"/>
    <w:rsid w:val="65EE122E"/>
    <w:rsid w:val="66044DFB"/>
    <w:rsid w:val="663F3940"/>
    <w:rsid w:val="66725CD8"/>
    <w:rsid w:val="6673039E"/>
    <w:rsid w:val="6678672C"/>
    <w:rsid w:val="669F6EBA"/>
    <w:rsid w:val="66CF3A68"/>
    <w:rsid w:val="674B321A"/>
    <w:rsid w:val="67541939"/>
    <w:rsid w:val="67716D46"/>
    <w:rsid w:val="68B305D5"/>
    <w:rsid w:val="68BD0E82"/>
    <w:rsid w:val="690412D8"/>
    <w:rsid w:val="69440456"/>
    <w:rsid w:val="69480AC8"/>
    <w:rsid w:val="697048DB"/>
    <w:rsid w:val="69F570AB"/>
    <w:rsid w:val="69FD3A6F"/>
    <w:rsid w:val="69FD7BF5"/>
    <w:rsid w:val="6A011451"/>
    <w:rsid w:val="6A997A3F"/>
    <w:rsid w:val="6ADE1E63"/>
    <w:rsid w:val="6B2D20F9"/>
    <w:rsid w:val="6B7036D0"/>
    <w:rsid w:val="6BFD00F0"/>
    <w:rsid w:val="6C002F9C"/>
    <w:rsid w:val="6C1A5C77"/>
    <w:rsid w:val="6C790CC5"/>
    <w:rsid w:val="6C846D44"/>
    <w:rsid w:val="6D5A2410"/>
    <w:rsid w:val="6DF1016C"/>
    <w:rsid w:val="6E4954D1"/>
    <w:rsid w:val="6ED11214"/>
    <w:rsid w:val="6F271310"/>
    <w:rsid w:val="6F491A22"/>
    <w:rsid w:val="703C1B52"/>
    <w:rsid w:val="709B46C8"/>
    <w:rsid w:val="70DC0B34"/>
    <w:rsid w:val="70DD65B6"/>
    <w:rsid w:val="713778FB"/>
    <w:rsid w:val="7147677B"/>
    <w:rsid w:val="71CC2CB9"/>
    <w:rsid w:val="724A458E"/>
    <w:rsid w:val="72655CBC"/>
    <w:rsid w:val="72835210"/>
    <w:rsid w:val="744A5E60"/>
    <w:rsid w:val="745E177F"/>
    <w:rsid w:val="74BA6C2B"/>
    <w:rsid w:val="75370EE4"/>
    <w:rsid w:val="755240D7"/>
    <w:rsid w:val="75945AE9"/>
    <w:rsid w:val="759F2263"/>
    <w:rsid w:val="75AE1C13"/>
    <w:rsid w:val="76124DDB"/>
    <w:rsid w:val="763B2908"/>
    <w:rsid w:val="76490541"/>
    <w:rsid w:val="7662040A"/>
    <w:rsid w:val="770F1364"/>
    <w:rsid w:val="779F553A"/>
    <w:rsid w:val="77A61B26"/>
    <w:rsid w:val="77C7108C"/>
    <w:rsid w:val="78263477"/>
    <w:rsid w:val="78637117"/>
    <w:rsid w:val="78D91E30"/>
    <w:rsid w:val="78D9379F"/>
    <w:rsid w:val="78E75FCF"/>
    <w:rsid w:val="795F6519"/>
    <w:rsid w:val="797B020F"/>
    <w:rsid w:val="799449A0"/>
    <w:rsid w:val="7A8A5D97"/>
    <w:rsid w:val="7AC02BF7"/>
    <w:rsid w:val="7AEE0D33"/>
    <w:rsid w:val="7B452BDB"/>
    <w:rsid w:val="7B80532F"/>
    <w:rsid w:val="7B813890"/>
    <w:rsid w:val="7B9C0E99"/>
    <w:rsid w:val="7BA61E75"/>
    <w:rsid w:val="7BCB7A29"/>
    <w:rsid w:val="7C601C81"/>
    <w:rsid w:val="7DBD122E"/>
    <w:rsid w:val="7ECD282B"/>
    <w:rsid w:val="7EF944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link w:val="21"/>
    <w:unhideWhenUsed/>
    <w:qFormat/>
    <w:uiPriority w:val="0"/>
    <w:pPr>
      <w:autoSpaceDE w:val="0"/>
      <w:autoSpaceDN w:val="0"/>
      <w:adjustRightInd w:val="0"/>
      <w:outlineLvl w:val="1"/>
    </w:pPr>
    <w:rPr>
      <w:rFonts w:ascii="Arial" w:hAnsi="Arial"/>
      <w:b/>
      <w:i/>
      <w:color w:val="000000"/>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3">
    <w:name w:val="Title"/>
    <w:basedOn w:val="1"/>
    <w:next w:val="1"/>
    <w:qFormat/>
    <w:uiPriority w:val="10"/>
    <w:pPr>
      <w:spacing w:before="240" w:after="60"/>
      <w:jc w:val="center"/>
      <w:outlineLvl w:val="0"/>
    </w:pPr>
    <w:rPr>
      <w:rFonts w:ascii="Arial" w:hAnsi="Arial"/>
      <w:b/>
      <w:bCs/>
      <w:sz w:val="32"/>
      <w:szCs w:val="32"/>
    </w:rPr>
  </w:style>
  <w:style w:type="paragraph" w:styleId="5">
    <w:name w:val="Document Map"/>
    <w:basedOn w:val="1"/>
    <w:link w:val="16"/>
    <w:qFormat/>
    <w:uiPriority w:val="0"/>
    <w:rPr>
      <w:rFonts w:ascii="宋体"/>
      <w:sz w:val="18"/>
      <w:szCs w:val="18"/>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kern w:val="0"/>
      <w:sz w:val="20"/>
      <w:szCs w:val="20"/>
    </w:r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2"/>
    <w:qFormat/>
    <w:uiPriority w:val="99"/>
    <w:pPr>
      <w:widowControl/>
      <w:overflowPunct w:val="0"/>
      <w:autoSpaceDE w:val="0"/>
      <w:autoSpaceDN w:val="0"/>
      <w:adjustRightInd w:val="0"/>
      <w:ind w:firstLine="420"/>
      <w:jc w:val="left"/>
      <w:textAlignment w:val="baseline"/>
    </w:pPr>
  </w:style>
  <w:style w:type="paragraph" w:styleId="12">
    <w:name w:val="Body Text First Indent 2"/>
    <w:basedOn w:val="6"/>
    <w:unhideWhenUsed/>
    <w:qFormat/>
    <w:uiPriority w:val="0"/>
    <w:pPr>
      <w:ind w:firstLine="420" w:firstLineChars="200"/>
    </w:pPr>
    <w:rPr>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文档结构图 Char"/>
    <w:basedOn w:val="15"/>
    <w:link w:val="5"/>
    <w:qFormat/>
    <w:uiPriority w:val="0"/>
    <w:rPr>
      <w:rFonts w:ascii="宋体" w:hAnsi="Calibri"/>
      <w:kern w:val="2"/>
      <w:sz w:val="18"/>
      <w:szCs w:val="18"/>
    </w:rPr>
  </w:style>
  <w:style w:type="character" w:customStyle="1" w:styleId="17">
    <w:name w:val="页眉 Char"/>
    <w:basedOn w:val="15"/>
    <w:link w:val="9"/>
    <w:qFormat/>
    <w:uiPriority w:val="0"/>
    <w:rPr>
      <w:rFonts w:ascii="Calibri" w:hAnsi="Calibri"/>
      <w:kern w:val="2"/>
      <w:sz w:val="18"/>
      <w:szCs w:val="18"/>
    </w:rPr>
  </w:style>
  <w:style w:type="character" w:customStyle="1" w:styleId="18">
    <w:name w:val="页脚 Char"/>
    <w:basedOn w:val="15"/>
    <w:link w:val="8"/>
    <w:qFormat/>
    <w:uiPriority w:val="0"/>
    <w:rPr>
      <w:rFonts w:ascii="Calibri" w:hAnsi="Calibri"/>
      <w:kern w:val="2"/>
      <w:sz w:val="18"/>
      <w:szCs w:val="18"/>
    </w:rPr>
  </w:style>
  <w:style w:type="paragraph" w:styleId="19">
    <w:name w:val="List Paragraph"/>
    <w:basedOn w:val="1"/>
    <w:unhideWhenUsed/>
    <w:qFormat/>
    <w:uiPriority w:val="99"/>
    <w:pPr>
      <w:ind w:firstLine="420" w:firstLineChars="200"/>
    </w:p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
    <w:name w:val="标题 2 Char"/>
    <w:basedOn w:val="15"/>
    <w:link w:val="4"/>
    <w:qFormat/>
    <w:uiPriority w:val="9"/>
    <w:rPr>
      <w:rFonts w:ascii="Arial" w:hAnsi="Arial"/>
      <w:b/>
      <w:i/>
      <w:color w:val="000000"/>
      <w:kern w:val="2"/>
      <w:sz w:val="28"/>
      <w:szCs w:val="22"/>
    </w:rPr>
  </w:style>
  <w:style w:type="paragraph" w:customStyle="1" w:styleId="22">
    <w:name w:val="目录 21"/>
    <w:basedOn w:val="1"/>
    <w:next w:val="1"/>
    <w:qFormat/>
    <w:uiPriority w:val="0"/>
    <w:pPr>
      <w:spacing w:before="100" w:beforeAutospacing="1" w:after="100" w:afterAutospacing="1"/>
      <w:ind w:left="420" w:leftChars="200"/>
    </w:pPr>
  </w:style>
  <w:style w:type="paragraph" w:customStyle="1" w:styleId="23">
    <w:name w:val="正文格式"/>
    <w:basedOn w:val="24"/>
    <w:qFormat/>
    <w:uiPriority w:val="0"/>
    <w:pPr>
      <w:widowControl/>
      <w:topLinePunct/>
      <w:ind w:firstLine="420" w:firstLineChars="200"/>
    </w:pPr>
    <w:rPr>
      <w:rFonts w:ascii="宋体" w:hAnsi="宋体"/>
      <w:bCs/>
      <w:sz w:val="24"/>
      <w:szCs w:val="21"/>
      <w:lang w:eastAsia="en-US" w:bidi="en-US"/>
    </w:rPr>
  </w:style>
  <w:style w:type="paragraph" w:customStyle="1" w:styleId="24">
    <w:name w:val="样式 (西文) Times New Roman (中文) 宋体 首行缩进:  2 字符"/>
    <w:basedOn w:val="1"/>
    <w:qFormat/>
    <w:uiPriority w:val="0"/>
    <w:pPr>
      <w:ind w:firstLine="560"/>
    </w:pPr>
    <w:rPr>
      <w:rFonts w:cs="宋体"/>
    </w:rPr>
  </w:style>
  <w:style w:type="paragraph" w:customStyle="1" w:styleId="25">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26">
    <w:name w:val="正文文本缩进 Char1"/>
    <w:basedOn w:val="15"/>
    <w:qFormat/>
    <w:uiPriority w:val="0"/>
    <w:rPr>
      <w:rFonts w:ascii="宋体" w:hAnsi="宋体" w:eastAsiaTheme="minorEastAsia"/>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1236</Words>
  <Characters>1381</Characters>
  <Lines>20</Lines>
  <Paragraphs>5</Paragraphs>
  <TotalTime>0</TotalTime>
  <ScaleCrop>false</ScaleCrop>
  <LinksUpToDate>false</LinksUpToDate>
  <CharactersWithSpaces>1389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2021-02-24T07:31:00Z</dcterms:created>
  <dc:creator>weixy</dc:creator>
  <cp:lastModifiedBy>朱嘉仪</cp:lastModifiedBy>
  <dcterms:modified xsi:type="dcterms:W3CDTF">2025-11-20T09:24:08Z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F85F8D7528EC480DB2C94763BE67BC87</vt:lpwstr>
  </property>
  <property fmtid="{D5CDD505-2E9C-101B-9397-08002B2CF9AE}" pid="4" name="KSOTemplateDocerSaveRecord">
    <vt:lpwstr>eyJoZGlkIjoiZGJjODM5NTk3MTUxYmYyNTNjZTg0Yzk2OTEwZDg4MjYiLCJ1c2VySWQiOiIxMzkyOTc5NTQwIn0=</vt:lpwstr>
  </property>
</Properties>
</file>