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标的名称：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highlight w:val="none"/>
        </w:rPr>
        <w:t>湖南-贵州电力灵活互济工程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highlight w:val="none"/>
          <w:lang w:val="en-US" w:eastAsia="zh-CN"/>
        </w:rPr>
        <w:t>背靠背换流站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三通一平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施工</w:t>
      </w:r>
    </w:p>
    <w:p>
      <w:pPr>
        <w:pStyle w:val="11"/>
        <w:rPr>
          <w:rFonts w:hint="default"/>
          <w:color w:val="auto"/>
          <w:highlight w:val="none"/>
          <w:lang w:val="en-US" w:eastAsia="zh-CN"/>
        </w:rPr>
      </w:pPr>
    </w:p>
    <w:tbl>
      <w:tblPr>
        <w:tblStyle w:val="18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  <w:highlight w:val="none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  <w:highlight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南方电网规划〔2025〕68号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snapToGrid w:val="0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发改能源〔2025〕1459号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napToGrid w:val="0"/>
                <w:color w:val="FF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南方电网工程〔2025〕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南方电网计财〔2025〕40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南网超高压公司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贵州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联合体(中国能源建设集团广东省电力设计研究院有限公司，中国电建集团贵州电力设计研究院有限公司)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  <w:highlight w:val="none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1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highlight w:val="none"/>
              </w:rPr>
              <w:t>/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湖南-贵州电力灵活互济工程，在贵州省铜仁地区新建柔直背靠背换流站一座（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交直流合建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工程），容量2x1500兆瓦。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换流站围墙内总占地为12.2655h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m2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。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新建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引接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道路长度约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985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米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  <w:lang w:eastAsia="zh-CN"/>
        </w:rPr>
        <w:t>。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站址处于云贵高原向湘西丘陵过度的斜坡地带，西北高，东南低，地处山腰缓坡地带，整体地势东南侧偏高，西北侧偏低，站址区域范围内地面高程在641~697m。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三通一平竖向采用平坡式布置，以一个初平标高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671.1m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交土建施工。土建施工竖向按平坡式布置，以一个精平标高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671.9m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（换流站终平标高）交电气安装施工。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根据现场钻探成果，场地挖方区设计场平高程以上揭露岩土层主要为残积可塑状粘土为、强风化～中等风化基岩。挖方区的石方主要来源于上述土层中的强风化和中等风化基岩。根据钻孔资料，估算场地挖方区土：强风化岩石：中风化岩石比例约为1：1：8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三通一平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施工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阶段挖方量为72.8万m3，填方量为68.57万m3，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highlight w:val="none"/>
          <w:u w:val="none"/>
        </w:rPr>
        <w:t>具体建设规模以施工图纸为准。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范围</w:t>
      </w:r>
    </w:p>
    <w:p>
      <w:pPr>
        <w:pStyle w:val="11"/>
        <w:snapToGrid w:val="0"/>
        <w:spacing w:line="360" w:lineRule="auto"/>
        <w:ind w:firstLine="422" w:firstLineChars="200"/>
        <w:jc w:val="left"/>
        <w:outlineLvl w:val="0"/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  <w:highlight w:val="none"/>
        </w:rPr>
        <w:t>包括施工图范围内的建筑、安装及调试工程。施工图范围内的下列工作内容，无□及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>☑</w:t>
      </w: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  <w:highlight w:val="none"/>
        </w:rPr>
        <w:t>的为本次报价范围；□未打√的，不在本次报价范围内，特殊情况在“其他”中说明。</w:t>
      </w:r>
    </w:p>
    <w:p>
      <w:pPr>
        <w:pStyle w:val="11"/>
        <w:snapToGrid w:val="0"/>
        <w:spacing w:line="360" w:lineRule="auto"/>
        <w:ind w:firstLine="420" w:firstLineChars="200"/>
        <w:jc w:val="left"/>
        <w:outlineLvl w:val="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湖南-贵州电力灵活互济工程</w:t>
      </w: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背靠背</w:t>
      </w:r>
      <w:r>
        <w:rPr>
          <w:rFonts w:hint="default" w:asciiTheme="minorEastAsia" w:hAnsiTheme="minorEastAsia" w:eastAsiaTheme="minorEastAsia" w:cstheme="minorEastAsia"/>
          <w:highlight w:val="none"/>
          <w:lang w:val="en-US" w:eastAsia="zh-CN"/>
        </w:rPr>
        <w:t>换流站</w:t>
      </w: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（交直流合建工程）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站区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、进站道路及</w:t>
      </w:r>
      <w:r>
        <w:rPr>
          <w:rFonts w:hint="eastAsia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红线范围内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场地平整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，还建道路</w:t>
      </w:r>
      <w:r>
        <w:rPr>
          <w:rFonts w:hint="default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试验桩</w:t>
      </w:r>
      <w:r>
        <w:rPr>
          <w:rFonts w:hint="eastAsia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和工程桩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施工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边坡及挡土墙，站外水源，站外排水系统，临时工程，</w:t>
      </w: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集中办公区，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征地配合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施工期间水土保持、环境保护和绿色建造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配合第三方检测、监测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</w:p>
    <w:p>
      <w:pPr>
        <w:pStyle w:val="11"/>
        <w:snapToGrid w:val="0"/>
        <w:spacing w:line="360" w:lineRule="auto"/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  <w:highlight w:val="none"/>
        </w:rPr>
        <w:t>三、承包方式</w:t>
      </w:r>
    </w:p>
    <w:p>
      <w:pPr>
        <w:pStyle w:val="11"/>
        <w:snapToGrid w:val="0"/>
        <w:spacing w:line="360" w:lineRule="auto"/>
        <w:ind w:firstLine="422" w:firstLineChars="200"/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包工、部分包料，施工图纸范围内如有下列设备、材料，无□及</w: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instrText xml:space="preserve"> EQ \o\ac(□,√)</w:instrTex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的为甲供，□未打√的及不在下列的为乙供。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color w:val="auto"/>
          <w:szCs w:val="21"/>
          <w:highlight w:val="none"/>
        </w:rPr>
      </w:pPr>
      <w:r>
        <w:rPr>
          <w:rFonts w:hint="default" w:ascii="Times New Roman" w:hAnsi="Times New Roman" w:cs="Times New Roman"/>
          <w:b/>
          <w:color w:val="auto"/>
          <w:szCs w:val="21"/>
          <w:highlight w:val="none"/>
        </w:rPr>
        <w:t>（一）甲供物资：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bCs/>
          <w:color w:val="auto"/>
          <w:szCs w:val="21"/>
          <w:highlight w:val="none"/>
          <w:lang w:val="en-US"/>
        </w:rPr>
      </w:pPr>
      <w:r>
        <w:rPr>
          <w:rFonts w:hint="eastAsia" w:ascii="Times New Roman" w:hAnsi="Times New Roman" w:cs="Times New Roman"/>
          <w:b/>
          <w:bCs w:val="0"/>
          <w:color w:val="auto"/>
          <w:szCs w:val="21"/>
          <w:highlight w:val="none"/>
          <w:lang w:val="en-US" w:eastAsia="zh-CN"/>
        </w:rPr>
        <w:t>站址线路迁改：</w:t>
      </w:r>
    </w:p>
    <w:p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  <w:t>1.电气主要设备材料（导地线、盘式绝缘子、导线间隔棒、导、地线防振锤、普通挂线金具、耐张挂点补偿金具、</w:t>
      </w: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</w:rPr>
        <w:t>石墨接地</w:t>
      </w: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eastAsia="zh-CN"/>
        </w:rPr>
        <w:t>）。</w:t>
      </w:r>
    </w:p>
    <w:p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  <w:t>2.OPGW光缆、光缆耐张串及悬垂串、塔用普通接头盒、塔用普通引下线夹、塔用普通余缆架（非绝缘）、预绞丝防振锤。</w:t>
      </w:r>
    </w:p>
    <w:p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  <w:t>3.附属设备：线路避雷器、图像在线监测装置、导线安全备份线夹、地线安全备份线夹、OPGW安全备份线夹、三牌、</w:t>
      </w: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</w:rPr>
        <w:t>机巡牌</w:t>
      </w: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eastAsia="zh-CN"/>
        </w:rPr>
        <w:t>、</w:t>
      </w: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  <w:t xml:space="preserve">X光检测及耐张线夹倒挂需注脂。                              </w:t>
      </w:r>
    </w:p>
    <w:p>
      <w:pPr>
        <w:shd w:val="clear" w:color="auto" w:fill="auto"/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color w:val="auto"/>
          <w:szCs w:val="21"/>
          <w:highlight w:val="none"/>
          <w:lang w:val="en-US" w:eastAsia="zh-CN"/>
        </w:rPr>
        <w:t>4.结构主要设备材料：铁塔、防坠落导轨、防坠落金具及转向器。</w:t>
      </w:r>
      <w:r>
        <w:rPr>
          <w:rFonts w:hint="eastAsia" w:ascii="Times New Roman" w:hAnsi="Times New Roman" w:cs="Times New Roman"/>
          <w:b w:val="0"/>
          <w:bCs/>
          <w:color w:val="auto"/>
          <w:szCs w:val="21"/>
          <w:highlight w:val="none"/>
          <w:lang w:val="en-US" w:eastAsia="zh-CN"/>
        </w:rPr>
        <w:t xml:space="preserve"> </w:t>
      </w:r>
    </w:p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ind w:firstLine="211" w:firstLineChars="100"/>
        <w:jc w:val="left"/>
        <w:rPr>
          <w:rFonts w:hint="default" w:ascii="Times New Roman" w:hAnsi="Times New Roman" w:cs="Times New Roman"/>
          <w:bCs/>
          <w:color w:val="auto"/>
          <w:szCs w:val="21"/>
          <w:highlight w:val="none"/>
          <w:u w:val="single"/>
        </w:rPr>
      </w:pPr>
      <w:r>
        <w:rPr>
          <w:rFonts w:hint="default" w:ascii="Times New Roman" w:hAnsi="Times New Roman" w:cs="Times New Roman"/>
          <w:b/>
          <w:color w:val="auto"/>
          <w:szCs w:val="21"/>
          <w:highlight w:val="none"/>
        </w:rPr>
        <w:t>（</w:t>
      </w:r>
      <w:r>
        <w:rPr>
          <w:rFonts w:hint="eastAsia" w:ascii="Times New Roman" w:hAnsi="Times New Roman" w:cs="Times New Roman"/>
          <w:b/>
          <w:color w:val="auto"/>
          <w:szCs w:val="21"/>
          <w:highlight w:val="none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color w:val="auto"/>
          <w:szCs w:val="21"/>
          <w:highlight w:val="none"/>
        </w:rPr>
        <w:t>）其他甲供物资：</w:t>
      </w:r>
      <w:r>
        <w:rPr>
          <w:rFonts w:hint="default" w:ascii="Times New Roman" w:hAnsi="Times New Roman" w:cs="Times New Roman"/>
          <w:bCs/>
          <w:color w:val="auto"/>
          <w:szCs w:val="21"/>
          <w:highlight w:val="none"/>
          <w:u w:val="single"/>
        </w:rPr>
        <w:t xml:space="preserve"> /。</w:t>
      </w:r>
    </w:p>
    <w:p>
      <w:pPr>
        <w:pStyle w:val="11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rPr>
          <w:rFonts w:hint="default"/>
          <w:color w:val="auto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3E756F2-689D-4867-B9CF-B1EC1AD7DA8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 w:firstLine="360"/>
      <w:jc w:val="center"/>
      <w:rPr>
        <w:sz w:val="21"/>
        <w:szCs w:val="21"/>
      </w:rPr>
    </w:pPr>
    <w:r>
      <w:rPr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  <w:lang w:val="zh-CN"/>
      </w:rPr>
      <w:t>14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sz w:val="21"/>
        <w:szCs w:val="21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240" w:beforeLines="100"/>
      <w:rPr>
        <w:rFonts w:ascii="Times New Roman" w:hAnsi="Times New Roman" w:eastAsia="楷体" w:cs="Times New Roman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C160B"/>
    <w:rsid w:val="00420E7C"/>
    <w:rsid w:val="00AA75A7"/>
    <w:rsid w:val="010F4D4C"/>
    <w:rsid w:val="01C015FF"/>
    <w:rsid w:val="01F34FBF"/>
    <w:rsid w:val="0213224F"/>
    <w:rsid w:val="025A67AA"/>
    <w:rsid w:val="02721111"/>
    <w:rsid w:val="02886898"/>
    <w:rsid w:val="02AB31E9"/>
    <w:rsid w:val="02D07A79"/>
    <w:rsid w:val="034623EE"/>
    <w:rsid w:val="04184952"/>
    <w:rsid w:val="04653A3F"/>
    <w:rsid w:val="047C49E9"/>
    <w:rsid w:val="04F049A8"/>
    <w:rsid w:val="056117E3"/>
    <w:rsid w:val="05BA2CB8"/>
    <w:rsid w:val="063F3A64"/>
    <w:rsid w:val="06666721"/>
    <w:rsid w:val="073F20F3"/>
    <w:rsid w:val="07E24976"/>
    <w:rsid w:val="08944426"/>
    <w:rsid w:val="096E4722"/>
    <w:rsid w:val="09B7769B"/>
    <w:rsid w:val="0A172612"/>
    <w:rsid w:val="0A2C0C06"/>
    <w:rsid w:val="0AEC727C"/>
    <w:rsid w:val="0C93150A"/>
    <w:rsid w:val="0C952D82"/>
    <w:rsid w:val="0CBC3C74"/>
    <w:rsid w:val="0D8920C3"/>
    <w:rsid w:val="0DBE04C6"/>
    <w:rsid w:val="0DF6159C"/>
    <w:rsid w:val="0E890600"/>
    <w:rsid w:val="0EDC2445"/>
    <w:rsid w:val="0F013483"/>
    <w:rsid w:val="0F126346"/>
    <w:rsid w:val="0FEB729D"/>
    <w:rsid w:val="10D46A26"/>
    <w:rsid w:val="112A3D19"/>
    <w:rsid w:val="11472166"/>
    <w:rsid w:val="1171712A"/>
    <w:rsid w:val="11C955BB"/>
    <w:rsid w:val="11E12C61"/>
    <w:rsid w:val="120B2110"/>
    <w:rsid w:val="12D9053A"/>
    <w:rsid w:val="12DC5FA1"/>
    <w:rsid w:val="131577DB"/>
    <w:rsid w:val="13511BBE"/>
    <w:rsid w:val="13A965B0"/>
    <w:rsid w:val="13F6014E"/>
    <w:rsid w:val="14612762"/>
    <w:rsid w:val="15125241"/>
    <w:rsid w:val="154D0DEA"/>
    <w:rsid w:val="158F187F"/>
    <w:rsid w:val="160D793F"/>
    <w:rsid w:val="16B32D29"/>
    <w:rsid w:val="1708238A"/>
    <w:rsid w:val="17464AB3"/>
    <w:rsid w:val="1783438E"/>
    <w:rsid w:val="185365BF"/>
    <w:rsid w:val="18787932"/>
    <w:rsid w:val="18866C6C"/>
    <w:rsid w:val="19567321"/>
    <w:rsid w:val="19B71113"/>
    <w:rsid w:val="1A473CA6"/>
    <w:rsid w:val="1A555BBE"/>
    <w:rsid w:val="1A85373E"/>
    <w:rsid w:val="1B846D66"/>
    <w:rsid w:val="1BB4525B"/>
    <w:rsid w:val="1C4A05F8"/>
    <w:rsid w:val="1CBB20F3"/>
    <w:rsid w:val="1D181F4A"/>
    <w:rsid w:val="1DED69C6"/>
    <w:rsid w:val="1E35361B"/>
    <w:rsid w:val="1E964759"/>
    <w:rsid w:val="1EC2624D"/>
    <w:rsid w:val="200407CD"/>
    <w:rsid w:val="200F41A6"/>
    <w:rsid w:val="204D3C8B"/>
    <w:rsid w:val="206D64FC"/>
    <w:rsid w:val="20BB44E8"/>
    <w:rsid w:val="21293853"/>
    <w:rsid w:val="214848C1"/>
    <w:rsid w:val="21782177"/>
    <w:rsid w:val="227620EA"/>
    <w:rsid w:val="227F2CA6"/>
    <w:rsid w:val="232606DC"/>
    <w:rsid w:val="23607DE2"/>
    <w:rsid w:val="23895DB1"/>
    <w:rsid w:val="23CF381C"/>
    <w:rsid w:val="24053DA7"/>
    <w:rsid w:val="240A6030"/>
    <w:rsid w:val="24CE7A5A"/>
    <w:rsid w:val="250B44FA"/>
    <w:rsid w:val="252D708B"/>
    <w:rsid w:val="257802E8"/>
    <w:rsid w:val="27924413"/>
    <w:rsid w:val="28220AFC"/>
    <w:rsid w:val="28A80261"/>
    <w:rsid w:val="290B5D62"/>
    <w:rsid w:val="29702FAD"/>
    <w:rsid w:val="29735D77"/>
    <w:rsid w:val="298B1640"/>
    <w:rsid w:val="29C410CB"/>
    <w:rsid w:val="2A8C2D26"/>
    <w:rsid w:val="2AF32708"/>
    <w:rsid w:val="2B13509A"/>
    <w:rsid w:val="2C31308C"/>
    <w:rsid w:val="2C8F0EA7"/>
    <w:rsid w:val="2CE26F74"/>
    <w:rsid w:val="2CE72BBB"/>
    <w:rsid w:val="2D1852EF"/>
    <w:rsid w:val="2DBA1D37"/>
    <w:rsid w:val="2E6F6B90"/>
    <w:rsid w:val="2E993E36"/>
    <w:rsid w:val="2EF23C52"/>
    <w:rsid w:val="2EF43B94"/>
    <w:rsid w:val="2F097580"/>
    <w:rsid w:val="2F197C4D"/>
    <w:rsid w:val="2F5100A4"/>
    <w:rsid w:val="3075179D"/>
    <w:rsid w:val="307B6474"/>
    <w:rsid w:val="30D366C7"/>
    <w:rsid w:val="319121DA"/>
    <w:rsid w:val="319375DC"/>
    <w:rsid w:val="321E6130"/>
    <w:rsid w:val="3243118A"/>
    <w:rsid w:val="32BD3524"/>
    <w:rsid w:val="345B286C"/>
    <w:rsid w:val="34902BCC"/>
    <w:rsid w:val="34961CD9"/>
    <w:rsid w:val="34A1443F"/>
    <w:rsid w:val="351C27B0"/>
    <w:rsid w:val="35F6026E"/>
    <w:rsid w:val="361424F5"/>
    <w:rsid w:val="36C02D19"/>
    <w:rsid w:val="371F7A61"/>
    <w:rsid w:val="37AB2D5A"/>
    <w:rsid w:val="37CF4189"/>
    <w:rsid w:val="38307AD1"/>
    <w:rsid w:val="38D40BFF"/>
    <w:rsid w:val="38F4537F"/>
    <w:rsid w:val="39023B77"/>
    <w:rsid w:val="396857D4"/>
    <w:rsid w:val="3A8F1D3B"/>
    <w:rsid w:val="3B720CD8"/>
    <w:rsid w:val="3BA52C45"/>
    <w:rsid w:val="3C021478"/>
    <w:rsid w:val="3DD006F5"/>
    <w:rsid w:val="3E1C2B61"/>
    <w:rsid w:val="3E3E7CC7"/>
    <w:rsid w:val="3E895925"/>
    <w:rsid w:val="3EA242D1"/>
    <w:rsid w:val="3F2A7C66"/>
    <w:rsid w:val="410427B6"/>
    <w:rsid w:val="41073E0E"/>
    <w:rsid w:val="41A11B43"/>
    <w:rsid w:val="422A4891"/>
    <w:rsid w:val="428B0805"/>
    <w:rsid w:val="42AB18C2"/>
    <w:rsid w:val="432730CB"/>
    <w:rsid w:val="43374CD4"/>
    <w:rsid w:val="43455B8A"/>
    <w:rsid w:val="435F7804"/>
    <w:rsid w:val="438225EE"/>
    <w:rsid w:val="43AA7164"/>
    <w:rsid w:val="44337C1C"/>
    <w:rsid w:val="446F0F4B"/>
    <w:rsid w:val="447311FF"/>
    <w:rsid w:val="44DF14C8"/>
    <w:rsid w:val="45010FCD"/>
    <w:rsid w:val="45670C50"/>
    <w:rsid w:val="45857D9C"/>
    <w:rsid w:val="45B90BAD"/>
    <w:rsid w:val="45D35BB2"/>
    <w:rsid w:val="45D67A0B"/>
    <w:rsid w:val="468F70F5"/>
    <w:rsid w:val="46B46844"/>
    <w:rsid w:val="46B9408D"/>
    <w:rsid w:val="46D332C1"/>
    <w:rsid w:val="46ED6069"/>
    <w:rsid w:val="47875FA2"/>
    <w:rsid w:val="4942653E"/>
    <w:rsid w:val="49A847A6"/>
    <w:rsid w:val="49FF2174"/>
    <w:rsid w:val="4A180A44"/>
    <w:rsid w:val="4AE828A9"/>
    <w:rsid w:val="4AF34C74"/>
    <w:rsid w:val="4B32221A"/>
    <w:rsid w:val="4B7414A5"/>
    <w:rsid w:val="4B926AB1"/>
    <w:rsid w:val="4BC81760"/>
    <w:rsid w:val="4C27522D"/>
    <w:rsid w:val="4C55038A"/>
    <w:rsid w:val="4C717EE1"/>
    <w:rsid w:val="4CDD12A8"/>
    <w:rsid w:val="4D391DAD"/>
    <w:rsid w:val="4D510AD1"/>
    <w:rsid w:val="4DFA077B"/>
    <w:rsid w:val="4E1B0A03"/>
    <w:rsid w:val="4E335445"/>
    <w:rsid w:val="4E612ADD"/>
    <w:rsid w:val="4EE24A5B"/>
    <w:rsid w:val="4F4068DE"/>
    <w:rsid w:val="4F937849"/>
    <w:rsid w:val="506816E4"/>
    <w:rsid w:val="508558A6"/>
    <w:rsid w:val="51145746"/>
    <w:rsid w:val="511C160B"/>
    <w:rsid w:val="515E7D31"/>
    <w:rsid w:val="51874B16"/>
    <w:rsid w:val="519F621D"/>
    <w:rsid w:val="52885076"/>
    <w:rsid w:val="535D61E7"/>
    <w:rsid w:val="53AB6B01"/>
    <w:rsid w:val="53DC18A1"/>
    <w:rsid w:val="54216091"/>
    <w:rsid w:val="545110D1"/>
    <w:rsid w:val="547B107C"/>
    <w:rsid w:val="54A07B2F"/>
    <w:rsid w:val="54AE588B"/>
    <w:rsid w:val="54E54D3D"/>
    <w:rsid w:val="552D3719"/>
    <w:rsid w:val="5591023D"/>
    <w:rsid w:val="55D46A07"/>
    <w:rsid w:val="564E2C80"/>
    <w:rsid w:val="56563349"/>
    <w:rsid w:val="57F161C0"/>
    <w:rsid w:val="592856EA"/>
    <w:rsid w:val="59CE37A6"/>
    <w:rsid w:val="5A017854"/>
    <w:rsid w:val="5AD115CD"/>
    <w:rsid w:val="5B043B95"/>
    <w:rsid w:val="5B171E82"/>
    <w:rsid w:val="5B256DD6"/>
    <w:rsid w:val="5CA90D7A"/>
    <w:rsid w:val="5D156186"/>
    <w:rsid w:val="5D4A0134"/>
    <w:rsid w:val="5D611EDA"/>
    <w:rsid w:val="5DA546AF"/>
    <w:rsid w:val="5E92116F"/>
    <w:rsid w:val="5EE906B0"/>
    <w:rsid w:val="5F500D3D"/>
    <w:rsid w:val="5F813FC0"/>
    <w:rsid w:val="5F9271EE"/>
    <w:rsid w:val="5FA82DEF"/>
    <w:rsid w:val="5FD52EAC"/>
    <w:rsid w:val="5FFD1D7C"/>
    <w:rsid w:val="607B63D6"/>
    <w:rsid w:val="60807BFF"/>
    <w:rsid w:val="61245EFD"/>
    <w:rsid w:val="62714A32"/>
    <w:rsid w:val="62C457D8"/>
    <w:rsid w:val="633562CC"/>
    <w:rsid w:val="643166B3"/>
    <w:rsid w:val="643C3652"/>
    <w:rsid w:val="66533F6E"/>
    <w:rsid w:val="669C7C7D"/>
    <w:rsid w:val="6829183D"/>
    <w:rsid w:val="698E123D"/>
    <w:rsid w:val="69E13737"/>
    <w:rsid w:val="6A043645"/>
    <w:rsid w:val="6AC95741"/>
    <w:rsid w:val="6AF81D8A"/>
    <w:rsid w:val="6B356FEF"/>
    <w:rsid w:val="6B3B2CBB"/>
    <w:rsid w:val="6B3D558B"/>
    <w:rsid w:val="6C5C22D4"/>
    <w:rsid w:val="6DA438F0"/>
    <w:rsid w:val="6E1E4715"/>
    <w:rsid w:val="6E7E2D5A"/>
    <w:rsid w:val="6E9A3E10"/>
    <w:rsid w:val="6EAF3408"/>
    <w:rsid w:val="6F8A028E"/>
    <w:rsid w:val="6FCE294B"/>
    <w:rsid w:val="6FD8258B"/>
    <w:rsid w:val="70025DF1"/>
    <w:rsid w:val="70AB6673"/>
    <w:rsid w:val="715273A6"/>
    <w:rsid w:val="7159528B"/>
    <w:rsid w:val="71887D53"/>
    <w:rsid w:val="72247D78"/>
    <w:rsid w:val="738E27FD"/>
    <w:rsid w:val="73C075B8"/>
    <w:rsid w:val="73C313C2"/>
    <w:rsid w:val="74167854"/>
    <w:rsid w:val="741B35EC"/>
    <w:rsid w:val="74BA7716"/>
    <w:rsid w:val="75892461"/>
    <w:rsid w:val="75BF2B4D"/>
    <w:rsid w:val="75FE0B1A"/>
    <w:rsid w:val="764E655D"/>
    <w:rsid w:val="765E0811"/>
    <w:rsid w:val="766A6DBB"/>
    <w:rsid w:val="7677576F"/>
    <w:rsid w:val="768F4E19"/>
    <w:rsid w:val="770B70DA"/>
    <w:rsid w:val="778B672F"/>
    <w:rsid w:val="77972F48"/>
    <w:rsid w:val="77A7135E"/>
    <w:rsid w:val="77D55FB4"/>
    <w:rsid w:val="78362FBC"/>
    <w:rsid w:val="786C12A0"/>
    <w:rsid w:val="788274D1"/>
    <w:rsid w:val="789B17B9"/>
    <w:rsid w:val="78FA4387"/>
    <w:rsid w:val="79011794"/>
    <w:rsid w:val="799449A0"/>
    <w:rsid w:val="7A0479F1"/>
    <w:rsid w:val="7A403F0D"/>
    <w:rsid w:val="7A4778AC"/>
    <w:rsid w:val="7A5B103B"/>
    <w:rsid w:val="7A6678E3"/>
    <w:rsid w:val="7AE43B4F"/>
    <w:rsid w:val="7AEE0D33"/>
    <w:rsid w:val="7B115A6C"/>
    <w:rsid w:val="7B1E0809"/>
    <w:rsid w:val="7BE11BCC"/>
    <w:rsid w:val="7BFA4CF4"/>
    <w:rsid w:val="7C3410A6"/>
    <w:rsid w:val="7C7D040E"/>
    <w:rsid w:val="7CCB17CA"/>
    <w:rsid w:val="7CEA1DC0"/>
    <w:rsid w:val="7D082779"/>
    <w:rsid w:val="7D4525F8"/>
    <w:rsid w:val="7D6C40EC"/>
    <w:rsid w:val="7D960ACB"/>
    <w:rsid w:val="7D9C3754"/>
    <w:rsid w:val="7DEF6F7E"/>
    <w:rsid w:val="7E0A29DC"/>
    <w:rsid w:val="7E7C75B1"/>
    <w:rsid w:val="7F33152B"/>
    <w:rsid w:val="7F392F22"/>
    <w:rsid w:val="7F3B0945"/>
    <w:rsid w:val="7FE9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/>
      <w:jc w:val="left"/>
      <w:outlineLvl w:val="0"/>
    </w:pPr>
    <w:rPr>
      <w:rFonts w:ascii="宋体" w:hAnsi="宋体" w:eastAsia="宋体" w:cs="Times New Roman"/>
      <w:b/>
      <w:bCs/>
      <w:color w:val="000000"/>
      <w:kern w:val="44"/>
      <w:szCs w:val="21"/>
    </w:rPr>
  </w:style>
  <w:style w:type="paragraph" w:styleId="5">
    <w:name w:val="heading 2"/>
    <w:basedOn w:val="1"/>
    <w:next w:val="1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7">
    <w:name w:val="heading 4"/>
    <w:basedOn w:val="6"/>
    <w:next w:val="8"/>
    <w:qFormat/>
    <w:uiPriority w:val="0"/>
    <w:pPr>
      <w:spacing w:beforeLines="50" w:afterLines="50" w:line="360" w:lineRule="auto"/>
      <w:jc w:val="center"/>
      <w:outlineLvl w:val="3"/>
    </w:pPr>
    <w:rPr>
      <w:rFonts w:ascii="Arial" w:hAnsi="Arial"/>
      <w:b w:val="0"/>
      <w:bCs w:val="0"/>
      <w:color w:val="000000"/>
      <w:sz w:val="24"/>
      <w:szCs w:val="24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Normal Indent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9">
    <w:name w:val="annotation text"/>
    <w:basedOn w:val="1"/>
    <w:unhideWhenUsed/>
    <w:qFormat/>
    <w:uiPriority w:val="0"/>
    <w:pPr>
      <w:jc w:val="left"/>
    </w:pPr>
  </w:style>
  <w:style w:type="paragraph" w:styleId="10">
    <w:name w:val="Body Text Indent"/>
    <w:qFormat/>
    <w:uiPriority w:val="0"/>
    <w:pPr>
      <w:widowControl w:val="0"/>
      <w:adjustRightInd w:val="0"/>
      <w:spacing w:line="360" w:lineRule="auto"/>
      <w:ind w:firstLine="600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styleId="11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beforeLines="50"/>
    </w:pPr>
    <w:rPr>
      <w:rFonts w:ascii="Times New Roman" w:hAnsi="Times New Roman" w:eastAsia="宋体" w:cs="Times New Roman"/>
      <w:szCs w:val="20"/>
    </w:rPr>
  </w:style>
  <w:style w:type="paragraph" w:styleId="15">
    <w:name w:val="toc 2"/>
    <w:basedOn w:val="1"/>
    <w:next w:val="1"/>
    <w:qFormat/>
    <w:uiPriority w:val="39"/>
    <w:pPr>
      <w:spacing w:beforeLines="50"/>
      <w:ind w:left="210"/>
    </w:pPr>
    <w:rPr>
      <w:rFonts w:ascii="Times New Roman" w:hAnsi="Times New Roman" w:eastAsia="宋体" w:cs="Times New Roman"/>
      <w:szCs w:val="20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正文（首行缩进2字符）"/>
    <w:basedOn w:val="1"/>
    <w:qFormat/>
    <w:uiPriority w:val="0"/>
    <w:pPr>
      <w:topLinePunct/>
      <w:spacing w:line="360" w:lineRule="auto"/>
      <w:ind w:firstLine="200" w:firstLineChars="200"/>
    </w:pPr>
    <w:rPr>
      <w:rFonts w:cs="宋体"/>
      <w:sz w:val="28"/>
      <w:szCs w:val="28"/>
    </w:rPr>
  </w:style>
  <w:style w:type="table" w:customStyle="1" w:styleId="24">
    <w:name w:val="网格型31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网格型6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">
    <w:name w:val="正文西部变电站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27">
    <w:name w:val="00正文"/>
    <w:basedOn w:val="28"/>
    <w:qFormat/>
    <w:uiPriority w:val="0"/>
    <w:pPr>
      <w:ind w:firstLine="480"/>
    </w:pPr>
    <w:rPr>
      <w:rFonts w:cs="宋体"/>
    </w:rPr>
  </w:style>
  <w:style w:type="paragraph" w:customStyle="1" w:styleId="28">
    <w:name w:val="0正文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Times New Roman" w:hAnsi="Times New Roman" w:eastAsia="宋体" w:cs="Times New Roman"/>
      <w:color w:val="000000"/>
      <w:kern w:val="0"/>
      <w:sz w:val="24"/>
      <w:szCs w:val="24"/>
    </w:rPr>
  </w:style>
  <w:style w:type="paragraph" w:styleId="29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table" w:customStyle="1" w:styleId="30">
    <w:name w:val="网格型3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1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paragraph" w:customStyle="1" w:styleId="32">
    <w:name w:val="11444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80" w:after="80" w:line="520" w:lineRule="atLeast"/>
      <w:jc w:val="center"/>
      <w:textAlignment w:val="baseline"/>
    </w:pPr>
    <w:rPr>
      <w:rFonts w:ascii="华文楷体" w:hAnsi="华文楷体" w:eastAsia="华文楷体" w:cs="Times New Roman"/>
      <w:b/>
      <w:snapToGrid w:val="0"/>
      <w:color w:val="000000" w:themeColor="text1"/>
      <w:kern w:val="0"/>
      <w:sz w:val="28"/>
      <w:szCs w:val="2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1394</Words>
  <Characters>1494</Characters>
  <Lines>0</Lines>
  <Paragraphs>0</Paragraphs>
  <TotalTime>2</TotalTime>
  <ScaleCrop>false</ScaleCrop>
  <LinksUpToDate>false</LinksUpToDate>
  <CharactersWithSpaces>1530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2021-02-24T07:31:00Z</dcterms:created>
  <dc:creator>weixy</dc:creator>
  <cp:lastModifiedBy>朱嘉仪</cp:lastModifiedBy>
  <dcterms:modified xsi:type="dcterms:W3CDTF">2025-11-20T09:24:34Z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BADD566BD82446D68E8022ED78BD9D45</vt:lpwstr>
  </property>
  <property fmtid="{D5CDD505-2E9C-101B-9397-08002B2CF9AE}" pid="4" name="KSOTemplateDocerSaveRecord">
    <vt:lpwstr>eyJoZGlkIjoiODVkNjM2YTNmNTVlMDIyYjgxOGMwZDFiNzQ0NzVlYmEiLCJ1c2VySWQiOiIyNDA4ODc4MTcifQ==</vt:lpwstr>
  </property>
</Properties>
</file>