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bCs/>
          <w:snapToGrid w:val="0"/>
          <w:color w:val="auto"/>
          <w:kern w:val="0"/>
          <w:sz w:val="28"/>
          <w:szCs w:val="28"/>
          <w:highlight w:val="none"/>
          <w:u w:val="none"/>
          <w:lang w:val="en-US" w:eastAsia="zh-CN"/>
        </w:rPr>
      </w:pPr>
      <w:r>
        <w:rPr>
          <w:rFonts w:hint="eastAsia" w:hAnsi="宋体" w:cs="宋体"/>
          <w:b/>
          <w:bCs/>
          <w:snapToGrid w:val="0"/>
          <w:color w:val="auto"/>
          <w:kern w:val="0"/>
          <w:sz w:val="28"/>
          <w:szCs w:val="28"/>
          <w:highlight w:val="none"/>
          <w:u w:val="none"/>
          <w:lang w:val="en-US" w:eastAsia="zh-CN"/>
        </w:rPr>
        <w:t>标的1</w:t>
      </w:r>
    </w:p>
    <w:p>
      <w:pPr>
        <w:pStyle w:val="7"/>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auto"/>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湘粤背靠背联网工程（广东侧）监理</w:t>
      </w:r>
    </w:p>
    <w:tbl>
      <w:tblPr>
        <w:tblStyle w:val="12"/>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广东电网有限责任公司韶关供电局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韶关市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南方电网规划〔2025〕</w:t>
            </w:r>
            <w:r>
              <w:rPr>
                <w:rFonts w:hint="eastAsia" w:hAnsi="宋体" w:cs="宋体"/>
                <w:b w:val="0"/>
                <w:bCs w:val="0"/>
                <w:snapToGrid w:val="0"/>
                <w:color w:val="auto"/>
                <w:kern w:val="0"/>
                <w:sz w:val="21"/>
                <w:szCs w:val="21"/>
                <w:highlight w:val="none"/>
                <w:u w:val="none"/>
                <w:vertAlign w:val="baseline"/>
                <w:lang w:val="en-US" w:eastAsia="zh-CN"/>
              </w:rPr>
              <w:t>77</w:t>
            </w:r>
            <w:r>
              <w:rPr>
                <w:rFonts w:hint="eastAsia" w:ascii="宋体" w:hAnsi="宋体" w:eastAsia="宋体" w:cs="宋体"/>
                <w:b w:val="0"/>
                <w:bCs w:val="0"/>
                <w:snapToGrid w:val="0"/>
                <w:color w:val="auto"/>
                <w:kern w:val="0"/>
                <w:sz w:val="21"/>
                <w:szCs w:val="21"/>
                <w:highlight w:val="none"/>
                <w:u w:val="none"/>
                <w:vertAlign w:val="baseline"/>
                <w:lang w:val="en-US" w:eastAsia="zh-CN"/>
              </w:rPr>
              <w:t xml:space="preserve">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发改能源〔2025〕1460号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广电</w:t>
            </w:r>
            <w:r>
              <w:rPr>
                <w:rFonts w:hint="eastAsia" w:hAnsi="宋体" w:cs="宋体"/>
                <w:b w:val="0"/>
                <w:bCs w:val="0"/>
                <w:snapToGrid w:val="0"/>
                <w:color w:val="auto"/>
                <w:kern w:val="0"/>
                <w:sz w:val="21"/>
                <w:szCs w:val="21"/>
                <w:highlight w:val="none"/>
                <w:u w:val="none"/>
                <w:vertAlign w:val="baseline"/>
                <w:lang w:val="en-US" w:eastAsia="zh-CN"/>
              </w:rPr>
              <w:t>计财</w:t>
            </w:r>
            <w:r>
              <w:rPr>
                <w:rFonts w:hint="eastAsia" w:ascii="宋体" w:hAnsi="宋体" w:eastAsia="宋体" w:cs="宋体"/>
                <w:b w:val="0"/>
                <w:bCs w:val="0"/>
                <w:snapToGrid w:val="0"/>
                <w:color w:val="auto"/>
                <w:kern w:val="0"/>
                <w:sz w:val="21"/>
                <w:szCs w:val="21"/>
                <w:highlight w:val="none"/>
                <w:u w:val="none"/>
                <w:vertAlign w:val="baseline"/>
                <w:lang w:val="en-US" w:eastAsia="zh-CN"/>
              </w:rPr>
              <w:t>〔2025〕</w:t>
            </w:r>
            <w:r>
              <w:rPr>
                <w:rFonts w:hint="eastAsia" w:hAnsi="宋体" w:cs="宋体"/>
                <w:b w:val="0"/>
                <w:bCs w:val="0"/>
                <w:snapToGrid w:val="0"/>
                <w:color w:val="auto"/>
                <w:kern w:val="0"/>
                <w:sz w:val="21"/>
                <w:szCs w:val="21"/>
                <w:highlight w:val="none"/>
                <w:u w:val="none"/>
                <w:vertAlign w:val="baseline"/>
                <w:lang w:val="en-US" w:eastAsia="zh-CN"/>
              </w:rPr>
              <w:t>40</w:t>
            </w:r>
            <w:r>
              <w:rPr>
                <w:rFonts w:hint="eastAsia" w:ascii="宋体" w:hAnsi="宋体" w:eastAsia="宋体" w:cs="宋体"/>
                <w:b w:val="0"/>
                <w:bCs w:val="0"/>
                <w:snapToGrid w:val="0"/>
                <w:color w:val="auto"/>
                <w:kern w:val="0"/>
                <w:sz w:val="21"/>
                <w:szCs w:val="21"/>
                <w:highlight w:val="none"/>
                <w:u w:val="none"/>
                <w:vertAlign w:val="baseline"/>
                <w:lang w:val="en-US" w:eastAsia="zh-CN"/>
              </w:rPr>
              <w:t>号</w:t>
            </w:r>
          </w:p>
        </w:tc>
      </w:tr>
    </w:tbl>
    <w:p>
      <w:pPr>
        <w:pStyle w:val="7"/>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7"/>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b/>
          <w:bCs/>
          <w:snapToGrid w:val="0"/>
          <w:color w:val="auto"/>
          <w:kern w:val="0"/>
          <w:sz w:val="21"/>
          <w:szCs w:val="21"/>
          <w:highlight w:val="none"/>
          <w:u w:val="none"/>
        </w:rPr>
      </w:pPr>
      <w:r>
        <w:rPr>
          <w:rFonts w:hint="eastAsia" w:ascii="宋体" w:hAnsi="宋体" w:eastAsia="宋体" w:cs="宋体"/>
          <w:b/>
          <w:bCs/>
          <w:snapToGrid w:val="0"/>
          <w:color w:val="auto"/>
          <w:kern w:val="0"/>
          <w:sz w:val="21"/>
          <w:szCs w:val="21"/>
          <w:highlight w:val="none"/>
          <w:u w:val="none"/>
          <w:lang w:val="en-US" w:eastAsia="zh-CN"/>
        </w:rPr>
        <w:t>（一）</w:t>
      </w:r>
      <w:r>
        <w:rPr>
          <w:rFonts w:hint="eastAsia" w:hAnsi="宋体" w:cs="宋体"/>
          <w:b/>
          <w:bCs/>
          <w:snapToGrid w:val="0"/>
          <w:color w:val="auto"/>
          <w:kern w:val="0"/>
          <w:sz w:val="21"/>
          <w:szCs w:val="21"/>
          <w:highlight w:val="none"/>
          <w:u w:val="none"/>
          <w:lang w:val="en-US" w:eastAsia="zh-CN"/>
        </w:rPr>
        <w:t>变电</w:t>
      </w:r>
      <w:r>
        <w:rPr>
          <w:rFonts w:hint="eastAsia" w:ascii="宋体" w:hAnsi="宋体" w:eastAsia="宋体" w:cs="宋体"/>
          <w:b/>
          <w:bCs/>
          <w:snapToGrid w:val="0"/>
          <w:color w:val="auto"/>
          <w:kern w:val="0"/>
          <w:sz w:val="21"/>
          <w:szCs w:val="21"/>
          <w:highlight w:val="none"/>
          <w:u w:val="none"/>
        </w:rPr>
        <w:t>工程</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b w:val="0"/>
          <w:bCs w:val="0"/>
          <w:snapToGrid w:val="0"/>
          <w:color w:val="auto"/>
          <w:kern w:val="0"/>
          <w:sz w:val="21"/>
          <w:szCs w:val="21"/>
          <w:highlight w:val="none"/>
          <w:u w:val="none"/>
          <w:lang w:eastAsia="zh-CN"/>
        </w:rPr>
      </w:pPr>
      <w:r>
        <w:rPr>
          <w:rFonts w:hint="eastAsia" w:ascii="宋体" w:hAnsi="宋体" w:eastAsia="宋体" w:cs="宋体"/>
          <w:b/>
          <w:bCs/>
          <w:snapToGrid w:val="0"/>
          <w:color w:val="auto"/>
          <w:kern w:val="0"/>
          <w:sz w:val="21"/>
          <w:szCs w:val="21"/>
          <w:highlight w:val="none"/>
          <w:u w:val="none"/>
          <w:lang w:val="en-US" w:eastAsia="zh-CN"/>
        </w:rPr>
        <w:t>1、</w:t>
      </w:r>
      <w:r>
        <w:rPr>
          <w:rFonts w:hint="eastAsia" w:ascii="宋体" w:hAnsi="宋体" w:eastAsia="宋体" w:cs="宋体"/>
          <w:b/>
          <w:bCs/>
          <w:snapToGrid w:val="0"/>
          <w:color w:val="auto"/>
          <w:kern w:val="0"/>
          <w:sz w:val="21"/>
          <w:szCs w:val="21"/>
          <w:highlight w:val="none"/>
          <w:u w:val="none"/>
        </w:rPr>
        <w:t>丹霞 500kV 变电站扩建工程</w:t>
      </w:r>
      <w:r>
        <w:rPr>
          <w:rFonts w:hint="eastAsia" w:ascii="宋体" w:hAnsi="宋体" w:eastAsia="宋体" w:cs="宋体"/>
          <w:b/>
          <w:bCs/>
          <w:snapToGrid w:val="0"/>
          <w:color w:val="auto"/>
          <w:kern w:val="0"/>
          <w:sz w:val="21"/>
          <w:szCs w:val="21"/>
          <w:highlight w:val="none"/>
          <w:u w:val="none"/>
          <w:lang w:eastAsia="zh-CN"/>
        </w:rPr>
        <w:t>：</w:t>
      </w:r>
      <w:r>
        <w:rPr>
          <w:rFonts w:hint="eastAsia" w:ascii="宋体" w:hAnsi="宋体" w:eastAsia="宋体" w:cs="宋体"/>
          <w:b w:val="0"/>
          <w:bCs w:val="0"/>
          <w:snapToGrid w:val="0"/>
          <w:color w:val="auto"/>
          <w:kern w:val="0"/>
          <w:sz w:val="21"/>
          <w:szCs w:val="21"/>
          <w:highlight w:val="none"/>
          <w:u w:val="none"/>
          <w:lang w:eastAsia="zh-CN"/>
        </w:rPr>
        <w:t>本期扩建 2 个 500kV 出线间隔至换流站。本期在主变低压侧装设 1 组 60Mvar 低压电抗器。本期新增 500kV 电气设备短路电流水平按 63kA 考虑。</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b/>
          <w:bCs/>
          <w:snapToGrid w:val="0"/>
          <w:color w:val="auto"/>
          <w:kern w:val="0"/>
          <w:sz w:val="21"/>
          <w:szCs w:val="21"/>
          <w:highlight w:val="none"/>
          <w:u w:val="none"/>
        </w:rPr>
      </w:pPr>
      <w:r>
        <w:rPr>
          <w:rFonts w:hint="eastAsia" w:ascii="宋体" w:hAnsi="宋体" w:eastAsia="宋体" w:cs="宋体"/>
          <w:b/>
          <w:bCs/>
          <w:snapToGrid w:val="0"/>
          <w:color w:val="auto"/>
          <w:kern w:val="0"/>
          <w:sz w:val="21"/>
          <w:szCs w:val="21"/>
          <w:highlight w:val="none"/>
          <w:u w:val="none"/>
          <w:lang w:val="en-US" w:eastAsia="zh-CN"/>
        </w:rPr>
        <w:t>（</w:t>
      </w:r>
      <w:r>
        <w:rPr>
          <w:rFonts w:hint="eastAsia" w:hAnsi="宋体" w:cs="宋体"/>
          <w:b/>
          <w:bCs/>
          <w:snapToGrid w:val="0"/>
          <w:color w:val="auto"/>
          <w:kern w:val="0"/>
          <w:sz w:val="21"/>
          <w:szCs w:val="21"/>
          <w:highlight w:val="none"/>
          <w:u w:val="none"/>
          <w:lang w:val="en-US" w:eastAsia="zh-CN"/>
        </w:rPr>
        <w:t>二</w:t>
      </w:r>
      <w:r>
        <w:rPr>
          <w:rFonts w:hint="eastAsia" w:ascii="宋体" w:hAnsi="宋体" w:eastAsia="宋体" w:cs="宋体"/>
          <w:b/>
          <w:bCs/>
          <w:snapToGrid w:val="0"/>
          <w:color w:val="auto"/>
          <w:kern w:val="0"/>
          <w:sz w:val="21"/>
          <w:szCs w:val="21"/>
          <w:highlight w:val="none"/>
          <w:u w:val="none"/>
          <w:lang w:val="en-US" w:eastAsia="zh-CN"/>
        </w:rPr>
        <w:t>）</w:t>
      </w:r>
      <w:r>
        <w:rPr>
          <w:rFonts w:hint="eastAsia" w:ascii="宋体" w:hAnsi="宋体" w:eastAsia="宋体" w:cs="宋体"/>
          <w:b/>
          <w:bCs/>
          <w:snapToGrid w:val="0"/>
          <w:color w:val="auto"/>
          <w:kern w:val="0"/>
          <w:sz w:val="21"/>
          <w:szCs w:val="21"/>
          <w:highlight w:val="none"/>
          <w:u w:val="none"/>
        </w:rPr>
        <w:t>线路工程</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bCs/>
          <w:snapToGrid w:val="0"/>
          <w:color w:val="auto"/>
          <w:kern w:val="0"/>
          <w:sz w:val="21"/>
          <w:szCs w:val="21"/>
          <w:highlight w:val="none"/>
          <w:u w:val="none"/>
          <w:lang w:val="en-US" w:eastAsia="zh-CN"/>
        </w:rPr>
        <w:t>1、换流站～丹霞 500kV 线路工程（广东段）：</w:t>
      </w:r>
      <w:r>
        <w:rPr>
          <w:rFonts w:hint="eastAsia" w:ascii="宋体" w:hAnsi="宋体" w:eastAsia="宋体" w:cs="宋体"/>
          <w:b w:val="0"/>
          <w:bCs w:val="0"/>
          <w:snapToGrid w:val="0"/>
          <w:color w:val="auto"/>
          <w:kern w:val="0"/>
          <w:sz w:val="21"/>
          <w:szCs w:val="21"/>
          <w:highlight w:val="none"/>
          <w:u w:val="none"/>
          <w:lang w:val="en-US" w:eastAsia="zh-CN"/>
        </w:rPr>
        <w:t>新建换流站～丹霞 500kV 线路工程（广东段），新建线路长度 2×94km，按两个单回路架设，导线截面采用 4×630mm2，导线最高允许温度按 80℃设计。</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b/>
          <w:bCs/>
          <w:snapToGrid w:val="0"/>
          <w:color w:val="auto"/>
          <w:kern w:val="0"/>
          <w:sz w:val="21"/>
          <w:szCs w:val="21"/>
          <w:highlight w:val="none"/>
          <w:u w:val="none"/>
          <w:lang w:val="en-US" w:eastAsia="zh-CN"/>
        </w:rPr>
      </w:pPr>
      <w:r>
        <w:rPr>
          <w:rFonts w:hint="eastAsia" w:ascii="宋体" w:hAnsi="宋体" w:eastAsia="宋体" w:cs="宋体"/>
          <w:b/>
          <w:bCs/>
          <w:snapToGrid w:val="0"/>
          <w:color w:val="auto"/>
          <w:kern w:val="0"/>
          <w:sz w:val="21"/>
          <w:szCs w:val="21"/>
          <w:highlight w:val="none"/>
          <w:u w:val="none"/>
          <w:lang w:val="en-US" w:eastAsia="zh-CN"/>
        </w:rPr>
        <w:t>（三）通信工程</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bCs/>
          <w:snapToGrid w:val="0"/>
          <w:color w:val="auto"/>
          <w:kern w:val="0"/>
          <w:sz w:val="21"/>
          <w:szCs w:val="21"/>
          <w:highlight w:val="none"/>
          <w:u w:val="none"/>
          <w:lang w:val="en-US" w:eastAsia="zh-CN"/>
        </w:rPr>
        <w:t>1、光纤通信工程：</w:t>
      </w:r>
      <w:r>
        <w:rPr>
          <w:rFonts w:hint="eastAsia" w:ascii="宋体" w:hAnsi="宋体" w:eastAsia="宋体" w:cs="宋体"/>
          <w:b w:val="0"/>
          <w:bCs w:val="0"/>
          <w:snapToGrid w:val="0"/>
          <w:color w:val="auto"/>
          <w:kern w:val="0"/>
          <w:sz w:val="21"/>
          <w:szCs w:val="21"/>
          <w:highlight w:val="none"/>
          <w:u w:val="none"/>
          <w:lang w:val="en-US" w:eastAsia="zh-CN"/>
        </w:rPr>
        <w:t>建设丹霞～湘粤换流站两条 SDH 10Gb/s 光纤通信电路，1+1传输配置，建设曲江～湘粤换流站（经丹霞变跳纤）两条 SDH 10Gb/s 光纤通信电路，1+0 传输配置，分别接入南网主干 ASON网和广东省级光纤传输新网 B（公共域）。</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jc w:val="left"/>
        <w:textAlignment w:val="auto"/>
        <w:outlineLvl w:val="1"/>
        <w:rPr>
          <w:rFonts w:hint="eastAsia" w:ascii="宋体" w:hAnsi="宋体" w:eastAsia="宋体" w:cs="宋体"/>
          <w:b/>
          <w:bCs/>
          <w:snapToGrid w:val="0"/>
          <w:color w:val="auto"/>
          <w:kern w:val="0"/>
          <w:sz w:val="21"/>
          <w:szCs w:val="21"/>
          <w:highlight w:val="none"/>
          <w:u w:val="none"/>
          <w:lang w:val="en-US" w:eastAsia="zh-CN"/>
        </w:rPr>
      </w:pPr>
      <w:r>
        <w:rPr>
          <w:rFonts w:hint="eastAsia" w:ascii="宋体" w:hAnsi="宋体" w:eastAsia="宋体" w:cs="宋体"/>
          <w:b/>
          <w:bCs/>
          <w:snapToGrid w:val="0"/>
          <w:color w:val="auto"/>
          <w:kern w:val="0"/>
          <w:sz w:val="21"/>
          <w:szCs w:val="21"/>
          <w:highlight w:val="none"/>
          <w:u w:val="none"/>
          <w:lang w:val="en-US" w:eastAsia="zh-CN"/>
        </w:rPr>
        <w:t>2、换流站~丹霞500kV线路工程（广东段） OPGW 。</w:t>
      </w:r>
    </w:p>
    <w:p>
      <w:pPr>
        <w:pStyle w:val="7"/>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以上各项具体建设规模最终以施工图纸为准。</w:t>
      </w:r>
    </w:p>
    <w:p>
      <w:pPr>
        <w:pStyle w:val="7"/>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bookmarkStart w:id="0" w:name="施工招标范围综合"/>
    </w:p>
    <w:bookmarkEnd w:id="0"/>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default" w:ascii="宋体" w:hAnsi="宋体" w:cs="宋体"/>
          <w:b/>
          <w:bCs/>
          <w:snapToGrid w:val="0"/>
          <w:color w:val="FF0000"/>
          <w:kern w:val="0"/>
          <w:sz w:val="21"/>
          <w:szCs w:val="21"/>
          <w:highlight w:val="none"/>
          <w:u w:val="none"/>
          <w:lang w:val="en-US" w:eastAsia="zh-CN"/>
        </w:rPr>
      </w:pPr>
      <w:r>
        <w:rPr>
          <w:rFonts w:hint="eastAsia" w:ascii="宋体" w:hAnsi="宋体" w:cs="宋体"/>
          <w:b w:val="0"/>
          <w:bCs w:val="0"/>
          <w:snapToGrid w:val="0"/>
          <w:color w:val="auto"/>
          <w:kern w:val="0"/>
          <w:sz w:val="21"/>
          <w:szCs w:val="21"/>
          <w:highlight w:val="none"/>
          <w:u w:val="none"/>
          <w:lang w:val="en-US" w:eastAsia="zh-CN"/>
        </w:rPr>
        <w:t>施工准备（含三通一平）、施工（含通信）、竣工结算、缺陷责任期、电子化移交的全过程监理。按照建设单位要求使用工程信息管理系统。</w:t>
      </w:r>
    </w:p>
    <w:p>
      <w:pPr>
        <w:pStyle w:val="7"/>
        <w:rPr>
          <w:rFonts w:hint="eastAsia" w:ascii="宋体" w:hAnsi="宋体" w:eastAsia="宋体" w:cs="宋体"/>
          <w:b w:val="0"/>
          <w:bCs/>
          <w:color w:val="auto"/>
          <w:kern w:val="2"/>
          <w:sz w:val="21"/>
          <w:szCs w:val="21"/>
          <w:highlight w:val="none"/>
          <w:lang w:val="en-US" w:eastAsia="zh-CN" w:bidi="ar-SA"/>
        </w:rPr>
      </w:pPr>
    </w:p>
    <w:p>
      <w:pPr>
        <w:rPr>
          <w:rFonts w:hint="eastAsia" w:ascii="宋体" w:hAnsi="宋体" w:eastAsia="宋体" w:cs="宋体"/>
          <w:b w:val="0"/>
          <w:bCs/>
          <w:color w:val="auto"/>
          <w:kern w:val="2"/>
          <w:sz w:val="21"/>
          <w:szCs w:val="21"/>
          <w:highlight w:val="none"/>
          <w:lang w:val="en-US" w:eastAsia="zh-CN" w:bidi="ar-SA"/>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r>
        <w:rPr>
          <w:rFonts w:hint="eastAsia" w:ascii="宋体" w:hAnsi="宋体" w:eastAsia="宋体" w:cs="宋体"/>
          <w:b/>
          <w:bCs/>
          <w:snapToGrid w:val="0"/>
          <w:color w:val="auto"/>
          <w:kern w:val="0"/>
          <w:sz w:val="28"/>
          <w:szCs w:val="28"/>
          <w:highlight w:val="none"/>
          <w:u w:val="none"/>
          <w:lang w:val="en-US" w:eastAsia="zh-CN"/>
        </w:rPr>
        <w:t>标的2</w:t>
      </w: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hAnsi="宋体" w:cs="宋体"/>
          <w:b/>
          <w:color w:val="auto"/>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湖南-贵州电力灵活互济工程（贵州段交流工程）线路监理</w:t>
      </w:r>
    </w:p>
    <w:tbl>
      <w:tblPr>
        <w:tblStyle w:val="12"/>
        <w:tblW w:w="7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7"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hAnsi="宋体" w:eastAsia="宋体" w:cs="宋体"/>
                <w:b/>
                <w:bCs/>
                <w:snapToGrid w:val="0"/>
                <w:color w:val="auto"/>
                <w:sz w:val="21"/>
                <w:szCs w:val="21"/>
                <w:highlight w:val="none"/>
                <w:u w:val="no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7"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hAnsi="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贵州电网有限责任公司建设分公司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7"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hAnsi="宋体" w:cs="宋体"/>
                <w:b w:val="0"/>
                <w:bCs w:val="0"/>
                <w:snapToGrid w:val="0"/>
                <w:color w:val="auto"/>
                <w:kern w:val="0"/>
                <w:sz w:val="21"/>
                <w:szCs w:val="21"/>
                <w:highlight w:val="none"/>
                <w:u w:val="none"/>
                <w:vertAlign w:val="baseline"/>
                <w:lang w:val="en-US" w:eastAsia="zh-CN"/>
              </w:rPr>
            </w:pPr>
            <w:r>
              <w:rPr>
                <w:rFonts w:hint="eastAsia" w:hAnsi="宋体" w:cs="宋体"/>
                <w:color w:val="auto"/>
                <w:sz w:val="21"/>
                <w:szCs w:val="21"/>
                <w:highlight w:val="none"/>
                <w:lang w:val="en-US" w:eastAsia="zh-CN"/>
              </w:rPr>
              <w:t>铜仁市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7"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color w:val="auto"/>
                <w:sz w:val="21"/>
                <w:szCs w:val="21"/>
                <w:highlight w:val="none"/>
                <w:lang w:val="en-US" w:eastAsia="zh-CN"/>
              </w:rPr>
              <w:t>电规电网〔2025〕1370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7"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color w:val="auto"/>
                <w:sz w:val="21"/>
                <w:szCs w:val="21"/>
                <w:highlight w:val="none"/>
                <w:lang w:val="en-US" w:eastAsia="zh-CN"/>
              </w:rPr>
              <w:t xml:space="preserve"> 发改能源〔2025〕1459号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7" w:type="dxa"/>
            <w:vAlign w:val="center"/>
          </w:tcPr>
          <w:p>
            <w:pPr>
              <w:pStyle w:val="7"/>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黔电计财〔2025〕63号</w:t>
            </w:r>
          </w:p>
        </w:tc>
      </w:tr>
    </w:tbl>
    <w:p>
      <w:pPr>
        <w:pStyle w:val="7"/>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auto"/>
          <w:sz w:val="28"/>
          <w:szCs w:val="28"/>
          <w:highlight w:val="none"/>
          <w:lang w:val="en-US" w:eastAsia="zh-CN"/>
        </w:rPr>
      </w:pPr>
    </w:p>
    <w:p>
      <w:pPr>
        <w:pStyle w:val="7"/>
        <w:keepNext w:val="0"/>
        <w:keepLines w:val="0"/>
        <w:pageBreakBefore w:val="0"/>
        <w:numPr>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一、建设规模</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（一）湖南-贵州电力灵活互济工程（贵州段交流工程）</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211" w:firstLineChars="100"/>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1、贵州侧相关500kV变电站保护改造工程</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1）500kV 铜仁变～换流站线路保护 </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本期换流站双“π”接入 500kV 铜碧甲乙线，原 500kV 铜碧甲、乙线路两侧配置两套完全独立的、全线速动的主保护，两套主保护均采用光纤分相电流差动保护，其中主一辅 A 保护采用集成过电压及远跳保护光纤分相电流差动保护、主二辅 B 保护采用集成过电压及远跳保护的光纤分相电流差动保护。每套保护装置均具有两个独立的光纤接口，均采用复用光纤通道 2Mbit/s 接口。主一辅 A 保护屏采用南京南瑞继保电气有限公司生产的 PPC31NY-51-D 型光纤电流差动保护屏，主二辅 B 保护屏采用北京四方继保自动化股份有限公司生产的GXH103AYN-DG-N-201 型光纤电流差动保护屏。铜碧甲乙线 2018 年投运，当湘黔换流站投运时，铜碧甲乙线原保护装置已接近退运年限，故本期 500kV 铜仁～换流站双回线路保护装置需更换保护装置，更换后的500kV线路主一保护及500kV线路主二保护采用集成过电压及远跳保护的光纤分相电流差动保护。 </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对侧换流站保护由其本体工程考虑，但保护选型两侧应一致。</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2）500kV 碧江变～换流站线路保护 </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本期换流站双“π”接入 500kV 铜碧甲乙线，原 500kV 铜碧甲、乙线路两侧配置两套完全独立的、全线速动的主保护，两套主保护均采用光纤分相电流差动保护，其中主一辅 A 保护采用集成过电压及远跳保护光纤分相电流差动保护、主二辅 B 保护采用集成过电压及远跳保护的光纤分相电流差动保护。每套保护装置均具有两个独立的光纤接口，均采用复用光纤通道 2Mbit/s 接口。主一辅 A 保护屏均采用南京南瑞继保电气有限公司生产的 PPC31NY-51-D 型光纤电流差动保护屏，主二辅 B 保护屏均采用北京四方继保自动化股份有限公司生产的GXH103AYN-DG-N-201 型光纤电流差动保护屏。铜碧甲乙线 2018 年投运，当湘黔换流站投运时，铜碧甲乙线原保护装置已接近退运年限，故本期 500kV 碧江～换流站双回线路保护装置需更换保护装置，更换后的500kV线路主一保护及500kV线路主二保护采用集成过电压及远跳保护、纵联距离保护功能的光纤分相电流差动保护。 </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对侧换流站保护由其本体工程考虑，但保护选型两侧应一致， </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每套线路保护均具有三段式相间距离、接地距离以及定时限、反时限零序电流保护等完善的后备保护；本期新上的两套线路保护各装于一面屏上，并分别使用独立的 TA、TV、直流电源、跳闸线圈、通道接口设备，保护选用国产微机型。</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211" w:firstLineChars="100"/>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2、铜仁～碧江开断接入换流站500kV 线路工程</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铜仁～碧江双回 500kV 线路开断接入换流站，新建线路长度 </w:t>
      </w:r>
      <w:r>
        <w:rPr>
          <w:rFonts w:hint="default" w:ascii="宋体" w:hAnsi="宋体" w:eastAsia="宋体" w:cs="宋体"/>
          <w:b w:val="0"/>
          <w:bCs/>
          <w:color w:val="auto"/>
          <w:kern w:val="2"/>
          <w:sz w:val="21"/>
          <w:szCs w:val="21"/>
          <w:highlight w:val="none"/>
          <w:lang w:val="en-US" w:eastAsia="zh-CN" w:bidi="ar-SA"/>
        </w:rPr>
        <w:t>2×15km，其中，碧江侧 2×6.5km，铜仁侧2×8.5km，除换流站 出线采用双回终端塔外，其余均采用单回路架设。导线截面采用4×400mm2，导线最高允许温度按 80℃设计。</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211" w:firstLineChars="100"/>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3、换流站～牌楼变 500kV 线路工程（贵州段）</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新建换流站～牌楼单回 500kV 线路</w:t>
      </w:r>
      <w:r>
        <w:rPr>
          <w:rFonts w:hint="eastAsia" w:ascii="宋体" w:hAnsi="宋体" w:cs="宋体"/>
          <w:b w:val="0"/>
          <w:bCs/>
          <w:color w:val="auto"/>
          <w:kern w:val="2"/>
          <w:sz w:val="21"/>
          <w:szCs w:val="21"/>
          <w:highlight w:val="none"/>
          <w:lang w:val="en-US" w:eastAsia="zh-CN" w:bidi="ar-SA"/>
        </w:rPr>
        <w:t>（贵州段）</w:t>
      </w:r>
      <w:r>
        <w:rPr>
          <w:rFonts w:hint="eastAsia" w:ascii="宋体" w:hAnsi="宋体" w:eastAsia="宋体" w:cs="宋体"/>
          <w:b w:val="0"/>
          <w:bCs/>
          <w:color w:val="auto"/>
          <w:kern w:val="2"/>
          <w:sz w:val="21"/>
          <w:szCs w:val="21"/>
          <w:highlight w:val="none"/>
          <w:lang w:val="en-US" w:eastAsia="zh-CN" w:bidi="ar-SA"/>
        </w:rPr>
        <w:t>，新建单回路 28km、双回路1km(单边挂线)</w:t>
      </w:r>
      <w:r>
        <w:rPr>
          <w:rFonts w:hint="default" w:ascii="宋体" w:hAnsi="宋体" w:eastAsia="宋体" w:cs="宋体"/>
          <w:b w:val="0"/>
          <w:bCs/>
          <w:color w:val="auto"/>
          <w:kern w:val="2"/>
          <w:sz w:val="21"/>
          <w:szCs w:val="21"/>
          <w:highlight w:val="none"/>
          <w:lang w:val="en-US" w:eastAsia="zh-CN" w:bidi="ar-SA"/>
        </w:rPr>
        <w:t>。导线截面采用 4×630mm2</w:t>
      </w:r>
      <w:r>
        <w:rPr>
          <w:rFonts w:hint="eastAsia" w:ascii="宋体" w:hAnsi="宋体" w:cs="宋体"/>
          <w:b w:val="0"/>
          <w:bCs/>
          <w:color w:val="auto"/>
          <w:kern w:val="2"/>
          <w:sz w:val="21"/>
          <w:szCs w:val="21"/>
          <w:highlight w:val="none"/>
          <w:lang w:val="en-US" w:eastAsia="zh-CN" w:bidi="ar-SA"/>
        </w:rPr>
        <w:t>，</w:t>
      </w:r>
      <w:r>
        <w:rPr>
          <w:rFonts w:hint="default" w:ascii="宋体" w:hAnsi="宋体" w:eastAsia="宋体" w:cs="宋体"/>
          <w:b w:val="0"/>
          <w:bCs/>
          <w:color w:val="auto"/>
          <w:kern w:val="2"/>
          <w:sz w:val="21"/>
          <w:szCs w:val="21"/>
          <w:highlight w:val="none"/>
          <w:lang w:val="en-US" w:eastAsia="zh-CN" w:bidi="ar-SA"/>
        </w:rPr>
        <w:t>导线最高允许温度按 80℃设计。</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211" w:firstLineChars="100"/>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cs="宋体"/>
          <w:b/>
          <w:bCs/>
          <w:color w:val="auto"/>
          <w:kern w:val="2"/>
          <w:sz w:val="21"/>
          <w:szCs w:val="21"/>
          <w:highlight w:val="none"/>
          <w:lang w:val="en-US" w:eastAsia="zh-CN"/>
        </w:rPr>
        <w:t>4</w:t>
      </w:r>
      <w:r>
        <w:rPr>
          <w:rFonts w:hint="eastAsia" w:ascii="宋体" w:hAnsi="宋体" w:eastAsia="宋体" w:cs="宋体"/>
          <w:b/>
          <w:bCs/>
          <w:color w:val="auto"/>
          <w:kern w:val="2"/>
          <w:sz w:val="21"/>
          <w:szCs w:val="21"/>
          <w:highlight w:val="none"/>
          <w:lang w:val="en-US" w:eastAsia="zh-CN"/>
        </w:rPr>
        <w:t>、换流站～边城变 500kV 线路工程（贵州段）</w:t>
      </w:r>
    </w:p>
    <w:p>
      <w:pPr>
        <w:spacing w:line="360" w:lineRule="auto"/>
        <w:ind w:firstLine="420" w:firstLineChars="200"/>
        <w:rPr>
          <w:rFonts w:hint="eastAsia"/>
          <w:lang w:val="en-US" w:eastAsia="zh-CN"/>
        </w:rPr>
      </w:pPr>
      <w:r>
        <w:rPr>
          <w:rFonts w:hint="eastAsia" w:ascii="宋体" w:hAnsi="宋体" w:eastAsia="宋体" w:cs="宋体"/>
          <w:b w:val="0"/>
          <w:bCs/>
          <w:color w:val="auto"/>
          <w:kern w:val="2"/>
          <w:sz w:val="21"/>
          <w:szCs w:val="21"/>
          <w:highlight w:val="none"/>
          <w:lang w:val="en-US" w:eastAsia="zh-CN" w:bidi="ar-SA"/>
        </w:rPr>
        <w:t>新建换流站～边城单回 500kV 线路</w:t>
      </w:r>
      <w:r>
        <w:rPr>
          <w:rFonts w:hint="eastAsia" w:ascii="宋体" w:hAnsi="宋体" w:cs="宋体"/>
          <w:b w:val="0"/>
          <w:bCs/>
          <w:color w:val="auto"/>
          <w:kern w:val="2"/>
          <w:sz w:val="21"/>
          <w:szCs w:val="21"/>
          <w:highlight w:val="none"/>
          <w:lang w:val="en-US" w:eastAsia="zh-CN" w:bidi="ar-SA"/>
        </w:rPr>
        <w:t>（贵州段）</w:t>
      </w:r>
      <w:r>
        <w:rPr>
          <w:rFonts w:hint="eastAsia" w:ascii="宋体" w:hAnsi="宋体" w:eastAsia="宋体" w:cs="宋体"/>
          <w:b w:val="0"/>
          <w:bCs/>
          <w:color w:val="auto"/>
          <w:kern w:val="2"/>
          <w:sz w:val="21"/>
          <w:szCs w:val="21"/>
          <w:highlight w:val="none"/>
          <w:lang w:val="en-US" w:eastAsia="zh-CN" w:bidi="ar-SA"/>
        </w:rPr>
        <w:t>，新建单回路 36km、双回路1km(仅单边挂线)</w:t>
      </w:r>
      <w:r>
        <w:rPr>
          <w:rFonts w:hint="default" w:ascii="宋体" w:hAnsi="宋体" w:eastAsia="宋体" w:cs="宋体"/>
          <w:b w:val="0"/>
          <w:bCs/>
          <w:color w:val="auto"/>
          <w:kern w:val="2"/>
          <w:sz w:val="21"/>
          <w:szCs w:val="21"/>
          <w:highlight w:val="none"/>
          <w:lang w:val="en-US" w:eastAsia="zh-CN" w:bidi="ar-SA"/>
        </w:rPr>
        <w:t>。导线截面采用 4×630mm2，导线最高允许温度按 80℃设计。</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211" w:firstLineChars="100"/>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cs="宋体"/>
          <w:b/>
          <w:bCs/>
          <w:color w:val="auto"/>
          <w:kern w:val="2"/>
          <w:sz w:val="21"/>
          <w:szCs w:val="21"/>
          <w:highlight w:val="none"/>
          <w:lang w:val="en-US" w:eastAsia="zh-CN"/>
        </w:rPr>
        <w:t>5</w:t>
      </w:r>
      <w:r>
        <w:rPr>
          <w:rFonts w:hint="eastAsia" w:ascii="宋体" w:hAnsi="宋体" w:eastAsia="宋体" w:cs="宋体"/>
          <w:b/>
          <w:bCs/>
          <w:color w:val="auto"/>
          <w:kern w:val="2"/>
          <w:sz w:val="21"/>
          <w:szCs w:val="21"/>
          <w:highlight w:val="none"/>
          <w:lang w:val="en-US" w:eastAsia="zh-CN"/>
        </w:rPr>
        <w:t>、安全稳定控制系统工程（贵州电网）</w:t>
      </w:r>
    </w:p>
    <w:p>
      <w:pPr>
        <w:spacing w:line="360" w:lineRule="auto"/>
        <w:ind w:firstLine="420" w:firstLineChars="200"/>
        <w:rPr>
          <w:rFonts w:hint="eastAsia"/>
          <w:lang w:val="en-US" w:eastAsia="zh-CN"/>
        </w:rPr>
      </w:pPr>
      <w:r>
        <w:rPr>
          <w:rFonts w:hint="eastAsia" w:ascii="宋体" w:hAnsi="宋体" w:eastAsia="宋体" w:cs="宋体"/>
          <w:b w:val="0"/>
          <w:bCs/>
          <w:color w:val="auto"/>
          <w:kern w:val="2"/>
          <w:sz w:val="21"/>
          <w:szCs w:val="21"/>
          <w:highlight w:val="none"/>
          <w:lang w:val="en-US" w:eastAsia="zh-CN" w:bidi="ar-SA"/>
        </w:rPr>
        <w:t>500kV铜仁变及500kV碧江变本期改接后线路接入500kV继电器室按双重化原则配置两套安全稳定控制系统采集装置的备用接入位置</w:t>
      </w:r>
      <w:r>
        <w:rPr>
          <w:rFonts w:hint="eastAsia" w:ascii="宋体" w:hAnsi="宋体" w:cs="宋体"/>
          <w:b w:val="0"/>
          <w:bCs/>
          <w:color w:val="auto"/>
          <w:kern w:val="2"/>
          <w:sz w:val="21"/>
          <w:szCs w:val="21"/>
          <w:highlight w:val="none"/>
          <w:lang w:val="en-US" w:eastAsia="zh-CN" w:bidi="ar-SA"/>
        </w:rPr>
        <w:t>。</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211" w:firstLineChars="100"/>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cs="宋体"/>
          <w:b/>
          <w:bCs/>
          <w:color w:val="auto"/>
          <w:kern w:val="2"/>
          <w:sz w:val="21"/>
          <w:szCs w:val="21"/>
          <w:highlight w:val="none"/>
          <w:lang w:val="en-US" w:eastAsia="zh-CN"/>
        </w:rPr>
        <w:t>6</w:t>
      </w:r>
      <w:r>
        <w:rPr>
          <w:rFonts w:hint="eastAsia" w:ascii="宋体" w:hAnsi="宋体" w:eastAsia="宋体" w:cs="宋体"/>
          <w:b/>
          <w:bCs/>
          <w:color w:val="auto"/>
          <w:kern w:val="2"/>
          <w:sz w:val="21"/>
          <w:szCs w:val="21"/>
          <w:highlight w:val="none"/>
          <w:lang w:val="en-US" w:eastAsia="zh-CN"/>
        </w:rPr>
        <w:t>、光纤通信工程（贵州电网）</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原铜碧甲线 1 根 24 芯 OPGW 随线路π入湘黔换流站，随湘黔</w:t>
      </w:r>
      <w:r>
        <w:rPr>
          <w:rFonts w:hint="default" w:ascii="宋体" w:hAnsi="宋体" w:eastAsia="宋体" w:cs="宋体"/>
          <w:b w:val="0"/>
          <w:bCs/>
          <w:color w:val="auto"/>
          <w:kern w:val="2"/>
          <w:sz w:val="21"/>
          <w:szCs w:val="21"/>
          <w:highlight w:val="none"/>
          <w:lang w:val="en-US" w:eastAsia="zh-CN" w:bidi="ar-SA"/>
        </w:rPr>
        <w:t>换流站～破口点新建的 500kV 线路架设 2 根 48 芯 OPGW（2×24芯预留远期发展），接续后形成铜仁～湘黔换流站～碧江 1 根 24</w:t>
      </w:r>
      <w:r>
        <w:rPr>
          <w:rFonts w:hint="eastAsia" w:ascii="宋体" w:hAnsi="宋体" w:eastAsia="宋体" w:cs="宋体"/>
          <w:b w:val="0"/>
          <w:bCs/>
          <w:color w:val="auto"/>
          <w:kern w:val="2"/>
          <w:sz w:val="21"/>
          <w:szCs w:val="21"/>
          <w:highlight w:val="none"/>
          <w:lang w:val="en-US" w:eastAsia="zh-CN" w:bidi="ar-SA"/>
        </w:rPr>
        <w:t>芯光缆路由；原铜碧乙线破口接入湘黔换流站，随湘黔换流站～</w:t>
      </w:r>
      <w:r>
        <w:rPr>
          <w:rFonts w:hint="default" w:ascii="宋体" w:hAnsi="宋体" w:eastAsia="宋体" w:cs="宋体"/>
          <w:b w:val="0"/>
          <w:bCs/>
          <w:color w:val="auto"/>
          <w:kern w:val="2"/>
          <w:sz w:val="21"/>
          <w:szCs w:val="21"/>
          <w:highlight w:val="none"/>
          <w:lang w:val="en-US" w:eastAsia="zh-CN" w:bidi="ar-SA"/>
        </w:rPr>
        <w:t xml:space="preserve">破口点新建的 500kV 线路架设 2 根 96 芯 OPGW，同时改造原铜碧乙线上的1根地线为96芯OPGW，接续后形成铜仁～湘黔换流站～碧江 1 根 96 芯光缆路由。 </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default" w:ascii="宋体" w:hAnsi="宋体" w:eastAsia="宋体" w:cs="宋体"/>
          <w:b w:val="0"/>
          <w:bCs/>
          <w:color w:val="auto"/>
          <w:kern w:val="2"/>
          <w:sz w:val="21"/>
          <w:szCs w:val="21"/>
          <w:highlight w:val="none"/>
          <w:lang w:val="en-US" w:eastAsia="zh-CN" w:bidi="ar-SA"/>
        </w:rPr>
        <w:t xml:space="preserve">随湘黔换流站～边城新建单回 500kV 线路、湘黔换流站～牌楼新建单回 500kV 线路每回架设 1 根 72 芯 OPGW，牌楼变出口段利旧牌边线 1 根 72 芯光缆中的 36 芯，接续后形成湘黔换流站～边城 1 根 72 芯光缆路由，湘黔换流站～牌楼 1 根 36 芯光缆路由。 </w:t>
      </w:r>
    </w:p>
    <w:p>
      <w:pPr>
        <w:spacing w:line="360" w:lineRule="auto"/>
        <w:ind w:firstLine="420" w:firstLineChars="200"/>
        <w:rPr>
          <w:rFonts w:hint="eastAsia" w:ascii="宋体" w:hAnsi="宋体" w:eastAsia="宋体" w:cs="宋体"/>
          <w:b w:val="0"/>
          <w:bCs/>
          <w:color w:val="auto"/>
          <w:kern w:val="2"/>
          <w:sz w:val="21"/>
          <w:szCs w:val="21"/>
          <w:highlight w:val="none"/>
          <w:lang w:val="en-US" w:eastAsia="zh-CN" w:bidi="ar-SA"/>
        </w:rPr>
      </w:pPr>
      <w:r>
        <w:rPr>
          <w:rFonts w:hint="default" w:ascii="宋体" w:hAnsi="宋体" w:eastAsia="宋体" w:cs="宋体"/>
          <w:b w:val="0"/>
          <w:bCs/>
          <w:color w:val="auto"/>
          <w:kern w:val="2"/>
          <w:sz w:val="21"/>
          <w:szCs w:val="21"/>
          <w:highlight w:val="none"/>
          <w:lang w:val="en-US" w:eastAsia="zh-CN" w:bidi="ar-SA"/>
        </w:rPr>
        <w:t>随湘黔换流站～220kV 开天新建单回 110kV 站外电源线路架设 1 根 48 芯 OPGW。</w:t>
      </w:r>
    </w:p>
    <w:p>
      <w:pPr>
        <w:spacing w:line="360" w:lineRule="auto"/>
        <w:ind w:firstLine="420" w:firstLineChars="200"/>
        <w:rPr>
          <w:rFonts w:hint="eastAsia"/>
          <w:lang w:val="en-US" w:eastAsia="zh-CN"/>
        </w:rPr>
      </w:pPr>
      <w:r>
        <w:rPr>
          <w:rFonts w:hint="default" w:ascii="宋体" w:hAnsi="宋体" w:eastAsia="宋体" w:cs="宋体"/>
          <w:b w:val="0"/>
          <w:bCs/>
          <w:color w:val="auto"/>
          <w:kern w:val="2"/>
          <w:sz w:val="21"/>
          <w:szCs w:val="21"/>
          <w:highlight w:val="none"/>
          <w:lang w:val="en-US" w:eastAsia="zh-CN" w:bidi="ar-SA"/>
        </w:rPr>
        <w:t>上述光缆均采用 G.652D 纤芯</w:t>
      </w:r>
      <w:r>
        <w:rPr>
          <w:rFonts w:hint="eastAsia" w:ascii="宋体" w:hAnsi="宋体" w:cs="宋体"/>
          <w:b w:val="0"/>
          <w:bCs/>
          <w:color w:val="auto"/>
          <w:kern w:val="2"/>
          <w:sz w:val="21"/>
          <w:szCs w:val="21"/>
          <w:highlight w:val="none"/>
          <w:lang w:val="en-US" w:eastAsia="zh-CN" w:bidi="ar-SA"/>
        </w:rPr>
        <w:t>。</w:t>
      </w:r>
    </w:p>
    <w:p>
      <w:pPr>
        <w:pStyle w:val="7"/>
        <w:keepNext w:val="0"/>
        <w:keepLines w:val="0"/>
        <w:pageBreakBefore w:val="0"/>
        <w:numPr>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二、采购范围</w:t>
      </w:r>
    </w:p>
    <w:p>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cs="宋体"/>
          <w:b w:val="0"/>
          <w:bCs w:val="0"/>
          <w:snapToGrid w:val="0"/>
          <w:color w:val="auto"/>
          <w:kern w:val="0"/>
          <w:sz w:val="21"/>
          <w:szCs w:val="21"/>
          <w:highlight w:val="none"/>
          <w:u w:val="none"/>
          <w:lang w:val="en-US" w:eastAsia="zh-CN"/>
        </w:rPr>
        <w:t>施工准备（含三通一平）、施工（含通信）、竣工结算、缺陷责任期、电子化移交的全过程监理。按照建设单位要求使用工程信息管理系统。</w:t>
      </w:r>
    </w:p>
    <w:p>
      <w:pPr>
        <w:pStyle w:val="10"/>
        <w:rPr>
          <w:rFonts w:hint="default"/>
          <w:lang w:val="en-US" w:eastAsia="zh-CN"/>
        </w:rPr>
      </w:pPr>
    </w:p>
    <w:p>
      <w:pPr>
        <w:rPr>
          <w:rFonts w:hint="default"/>
          <w:lang w:val="en-US" w:eastAsia="zh-CN"/>
        </w:rPr>
      </w:pPr>
    </w:p>
    <w:p>
      <w:pPr>
        <w:pStyle w:val="2"/>
        <w:rPr>
          <w:rFonts w:hint="default"/>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eastAsia" w:ascii="宋体" w:hAnsi="宋体" w:eastAsia="宋体" w:cs="宋体"/>
          <w:b/>
          <w:bCs/>
          <w:snapToGrid w:val="0"/>
          <w:color w:val="auto"/>
          <w:kern w:val="0"/>
          <w:sz w:val="28"/>
          <w:szCs w:val="28"/>
          <w:highlight w:val="none"/>
          <w:u w:val="none"/>
          <w:lang w:val="en-US" w:eastAsia="zh-CN"/>
        </w:rPr>
      </w:pPr>
    </w:p>
    <w:p>
      <w:pPr>
        <w:pStyle w:val="7"/>
        <w:keepNext w:val="0"/>
        <w:keepLines w:val="0"/>
        <w:pageBreakBefore w:val="0"/>
        <w:shd w:val="clear" w:color="auto" w:fill="auto"/>
        <w:kinsoku/>
        <w:wordWrap/>
        <w:overflowPunct/>
        <w:topLinePunct w:val="0"/>
        <w:bidi w:val="0"/>
        <w:adjustRightInd w:val="0"/>
        <w:snapToGrid w:val="0"/>
        <w:spacing w:line="360" w:lineRule="auto"/>
        <w:jc w:val="center"/>
        <w:textAlignment w:val="auto"/>
        <w:outlineLvl w:val="0"/>
        <w:rPr>
          <w:rFonts w:hint="default" w:ascii="宋体" w:hAnsi="宋体" w:eastAsia="宋体" w:cs="宋体"/>
          <w:b/>
          <w:bCs/>
          <w:snapToGrid w:val="0"/>
          <w:color w:val="auto"/>
          <w:kern w:val="0"/>
          <w:sz w:val="28"/>
          <w:szCs w:val="28"/>
          <w:highlight w:val="none"/>
          <w:u w:val="none"/>
          <w:lang w:val="en-US" w:eastAsia="zh-CN"/>
        </w:rPr>
      </w:pPr>
      <w:r>
        <w:rPr>
          <w:rFonts w:hint="eastAsia" w:ascii="宋体" w:hAnsi="宋体" w:eastAsia="宋体" w:cs="宋体"/>
          <w:b/>
          <w:bCs/>
          <w:snapToGrid w:val="0"/>
          <w:color w:val="auto"/>
          <w:kern w:val="0"/>
          <w:sz w:val="28"/>
          <w:szCs w:val="28"/>
          <w:highlight w:val="none"/>
          <w:u w:val="none"/>
          <w:lang w:val="en-US" w:eastAsia="zh-CN"/>
        </w:rPr>
        <w:t>标的3</w:t>
      </w:r>
    </w:p>
    <w:p>
      <w:pPr>
        <w:rPr>
          <w:rFonts w:hint="default"/>
          <w:lang w:val="en-US" w:eastAsia="zh-CN"/>
        </w:rPr>
      </w:pPr>
    </w:p>
    <w:p>
      <w:pPr>
        <w:adjustRightInd w:val="0"/>
        <w:snapToGrid w:val="0"/>
        <w:spacing w:line="360" w:lineRule="auto"/>
        <w:jc w:val="center"/>
        <w:rPr>
          <w:rFonts w:hint="default"/>
          <w:color w:val="auto"/>
          <w:highlight w:val="none"/>
        </w:rPr>
      </w:pPr>
      <w:r>
        <w:rPr>
          <w:rFonts w:hint="default" w:ascii="Times New Roman" w:hAnsi="Times New Roman" w:cs="Times New Roman"/>
          <w:b/>
          <w:bCs/>
          <w:color w:val="auto"/>
          <w:sz w:val="28"/>
          <w:szCs w:val="28"/>
          <w:highlight w:val="none"/>
        </w:rPr>
        <w:t>标的名称：湖南-贵州电力灵活互济工程</w:t>
      </w:r>
      <w:r>
        <w:rPr>
          <w:rFonts w:hint="eastAsia" w:ascii="Times New Roman" w:hAnsi="Times New Roman" w:cs="Times New Roman"/>
          <w:b/>
          <w:bCs/>
          <w:color w:val="auto"/>
          <w:sz w:val="28"/>
          <w:szCs w:val="28"/>
          <w:highlight w:val="none"/>
          <w:lang w:val="en-US" w:eastAsia="zh-CN"/>
        </w:rPr>
        <w:t>背靠背换流站</w:t>
      </w:r>
      <w:r>
        <w:rPr>
          <w:rFonts w:hint="default" w:ascii="Times New Roman" w:hAnsi="Times New Roman" w:cs="Times New Roman"/>
          <w:b/>
          <w:bCs/>
          <w:color w:val="auto"/>
          <w:sz w:val="28"/>
          <w:szCs w:val="28"/>
          <w:highlight w:val="none"/>
        </w:rPr>
        <w:t>监理</w:t>
      </w:r>
    </w:p>
    <w:p>
      <w:pPr>
        <w:snapToGrid w:val="0"/>
        <w:rPr>
          <w:rFonts w:hint="default" w:ascii="Times New Roman" w:hAnsi="Times New Roman" w:cs="Times New Roman"/>
          <w:color w:val="auto"/>
          <w:highlight w:val="none"/>
        </w:rPr>
      </w:pPr>
    </w:p>
    <w:tbl>
      <w:tblPr>
        <w:tblStyle w:val="12"/>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snapToGrid w:val="0"/>
              <w:jc w:val="center"/>
              <w:rPr>
                <w:rFonts w:hint="default" w:ascii="Times New Roman" w:hAnsi="Times New Roman" w:cs="Times New Roman"/>
                <w:b/>
                <w:bCs/>
                <w:snapToGrid w:val="0"/>
                <w:color w:val="auto"/>
                <w:sz w:val="24"/>
                <w:szCs w:val="24"/>
                <w:highlight w:val="none"/>
              </w:rPr>
            </w:pPr>
            <w:r>
              <w:rPr>
                <w:rFonts w:hint="default" w:ascii="Times New Roman" w:hAnsi="Times New Roman" w:cs="Times New Roman"/>
                <w:b/>
                <w:bCs/>
                <w:snapToGrid w:val="0"/>
                <w:color w:val="auto"/>
                <w:sz w:val="24"/>
                <w:szCs w:val="24"/>
                <w:highlight w:val="none"/>
              </w:rPr>
              <w:t>序号</w:t>
            </w:r>
          </w:p>
        </w:tc>
        <w:tc>
          <w:tcPr>
            <w:tcW w:w="2911" w:type="dxa"/>
            <w:vAlign w:val="center"/>
          </w:tcPr>
          <w:p>
            <w:pPr>
              <w:pStyle w:val="7"/>
              <w:snapToGrid w:val="0"/>
              <w:jc w:val="center"/>
              <w:rPr>
                <w:rFonts w:hint="default" w:ascii="Times New Roman" w:hAnsi="Times New Roman" w:cs="Times New Roman"/>
                <w:b/>
                <w:bCs/>
                <w:snapToGrid w:val="0"/>
                <w:color w:val="auto"/>
                <w:sz w:val="24"/>
                <w:szCs w:val="24"/>
                <w:highlight w:val="none"/>
              </w:rPr>
            </w:pPr>
            <w:r>
              <w:rPr>
                <w:rFonts w:hint="default" w:ascii="Times New Roman" w:hAnsi="Times New Roman" w:cs="Times New Roman"/>
                <w:b/>
                <w:bCs/>
                <w:snapToGrid w:val="0"/>
                <w:color w:val="auto"/>
                <w:sz w:val="24"/>
                <w:szCs w:val="24"/>
                <w:highlight w:val="none"/>
              </w:rPr>
              <w:t>文件名称</w:t>
            </w:r>
          </w:p>
        </w:tc>
        <w:tc>
          <w:tcPr>
            <w:tcW w:w="3476" w:type="dxa"/>
            <w:vAlign w:val="center"/>
          </w:tcPr>
          <w:p>
            <w:pPr>
              <w:pStyle w:val="7"/>
              <w:snapToGrid w:val="0"/>
              <w:jc w:val="center"/>
              <w:rPr>
                <w:rFonts w:hint="default" w:ascii="Times New Roman" w:hAnsi="Times New Roman" w:cs="Times New Roman"/>
                <w:b/>
                <w:bCs/>
                <w:snapToGrid w:val="0"/>
                <w:color w:val="auto"/>
                <w:sz w:val="24"/>
                <w:szCs w:val="24"/>
                <w:highlight w:val="none"/>
              </w:rPr>
            </w:pPr>
            <w:r>
              <w:rPr>
                <w:rFonts w:hint="default" w:ascii="Times New Roman" w:hAnsi="Times New Roman" w:cs="Times New Roman"/>
                <w:b/>
                <w:bCs/>
                <w:snapToGrid w:val="0"/>
                <w:color w:val="auto"/>
                <w:sz w:val="24"/>
                <w:szCs w:val="24"/>
                <w:highlight w:val="none"/>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snapToGrid w:val="0"/>
              <w:jc w:val="center"/>
              <w:rPr>
                <w:rFonts w:hint="default" w:ascii="Times New Roman" w:hAnsi="Times New Roman" w:cs="Times New Roman"/>
                <w:b/>
                <w:bCs/>
                <w:snapToGrid w:val="0"/>
                <w:color w:val="auto"/>
                <w:sz w:val="21"/>
                <w:szCs w:val="21"/>
                <w:highlight w:val="none"/>
              </w:rPr>
            </w:pPr>
            <w:r>
              <w:rPr>
                <w:rFonts w:hint="default" w:ascii="Times New Roman" w:hAnsi="Times New Roman" w:cs="Times New Roman"/>
                <w:b/>
                <w:bCs/>
                <w:snapToGrid w:val="0"/>
                <w:color w:val="auto"/>
                <w:sz w:val="21"/>
                <w:szCs w:val="21"/>
                <w:highlight w:val="none"/>
              </w:rPr>
              <w:t>1</w:t>
            </w:r>
          </w:p>
        </w:tc>
        <w:tc>
          <w:tcPr>
            <w:tcW w:w="2911" w:type="dxa"/>
            <w:vAlign w:val="center"/>
          </w:tcPr>
          <w:p>
            <w:pPr>
              <w:pStyle w:val="7"/>
              <w:snapToGrid w:val="0"/>
              <w:jc w:val="center"/>
              <w:rPr>
                <w:rFonts w:hint="default" w:ascii="Times New Roman" w:hAnsi="Times New Roman" w:cs="Times New Roman"/>
                <w:b/>
                <w:bCs/>
                <w:snapToGrid w:val="0"/>
                <w:color w:val="auto"/>
                <w:sz w:val="21"/>
                <w:szCs w:val="21"/>
                <w:highlight w:val="none"/>
              </w:rPr>
            </w:pPr>
            <w:r>
              <w:rPr>
                <w:rFonts w:hint="default" w:ascii="Times New Roman" w:hAnsi="Times New Roman" w:cs="Times New Roman"/>
                <w:b/>
                <w:bCs/>
                <w:snapToGrid w:val="0"/>
                <w:color w:val="auto"/>
                <w:sz w:val="21"/>
                <w:szCs w:val="21"/>
                <w:highlight w:val="none"/>
              </w:rPr>
              <w:t>可研批复文号</w:t>
            </w:r>
          </w:p>
        </w:tc>
        <w:tc>
          <w:tcPr>
            <w:tcW w:w="3476" w:type="dxa"/>
            <w:vAlign w:val="center"/>
          </w:tcPr>
          <w:p>
            <w:pPr>
              <w:pStyle w:val="7"/>
              <w:snapToGrid w:val="0"/>
              <w:spacing w:line="360" w:lineRule="auto"/>
              <w:jc w:val="center"/>
              <w:rPr>
                <w:rFonts w:hint="default" w:ascii="Times New Roman" w:hAnsi="Times New Roman" w:cs="Times New Roman"/>
                <w:snapToGrid w:val="0"/>
                <w:color w:val="auto"/>
                <w:sz w:val="21"/>
                <w:szCs w:val="21"/>
                <w:highlight w:val="none"/>
              </w:rPr>
            </w:pPr>
            <w:r>
              <w:rPr>
                <w:rFonts w:hint="default" w:ascii="Times New Roman" w:hAnsi="Times New Roman" w:cs="Times New Roman"/>
                <w:snapToGrid w:val="0"/>
                <w:color w:val="auto"/>
                <w:sz w:val="21"/>
                <w:szCs w:val="21"/>
                <w:highlight w:val="none"/>
              </w:rPr>
              <w:t>南方电网规划〔2025〕68号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snapToGrid w:val="0"/>
              <w:jc w:val="center"/>
              <w:rPr>
                <w:rFonts w:hint="default" w:ascii="Times New Roman" w:hAnsi="Times New Roman" w:cs="Times New Roman"/>
                <w:b/>
                <w:bCs/>
                <w:snapToGrid w:val="0"/>
                <w:color w:val="auto"/>
                <w:sz w:val="21"/>
                <w:szCs w:val="21"/>
                <w:highlight w:val="none"/>
              </w:rPr>
            </w:pPr>
            <w:r>
              <w:rPr>
                <w:rFonts w:hint="default" w:ascii="Times New Roman" w:hAnsi="Times New Roman" w:cs="Times New Roman"/>
                <w:b/>
                <w:bCs/>
                <w:snapToGrid w:val="0"/>
                <w:color w:val="auto"/>
                <w:sz w:val="21"/>
                <w:szCs w:val="21"/>
                <w:highlight w:val="none"/>
              </w:rPr>
              <w:t>2</w:t>
            </w:r>
          </w:p>
        </w:tc>
        <w:tc>
          <w:tcPr>
            <w:tcW w:w="2911" w:type="dxa"/>
            <w:vAlign w:val="center"/>
          </w:tcPr>
          <w:p>
            <w:pPr>
              <w:pStyle w:val="7"/>
              <w:snapToGrid w:val="0"/>
              <w:jc w:val="center"/>
              <w:rPr>
                <w:rFonts w:hint="default" w:ascii="Times New Roman" w:hAnsi="Times New Roman" w:cs="Times New Roman"/>
                <w:b/>
                <w:bCs/>
                <w:snapToGrid w:val="0"/>
                <w:color w:val="auto"/>
                <w:sz w:val="21"/>
                <w:szCs w:val="21"/>
                <w:highlight w:val="none"/>
              </w:rPr>
            </w:pPr>
            <w:r>
              <w:rPr>
                <w:rFonts w:hint="default" w:ascii="Times New Roman" w:hAnsi="Times New Roman" w:cs="Times New Roman"/>
                <w:b/>
                <w:bCs/>
                <w:snapToGrid w:val="0"/>
                <w:color w:val="auto"/>
                <w:sz w:val="21"/>
                <w:szCs w:val="21"/>
                <w:highlight w:val="none"/>
              </w:rPr>
              <w:t>项目备案文号</w:t>
            </w:r>
          </w:p>
        </w:tc>
        <w:tc>
          <w:tcPr>
            <w:tcW w:w="3476" w:type="dxa"/>
            <w:vAlign w:val="center"/>
          </w:tcPr>
          <w:p>
            <w:pPr>
              <w:pStyle w:val="7"/>
              <w:snapToGrid w:val="0"/>
              <w:spacing w:line="360" w:lineRule="auto"/>
              <w:jc w:val="center"/>
              <w:rPr>
                <w:rFonts w:hint="eastAsia" w:ascii="Times New Roman" w:hAnsi="Times New Roman" w:eastAsia="宋体" w:cs="Times New Roman"/>
                <w:snapToGrid w:val="0"/>
                <w:color w:val="auto"/>
                <w:sz w:val="21"/>
                <w:szCs w:val="21"/>
                <w:highlight w:val="none"/>
                <w:lang w:eastAsia="zh-CN"/>
              </w:rPr>
            </w:pPr>
            <w:r>
              <w:rPr>
                <w:rFonts w:hint="eastAsia" w:ascii="Times New Roman" w:hAnsi="Times New Roman" w:eastAsia="宋体" w:cs="Times New Roman"/>
                <w:snapToGrid w:val="0"/>
                <w:color w:val="auto"/>
                <w:sz w:val="21"/>
                <w:szCs w:val="21"/>
                <w:highlight w:val="none"/>
                <w:lang w:eastAsia="zh-CN"/>
              </w:rPr>
              <w:t>发改能源〔2025〕1459号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snapToGrid w:val="0"/>
              <w:jc w:val="center"/>
              <w:rPr>
                <w:rFonts w:hint="eastAsia" w:ascii="Times New Roman" w:hAnsi="Times New Roman" w:eastAsia="宋体" w:cs="Times New Roman"/>
                <w:b/>
                <w:bCs/>
                <w:snapToGrid w:val="0"/>
                <w:color w:val="auto"/>
                <w:sz w:val="21"/>
                <w:szCs w:val="21"/>
                <w:highlight w:val="none"/>
                <w:lang w:eastAsia="zh-CN"/>
              </w:rPr>
            </w:pPr>
            <w:r>
              <w:rPr>
                <w:rFonts w:hint="eastAsia" w:ascii="Times New Roman" w:hAnsi="Times New Roman" w:cs="Times New Roman"/>
                <w:b/>
                <w:bCs/>
                <w:snapToGrid w:val="0"/>
                <w:color w:val="auto"/>
                <w:sz w:val="21"/>
                <w:szCs w:val="21"/>
                <w:highlight w:val="none"/>
                <w:lang w:val="en-US" w:eastAsia="zh-CN"/>
              </w:rPr>
              <w:t>3</w:t>
            </w:r>
          </w:p>
        </w:tc>
        <w:tc>
          <w:tcPr>
            <w:tcW w:w="2911" w:type="dxa"/>
            <w:vAlign w:val="center"/>
          </w:tcPr>
          <w:p>
            <w:pPr>
              <w:pStyle w:val="7"/>
              <w:snapToGrid w:val="0"/>
              <w:jc w:val="center"/>
              <w:rPr>
                <w:rFonts w:hint="default" w:ascii="Times New Roman" w:hAnsi="Times New Roman" w:cs="Times New Roman"/>
                <w:b/>
                <w:bCs/>
                <w:snapToGrid w:val="0"/>
                <w:color w:val="auto"/>
                <w:sz w:val="21"/>
                <w:szCs w:val="21"/>
                <w:highlight w:val="none"/>
              </w:rPr>
            </w:pPr>
            <w:r>
              <w:rPr>
                <w:rFonts w:hint="default" w:ascii="Times New Roman" w:hAnsi="Times New Roman" w:cs="Times New Roman"/>
                <w:b/>
                <w:bCs/>
                <w:snapToGrid w:val="0"/>
                <w:color w:val="auto"/>
                <w:sz w:val="21"/>
                <w:szCs w:val="21"/>
                <w:highlight w:val="none"/>
              </w:rPr>
              <w:t>资金落实情况</w:t>
            </w:r>
          </w:p>
        </w:tc>
        <w:tc>
          <w:tcPr>
            <w:tcW w:w="3476" w:type="dxa"/>
            <w:vAlign w:val="center"/>
          </w:tcPr>
          <w:p>
            <w:pPr>
              <w:pStyle w:val="7"/>
              <w:snapToGrid w:val="0"/>
              <w:jc w:val="center"/>
              <w:rPr>
                <w:rFonts w:hint="eastAsia" w:ascii="Times New Roman" w:hAnsi="Times New Roman" w:eastAsia="宋体" w:cs="Times New Roman"/>
                <w:snapToGrid w:val="0"/>
                <w:color w:val="auto"/>
                <w:kern w:val="0"/>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南方电网计财〔2025〕40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snapToGrid w:val="0"/>
              <w:jc w:val="center"/>
              <w:rPr>
                <w:rFonts w:hint="eastAsia" w:ascii="Times New Roman" w:hAnsi="Times New Roman" w:eastAsia="宋体" w:cs="Times New Roman"/>
                <w:b/>
                <w:bCs/>
                <w:snapToGrid w:val="0"/>
                <w:color w:val="auto"/>
                <w:sz w:val="21"/>
                <w:szCs w:val="21"/>
                <w:highlight w:val="none"/>
                <w:lang w:eastAsia="zh-CN"/>
              </w:rPr>
            </w:pPr>
            <w:r>
              <w:rPr>
                <w:rFonts w:hint="eastAsia" w:ascii="Times New Roman" w:hAnsi="Times New Roman" w:cs="Times New Roman"/>
                <w:b/>
                <w:bCs/>
                <w:snapToGrid w:val="0"/>
                <w:color w:val="auto"/>
                <w:sz w:val="21"/>
                <w:szCs w:val="21"/>
                <w:highlight w:val="none"/>
                <w:lang w:val="en-US" w:eastAsia="zh-CN"/>
              </w:rPr>
              <w:t>4</w:t>
            </w:r>
          </w:p>
        </w:tc>
        <w:tc>
          <w:tcPr>
            <w:tcW w:w="2911" w:type="dxa"/>
            <w:vAlign w:val="center"/>
          </w:tcPr>
          <w:p>
            <w:pPr>
              <w:pStyle w:val="7"/>
              <w:snapToGrid w:val="0"/>
              <w:jc w:val="center"/>
              <w:rPr>
                <w:rFonts w:hint="default" w:ascii="Times New Roman" w:hAnsi="Times New Roman" w:cs="Times New Roman"/>
                <w:b/>
                <w:bCs/>
                <w:snapToGrid w:val="0"/>
                <w:color w:val="auto"/>
                <w:sz w:val="21"/>
                <w:szCs w:val="21"/>
                <w:highlight w:val="none"/>
              </w:rPr>
            </w:pPr>
            <w:r>
              <w:rPr>
                <w:rFonts w:hint="default" w:ascii="Times New Roman" w:hAnsi="Times New Roman" w:cs="Times New Roman"/>
                <w:b/>
                <w:bCs/>
                <w:snapToGrid w:val="0"/>
                <w:color w:val="auto"/>
                <w:sz w:val="21"/>
                <w:szCs w:val="21"/>
                <w:highlight w:val="none"/>
              </w:rPr>
              <w:t>项目建设单位</w:t>
            </w:r>
          </w:p>
        </w:tc>
        <w:tc>
          <w:tcPr>
            <w:tcW w:w="3476" w:type="dxa"/>
            <w:vAlign w:val="center"/>
          </w:tcPr>
          <w:p>
            <w:pPr>
              <w:pStyle w:val="7"/>
              <w:snapToGrid w:val="0"/>
              <w:jc w:val="center"/>
              <w:rPr>
                <w:rFonts w:hint="default" w:ascii="Times New Roman" w:hAnsi="Times New Roman" w:cs="Times New Roman"/>
                <w:snapToGrid w:val="0"/>
                <w:color w:val="auto"/>
                <w:sz w:val="21"/>
                <w:szCs w:val="21"/>
                <w:highlight w:val="none"/>
              </w:rPr>
            </w:pPr>
            <w:r>
              <w:rPr>
                <w:rFonts w:hint="default" w:ascii="Times New Roman" w:hAnsi="Times New Roman" w:cs="Times New Roman"/>
                <w:snapToGrid w:val="0"/>
                <w:color w:val="auto"/>
                <w:sz w:val="21"/>
                <w:szCs w:val="21"/>
                <w:highlight w:val="none"/>
              </w:rPr>
              <w:t>南网超高压公司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7"/>
              <w:snapToGrid w:val="0"/>
              <w:jc w:val="center"/>
              <w:rPr>
                <w:rFonts w:hint="eastAsia" w:ascii="Times New Roman" w:hAnsi="Times New Roman" w:eastAsia="宋体" w:cs="Times New Roman"/>
                <w:b/>
                <w:bCs/>
                <w:snapToGrid w:val="0"/>
                <w:color w:val="auto"/>
                <w:sz w:val="21"/>
                <w:szCs w:val="21"/>
                <w:highlight w:val="none"/>
                <w:lang w:eastAsia="zh-CN"/>
              </w:rPr>
            </w:pPr>
            <w:r>
              <w:rPr>
                <w:rFonts w:hint="eastAsia" w:ascii="Times New Roman" w:hAnsi="Times New Roman" w:cs="Times New Roman"/>
                <w:b/>
                <w:bCs/>
                <w:snapToGrid w:val="0"/>
                <w:color w:val="auto"/>
                <w:sz w:val="21"/>
                <w:szCs w:val="21"/>
                <w:highlight w:val="none"/>
                <w:lang w:val="en-US" w:eastAsia="zh-CN"/>
              </w:rPr>
              <w:t>5</w:t>
            </w:r>
          </w:p>
        </w:tc>
        <w:tc>
          <w:tcPr>
            <w:tcW w:w="2911" w:type="dxa"/>
            <w:vAlign w:val="center"/>
          </w:tcPr>
          <w:p>
            <w:pPr>
              <w:pStyle w:val="7"/>
              <w:snapToGrid w:val="0"/>
              <w:jc w:val="center"/>
              <w:rPr>
                <w:rFonts w:hint="default" w:ascii="Times New Roman" w:hAnsi="Times New Roman" w:cs="Times New Roman"/>
                <w:b/>
                <w:bCs/>
                <w:snapToGrid w:val="0"/>
                <w:color w:val="auto"/>
                <w:sz w:val="21"/>
                <w:szCs w:val="21"/>
                <w:highlight w:val="none"/>
              </w:rPr>
            </w:pPr>
            <w:r>
              <w:rPr>
                <w:rFonts w:hint="default" w:ascii="Times New Roman" w:hAnsi="Times New Roman" w:cs="Times New Roman"/>
                <w:b/>
                <w:bCs/>
                <w:snapToGrid w:val="0"/>
                <w:color w:val="auto"/>
                <w:sz w:val="21"/>
                <w:szCs w:val="21"/>
                <w:highlight w:val="none"/>
              </w:rPr>
              <w:t>项目建设地点</w:t>
            </w:r>
          </w:p>
        </w:tc>
        <w:tc>
          <w:tcPr>
            <w:tcW w:w="3476" w:type="dxa"/>
            <w:vAlign w:val="center"/>
          </w:tcPr>
          <w:p>
            <w:pPr>
              <w:pStyle w:val="7"/>
              <w:snapToGrid w:val="0"/>
              <w:jc w:val="center"/>
              <w:rPr>
                <w:rFonts w:hint="eastAsia" w:ascii="Times New Roman" w:hAnsi="Times New Roman" w:eastAsia="宋体" w:cs="Times New Roman"/>
                <w:snapToGrid w:val="0"/>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贵州</w:t>
            </w:r>
          </w:p>
        </w:tc>
      </w:tr>
    </w:tbl>
    <w:p>
      <w:pPr>
        <w:pStyle w:val="3"/>
        <w:rPr>
          <w:rFonts w:hint="default"/>
          <w:color w:val="auto"/>
          <w:highlight w:val="none"/>
        </w:rPr>
      </w:pPr>
    </w:p>
    <w:p>
      <w:pPr>
        <w:adjustRightInd w:val="0"/>
        <w:snapToGrid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一、</w:t>
      </w:r>
      <w:r>
        <w:rPr>
          <w:rFonts w:hint="default" w:ascii="Times New Roman" w:hAnsi="Times New Roman" w:cs="Times New Roman"/>
          <w:b/>
          <w:color w:val="auto"/>
          <w:sz w:val="24"/>
          <w:szCs w:val="24"/>
          <w:highlight w:val="none"/>
        </w:rPr>
        <w:t>项目概况</w:t>
      </w:r>
    </w:p>
    <w:p>
      <w:pPr>
        <w:shd w:val="clear" w:color="auto" w:fill="auto"/>
        <w:spacing w:line="360" w:lineRule="auto"/>
        <w:ind w:firstLine="420" w:firstLineChars="200"/>
        <w:rPr>
          <w:rFonts w:hint="default" w:ascii="Times New Roman" w:hAnsi="Times New Roman" w:cs="Times New Roman"/>
          <w:b w:val="0"/>
          <w:bCs/>
          <w:color w:val="auto"/>
          <w:sz w:val="21"/>
          <w:szCs w:val="21"/>
          <w:highlight w:val="none"/>
          <w:u w:val="none"/>
        </w:rPr>
      </w:pPr>
      <w:r>
        <w:rPr>
          <w:rFonts w:hint="default" w:ascii="Times New Roman" w:hAnsi="Times New Roman" w:cs="Times New Roman"/>
          <w:bCs/>
          <w:color w:val="auto"/>
          <w:szCs w:val="21"/>
          <w:highlight w:val="none"/>
          <w:lang w:val="en-US" w:eastAsia="zh-CN"/>
        </w:rPr>
        <w:t>湖南-贵州电力灵活互济工程</w:t>
      </w:r>
      <w:r>
        <w:rPr>
          <w:rFonts w:hint="eastAsia" w:ascii="Times New Roman" w:hAnsi="Times New Roman" w:cs="Times New Roman"/>
          <w:bCs/>
          <w:color w:val="auto"/>
          <w:szCs w:val="21"/>
          <w:highlight w:val="none"/>
          <w:lang w:val="en-US" w:eastAsia="zh-CN"/>
        </w:rPr>
        <w:t>，在贵州省铜仁地区新建柔直背靠背换流站一座（交直流合建），容量2x1500兆瓦。</w:t>
      </w:r>
      <w:r>
        <w:rPr>
          <w:rFonts w:hint="default" w:ascii="Times New Roman" w:hAnsi="Times New Roman" w:cs="Times New Roman"/>
          <w:bCs/>
          <w:color w:val="auto"/>
          <w:szCs w:val="21"/>
          <w:highlight w:val="none"/>
          <w:lang w:val="en-US" w:eastAsia="zh-CN"/>
        </w:rPr>
        <w:t>全站共12合工作联接变压器，另备用1台，单台额定容量暂按575兆伏</w:t>
      </w:r>
      <w:r>
        <w:rPr>
          <w:rFonts w:hint="eastAsia" w:ascii="Times New Roman" w:hAnsi="Times New Roman" w:cs="Times New Roman"/>
          <w:bCs/>
          <w:color w:val="auto"/>
          <w:szCs w:val="21"/>
          <w:highlight w:val="none"/>
          <w:lang w:val="en-US" w:eastAsia="zh-CN"/>
        </w:rPr>
        <w:t>。</w:t>
      </w:r>
      <w:r>
        <w:rPr>
          <w:rFonts w:hint="default" w:ascii="Times New Roman" w:hAnsi="Times New Roman" w:cs="Times New Roman"/>
          <w:bCs/>
          <w:color w:val="auto"/>
          <w:szCs w:val="21"/>
          <w:highlight w:val="none"/>
          <w:lang w:val="en-US" w:eastAsia="zh-CN"/>
        </w:rPr>
        <w:t>交流500千伏出线:贵州侧本期出线4回,湖南侧本期出线2回</w:t>
      </w:r>
      <w:r>
        <w:rPr>
          <w:rFonts w:hint="eastAsia" w:ascii="Times New Roman" w:hAnsi="Times New Roman" w:cs="Times New Roman"/>
          <w:bCs/>
          <w:color w:val="auto"/>
          <w:szCs w:val="21"/>
          <w:highlight w:val="none"/>
          <w:lang w:val="en-US" w:eastAsia="zh-CN"/>
        </w:rPr>
        <w:t>，</w:t>
      </w:r>
      <w:r>
        <w:rPr>
          <w:rFonts w:hint="default" w:ascii="Times New Roman" w:hAnsi="Times New Roman" w:cs="Times New Roman"/>
          <w:bCs/>
          <w:color w:val="auto"/>
          <w:szCs w:val="21"/>
          <w:highlight w:val="none"/>
          <w:lang w:val="en-US" w:eastAsia="zh-CN"/>
        </w:rPr>
        <w:t>无功补偿:本期在换流站至边城变1回500千伏出线侧装设1组120兆乏高压并联电抗器及中性点小电抗</w:t>
      </w:r>
      <w:r>
        <w:rPr>
          <w:rFonts w:hint="eastAsia" w:ascii="Times New Roman" w:hAnsi="Times New Roman" w:cs="Times New Roman"/>
          <w:bCs/>
          <w:color w:val="auto"/>
          <w:szCs w:val="21"/>
          <w:highlight w:val="none"/>
          <w:lang w:val="en-US" w:eastAsia="zh-CN"/>
        </w:rPr>
        <w:t>，</w:t>
      </w:r>
      <w:r>
        <w:rPr>
          <w:rFonts w:hint="default" w:ascii="Times New Roman" w:hAnsi="Times New Roman" w:cs="Times New Roman"/>
          <w:bCs/>
          <w:color w:val="auto"/>
          <w:szCs w:val="21"/>
          <w:highlight w:val="none"/>
          <w:lang w:val="en-US" w:eastAsia="zh-CN"/>
        </w:rPr>
        <w:t>换流站贵州侧装设融冰装置1套</w:t>
      </w:r>
      <w:r>
        <w:rPr>
          <w:rFonts w:hint="eastAsia" w:ascii="Times New Roman" w:hAnsi="Times New Roman" w:cs="Times New Roman"/>
          <w:bCs/>
          <w:color w:val="auto"/>
          <w:szCs w:val="21"/>
          <w:highlight w:val="none"/>
          <w:lang w:val="en-US" w:eastAsia="zh-CN"/>
        </w:rPr>
        <w:t>。</w:t>
      </w:r>
      <w:r>
        <w:rPr>
          <w:rFonts w:hint="eastAsia" w:ascii="Times New Roman" w:hAnsi="Times New Roman" w:cs="Times New Roman"/>
          <w:b w:val="0"/>
          <w:bCs/>
          <w:color w:val="auto"/>
          <w:sz w:val="21"/>
          <w:szCs w:val="21"/>
          <w:highlight w:val="none"/>
          <w:u w:val="none"/>
        </w:rPr>
        <w:t>换流站围墙内总占地为12.2655h</w:t>
      </w:r>
      <w:r>
        <w:rPr>
          <w:rFonts w:hint="default" w:ascii="Times New Roman" w:hAnsi="Times New Roman" w:cs="Times New Roman"/>
          <w:b w:val="0"/>
          <w:bCs/>
          <w:color w:val="auto"/>
          <w:sz w:val="21"/>
          <w:szCs w:val="21"/>
          <w:highlight w:val="none"/>
          <w:u w:val="none"/>
        </w:rPr>
        <w:t>m2</w:t>
      </w:r>
      <w:r>
        <w:rPr>
          <w:rFonts w:hint="eastAsia" w:ascii="Times New Roman" w:hAnsi="Times New Roman" w:cs="Times New Roman"/>
          <w:b w:val="0"/>
          <w:bCs/>
          <w:color w:val="auto"/>
          <w:sz w:val="21"/>
          <w:szCs w:val="21"/>
          <w:highlight w:val="none"/>
          <w:u w:val="none"/>
        </w:rPr>
        <w:t>。</w:t>
      </w:r>
      <w:r>
        <w:rPr>
          <w:rFonts w:hint="eastAsia" w:ascii="Times New Roman" w:hAnsi="Times New Roman" w:cs="Times New Roman"/>
          <w:b w:val="0"/>
          <w:bCs/>
          <w:color w:val="auto"/>
          <w:sz w:val="21"/>
          <w:szCs w:val="21"/>
          <w:highlight w:val="none"/>
          <w:u w:val="none"/>
          <w:lang w:val="en-US" w:eastAsia="zh-CN"/>
        </w:rPr>
        <w:t>新建</w:t>
      </w:r>
      <w:r>
        <w:rPr>
          <w:rFonts w:hint="eastAsia" w:ascii="Times New Roman" w:hAnsi="Times New Roman" w:cs="Times New Roman"/>
          <w:b w:val="0"/>
          <w:bCs/>
          <w:color w:val="auto"/>
          <w:sz w:val="21"/>
          <w:szCs w:val="21"/>
          <w:highlight w:val="none"/>
          <w:u w:val="none"/>
        </w:rPr>
        <w:t>引接</w:t>
      </w:r>
      <w:r>
        <w:rPr>
          <w:rFonts w:hint="default" w:ascii="Times New Roman" w:hAnsi="Times New Roman" w:cs="Times New Roman"/>
          <w:b w:val="0"/>
          <w:bCs/>
          <w:color w:val="auto"/>
          <w:sz w:val="21"/>
          <w:szCs w:val="21"/>
          <w:highlight w:val="none"/>
          <w:u w:val="none"/>
        </w:rPr>
        <w:t>道路长度约</w:t>
      </w:r>
      <w:r>
        <w:rPr>
          <w:rFonts w:hint="eastAsia" w:ascii="Times New Roman" w:hAnsi="Times New Roman" w:cs="Times New Roman"/>
          <w:b w:val="0"/>
          <w:bCs/>
          <w:color w:val="auto"/>
          <w:sz w:val="21"/>
          <w:szCs w:val="21"/>
          <w:highlight w:val="none"/>
          <w:u w:val="none"/>
        </w:rPr>
        <w:t>985</w:t>
      </w:r>
      <w:r>
        <w:rPr>
          <w:rFonts w:hint="default" w:ascii="Times New Roman" w:hAnsi="Times New Roman" w:cs="Times New Roman"/>
          <w:b w:val="0"/>
          <w:bCs/>
          <w:color w:val="auto"/>
          <w:sz w:val="21"/>
          <w:szCs w:val="21"/>
          <w:highlight w:val="none"/>
          <w:u w:val="none"/>
        </w:rPr>
        <w:t>米</w:t>
      </w:r>
      <w:r>
        <w:rPr>
          <w:rFonts w:hint="eastAsia" w:ascii="Times New Roman" w:hAnsi="Times New Roman" w:cs="Times New Roman"/>
          <w:b w:val="0"/>
          <w:bCs/>
          <w:color w:val="auto"/>
          <w:sz w:val="21"/>
          <w:szCs w:val="21"/>
          <w:highlight w:val="none"/>
          <w:u w:val="none"/>
          <w:lang w:eastAsia="zh-CN"/>
        </w:rPr>
        <w:t>。</w:t>
      </w:r>
      <w:r>
        <w:rPr>
          <w:rFonts w:hint="eastAsia" w:ascii="Times New Roman" w:hAnsi="Times New Roman" w:cs="Times New Roman"/>
          <w:b w:val="0"/>
          <w:bCs/>
          <w:color w:val="auto"/>
          <w:sz w:val="21"/>
          <w:szCs w:val="21"/>
          <w:highlight w:val="none"/>
          <w:u w:val="none"/>
        </w:rPr>
        <w:t>站址处于云贵高原向湘西丘陵过度的斜坡地带，西北高，东南低，地处山腰缓坡地带，整体地势东南侧偏高，西北侧偏低，站址区域范围内地面高程在641~697m。</w:t>
      </w:r>
      <w:r>
        <w:rPr>
          <w:rFonts w:hint="default" w:ascii="Times New Roman" w:hAnsi="Times New Roman" w:cs="Times New Roman"/>
          <w:b w:val="0"/>
          <w:bCs/>
          <w:color w:val="auto"/>
          <w:sz w:val="21"/>
          <w:szCs w:val="21"/>
          <w:highlight w:val="none"/>
          <w:u w:val="none"/>
        </w:rPr>
        <w:t>三通一平竖向采用平坡式布置，以一个初平标高</w:t>
      </w:r>
      <w:r>
        <w:rPr>
          <w:rFonts w:hint="eastAsia" w:ascii="Times New Roman" w:hAnsi="Times New Roman" w:cs="Times New Roman"/>
          <w:b w:val="0"/>
          <w:bCs/>
          <w:color w:val="auto"/>
          <w:sz w:val="21"/>
          <w:szCs w:val="21"/>
          <w:highlight w:val="none"/>
          <w:u w:val="none"/>
        </w:rPr>
        <w:t>671.1m</w:t>
      </w:r>
      <w:r>
        <w:rPr>
          <w:rFonts w:hint="default" w:ascii="Times New Roman" w:hAnsi="Times New Roman" w:cs="Times New Roman"/>
          <w:b w:val="0"/>
          <w:bCs/>
          <w:color w:val="auto"/>
          <w:sz w:val="21"/>
          <w:szCs w:val="21"/>
          <w:highlight w:val="none"/>
          <w:u w:val="none"/>
        </w:rPr>
        <w:t>交土建施工。土建施工竖向按平坡式布置，以一个精平标高</w:t>
      </w:r>
      <w:r>
        <w:rPr>
          <w:rFonts w:hint="eastAsia" w:ascii="Times New Roman" w:hAnsi="Times New Roman" w:cs="Times New Roman"/>
          <w:b w:val="0"/>
          <w:bCs/>
          <w:color w:val="auto"/>
          <w:sz w:val="21"/>
          <w:szCs w:val="21"/>
          <w:highlight w:val="none"/>
          <w:u w:val="none"/>
        </w:rPr>
        <w:t>671.9m</w:t>
      </w:r>
      <w:r>
        <w:rPr>
          <w:rFonts w:hint="default" w:ascii="Times New Roman" w:hAnsi="Times New Roman" w:cs="Times New Roman"/>
          <w:b w:val="0"/>
          <w:bCs/>
          <w:color w:val="auto"/>
          <w:sz w:val="21"/>
          <w:szCs w:val="21"/>
          <w:highlight w:val="none"/>
          <w:u w:val="none"/>
        </w:rPr>
        <w:t>（换流站终平标高）交电气安装施工。</w:t>
      </w:r>
    </w:p>
    <w:p>
      <w:pPr>
        <w:pStyle w:val="7"/>
        <w:adjustRightInd w:val="0"/>
        <w:snapToGrid/>
        <w:spacing w:line="360" w:lineRule="auto"/>
        <w:ind w:firstLine="420" w:firstLineChars="200"/>
        <w:rPr>
          <w:rFonts w:hint="default" w:ascii="Times New Roman" w:hAnsi="Times New Roman" w:cs="Times New Roman"/>
          <w:b w:val="0"/>
          <w:bCs/>
          <w:color w:val="auto"/>
          <w:sz w:val="21"/>
          <w:szCs w:val="21"/>
          <w:highlight w:val="none"/>
          <w:u w:val="none"/>
        </w:rPr>
      </w:pPr>
      <w:r>
        <w:rPr>
          <w:rFonts w:hint="eastAsia" w:ascii="Times New Roman" w:hAnsi="Times New Roman" w:cs="Times New Roman"/>
          <w:b w:val="0"/>
          <w:bCs/>
          <w:color w:val="auto"/>
          <w:sz w:val="21"/>
          <w:szCs w:val="21"/>
          <w:highlight w:val="none"/>
          <w:u w:val="none"/>
        </w:rPr>
        <w:t>根据现场钻探成果，场地挖方区设计场平高程以上揭露岩土层主要为残积可塑状粘土为、强风化～中等风化基岩。挖方区的石方主要来源于上述土层中的强风化和中等风化基岩。根据钻孔资料，估算场地挖方区土：强风化岩石：中风化岩石比例约为1：1：8</w:t>
      </w:r>
      <w:r>
        <w:rPr>
          <w:rFonts w:hint="eastAsia" w:ascii="Times New Roman" w:hAnsi="Times New Roman" w:cs="Times New Roman"/>
          <w:b w:val="0"/>
          <w:bCs/>
          <w:color w:val="auto"/>
          <w:sz w:val="21"/>
          <w:szCs w:val="21"/>
          <w:highlight w:val="none"/>
          <w:u w:val="none"/>
          <w:lang w:eastAsia="zh-CN"/>
        </w:rPr>
        <w:t>，</w:t>
      </w:r>
      <w:r>
        <w:rPr>
          <w:rFonts w:hint="eastAsia" w:ascii="Times New Roman" w:hAnsi="Times New Roman" w:cs="Times New Roman"/>
          <w:b w:val="0"/>
          <w:bCs/>
          <w:color w:val="auto"/>
          <w:sz w:val="21"/>
          <w:szCs w:val="21"/>
          <w:highlight w:val="none"/>
          <w:u w:val="none"/>
        </w:rPr>
        <w:t>三通一平</w:t>
      </w:r>
      <w:r>
        <w:rPr>
          <w:rFonts w:hint="eastAsia" w:ascii="Times New Roman" w:hAnsi="Times New Roman" w:cs="Times New Roman"/>
          <w:b w:val="0"/>
          <w:bCs/>
          <w:color w:val="auto"/>
          <w:sz w:val="21"/>
          <w:szCs w:val="21"/>
          <w:highlight w:val="none"/>
          <w:u w:val="none"/>
          <w:lang w:val="en-US" w:eastAsia="zh-CN"/>
        </w:rPr>
        <w:t>施工</w:t>
      </w:r>
      <w:r>
        <w:rPr>
          <w:rFonts w:hint="eastAsia" w:ascii="Times New Roman" w:hAnsi="Times New Roman" w:cs="Times New Roman"/>
          <w:b w:val="0"/>
          <w:bCs/>
          <w:color w:val="auto"/>
          <w:sz w:val="21"/>
          <w:szCs w:val="21"/>
          <w:highlight w:val="none"/>
          <w:u w:val="none"/>
        </w:rPr>
        <w:t>阶段挖方量为72.8万m3，填方量为68.57万m3，</w:t>
      </w:r>
      <w:r>
        <w:rPr>
          <w:rFonts w:hint="default" w:ascii="Times New Roman" w:hAnsi="Times New Roman" w:cs="Times New Roman"/>
          <w:b w:val="0"/>
          <w:bCs/>
          <w:color w:val="auto"/>
          <w:sz w:val="21"/>
          <w:szCs w:val="21"/>
          <w:highlight w:val="none"/>
          <w:u w:val="none"/>
        </w:rPr>
        <w:t>具体建设规模以施工图纸为准。</w:t>
      </w:r>
    </w:p>
    <w:p>
      <w:pPr>
        <w:pStyle w:val="2"/>
        <w:rPr>
          <w:rFonts w:hint="default"/>
          <w:color w:val="auto"/>
          <w:highlight w:val="none"/>
        </w:rPr>
      </w:pPr>
      <w:bookmarkStart w:id="1" w:name="_GoBack"/>
      <w:bookmarkEnd w:id="1"/>
    </w:p>
    <w:p>
      <w:pPr>
        <w:adjustRightInd w:val="0"/>
        <w:snapToGrid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二、采购范围</w:t>
      </w:r>
    </w:p>
    <w:p>
      <w:pPr>
        <w:pStyle w:val="2"/>
        <w:rPr>
          <w:rFonts w:hint="default"/>
          <w:lang w:val="en-US" w:eastAsia="zh-CN"/>
        </w:rPr>
      </w:pPr>
      <w:r>
        <w:rPr>
          <w:rFonts w:hint="eastAsia" w:ascii="Times New Roman" w:hAnsi="Times New Roman" w:cs="Times New Roman"/>
          <w:bCs/>
          <w:color w:val="auto"/>
          <w:szCs w:val="21"/>
          <w:highlight w:val="none"/>
          <w:lang w:val="en-US" w:eastAsia="zh-CN"/>
        </w:rPr>
        <w:t>背靠背换流站（交直流合建）的</w:t>
      </w:r>
      <w:r>
        <w:rPr>
          <w:rFonts w:hint="default" w:ascii="Times New Roman" w:hAnsi="Times New Roman" w:cs="Times New Roman"/>
          <w:bCs/>
          <w:color w:val="auto"/>
          <w:szCs w:val="21"/>
          <w:highlight w:val="none"/>
        </w:rPr>
        <w:t>三通一平、土建、电气等施工全过程</w:t>
      </w:r>
      <w:r>
        <w:rPr>
          <w:rFonts w:hint="eastAsia" w:ascii="Times New Roman" w:hAnsi="Times New Roman" w:cs="Times New Roman"/>
          <w:bCs/>
          <w:color w:val="auto"/>
          <w:szCs w:val="21"/>
          <w:highlight w:val="none"/>
          <w:lang w:val="en-US" w:eastAsia="zh-CN"/>
        </w:rPr>
        <w:t>工程</w:t>
      </w:r>
      <w:r>
        <w:rPr>
          <w:rFonts w:hint="default" w:ascii="Times New Roman" w:hAnsi="Times New Roman" w:cs="Times New Roman"/>
          <w:bCs/>
          <w:color w:val="auto"/>
          <w:szCs w:val="21"/>
          <w:highlight w:val="none"/>
        </w:rPr>
        <w:t>监理</w:t>
      </w:r>
      <w:r>
        <w:rPr>
          <w:rFonts w:hint="eastAsia" w:ascii="Times New Roman" w:hAnsi="Times New Roman" w:cs="Times New Roman"/>
          <w:bCs/>
          <w:color w:val="auto"/>
          <w:szCs w:val="21"/>
          <w:highlight w:val="none"/>
          <w:lang w:val="en-US" w:eastAsia="zh-CN"/>
        </w:rPr>
        <w:t>工作</w:t>
      </w:r>
      <w:r>
        <w:rPr>
          <w:rFonts w:hint="default" w:ascii="Times New Roman" w:hAnsi="Times New Roman" w:cs="Times New Roman"/>
          <w:bCs/>
          <w:color w:val="auto"/>
          <w:szCs w:val="21"/>
          <w:highlight w:val="none"/>
        </w:rPr>
        <w:t>，配合后期工程质量提升及创优工程。</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3F47E8"/>
    <w:multiLevelType w:val="singleLevel"/>
    <w:tmpl w:val="273F47E8"/>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A31851"/>
    <w:rsid w:val="00160905"/>
    <w:rsid w:val="00634400"/>
    <w:rsid w:val="00735D39"/>
    <w:rsid w:val="0074475E"/>
    <w:rsid w:val="00AC4EA7"/>
    <w:rsid w:val="00C14451"/>
    <w:rsid w:val="00D42EBA"/>
    <w:rsid w:val="00E317F6"/>
    <w:rsid w:val="00E639D2"/>
    <w:rsid w:val="01234B47"/>
    <w:rsid w:val="01333E91"/>
    <w:rsid w:val="014C49AF"/>
    <w:rsid w:val="015A35F5"/>
    <w:rsid w:val="01740790"/>
    <w:rsid w:val="018B7850"/>
    <w:rsid w:val="01AA6406"/>
    <w:rsid w:val="02056B79"/>
    <w:rsid w:val="02257DBD"/>
    <w:rsid w:val="022711E1"/>
    <w:rsid w:val="02373911"/>
    <w:rsid w:val="024073A2"/>
    <w:rsid w:val="024654A7"/>
    <w:rsid w:val="02514781"/>
    <w:rsid w:val="0258635C"/>
    <w:rsid w:val="026A4799"/>
    <w:rsid w:val="02885EBC"/>
    <w:rsid w:val="02A921A7"/>
    <w:rsid w:val="02B15B34"/>
    <w:rsid w:val="02C83782"/>
    <w:rsid w:val="03287EDC"/>
    <w:rsid w:val="034D7CA2"/>
    <w:rsid w:val="034E0227"/>
    <w:rsid w:val="037E227F"/>
    <w:rsid w:val="03AA0451"/>
    <w:rsid w:val="03AF423F"/>
    <w:rsid w:val="03E3268F"/>
    <w:rsid w:val="04652054"/>
    <w:rsid w:val="046C6B58"/>
    <w:rsid w:val="04865276"/>
    <w:rsid w:val="04894F85"/>
    <w:rsid w:val="048C6109"/>
    <w:rsid w:val="049E6E5E"/>
    <w:rsid w:val="04A100F9"/>
    <w:rsid w:val="04A77B66"/>
    <w:rsid w:val="04C67035"/>
    <w:rsid w:val="054A1544"/>
    <w:rsid w:val="055A1D52"/>
    <w:rsid w:val="05765B38"/>
    <w:rsid w:val="05953600"/>
    <w:rsid w:val="0597414B"/>
    <w:rsid w:val="05B438D9"/>
    <w:rsid w:val="05C24366"/>
    <w:rsid w:val="06784EE2"/>
    <w:rsid w:val="068A6309"/>
    <w:rsid w:val="069E2ED8"/>
    <w:rsid w:val="06CC371C"/>
    <w:rsid w:val="07066189"/>
    <w:rsid w:val="070E64F1"/>
    <w:rsid w:val="070F4FB8"/>
    <w:rsid w:val="073D2356"/>
    <w:rsid w:val="079F1171"/>
    <w:rsid w:val="08142C88"/>
    <w:rsid w:val="082B6B4E"/>
    <w:rsid w:val="087950C3"/>
    <w:rsid w:val="088607AA"/>
    <w:rsid w:val="08BF1F2D"/>
    <w:rsid w:val="08CE5B36"/>
    <w:rsid w:val="08E3133A"/>
    <w:rsid w:val="08E35813"/>
    <w:rsid w:val="08EA265C"/>
    <w:rsid w:val="091C5B6F"/>
    <w:rsid w:val="099C2434"/>
    <w:rsid w:val="09AA6D50"/>
    <w:rsid w:val="09B13DAF"/>
    <w:rsid w:val="09E661D8"/>
    <w:rsid w:val="0A34389E"/>
    <w:rsid w:val="0A434B06"/>
    <w:rsid w:val="0A7B09AD"/>
    <w:rsid w:val="0A844D78"/>
    <w:rsid w:val="0A985A04"/>
    <w:rsid w:val="0AA03A1C"/>
    <w:rsid w:val="0AB54D77"/>
    <w:rsid w:val="0AB55BC4"/>
    <w:rsid w:val="0B007ACB"/>
    <w:rsid w:val="0B0808AF"/>
    <w:rsid w:val="0B0F2FF1"/>
    <w:rsid w:val="0B142DCD"/>
    <w:rsid w:val="0B92040A"/>
    <w:rsid w:val="0BF179A4"/>
    <w:rsid w:val="0BF26409"/>
    <w:rsid w:val="0C000241"/>
    <w:rsid w:val="0C1E223E"/>
    <w:rsid w:val="0C386FE3"/>
    <w:rsid w:val="0C482B96"/>
    <w:rsid w:val="0C4B6137"/>
    <w:rsid w:val="0C7F2FB9"/>
    <w:rsid w:val="0C924F7F"/>
    <w:rsid w:val="0C9A2412"/>
    <w:rsid w:val="0CA06D4A"/>
    <w:rsid w:val="0CB26B57"/>
    <w:rsid w:val="0CCE61A6"/>
    <w:rsid w:val="0CF04D2D"/>
    <w:rsid w:val="0D0116A7"/>
    <w:rsid w:val="0D035166"/>
    <w:rsid w:val="0D502146"/>
    <w:rsid w:val="0D603900"/>
    <w:rsid w:val="0D6D48F9"/>
    <w:rsid w:val="0D725303"/>
    <w:rsid w:val="0D871279"/>
    <w:rsid w:val="0DD16EDD"/>
    <w:rsid w:val="0DD42F2A"/>
    <w:rsid w:val="0DD772CA"/>
    <w:rsid w:val="0DDC4BFD"/>
    <w:rsid w:val="0E215EAB"/>
    <w:rsid w:val="0E2C1CAE"/>
    <w:rsid w:val="0E3C4380"/>
    <w:rsid w:val="0E496566"/>
    <w:rsid w:val="0E6860E1"/>
    <w:rsid w:val="0E7930B0"/>
    <w:rsid w:val="0E8305E3"/>
    <w:rsid w:val="0EDC7EDE"/>
    <w:rsid w:val="0EE1215B"/>
    <w:rsid w:val="0EE24AF4"/>
    <w:rsid w:val="0EE842E9"/>
    <w:rsid w:val="0F16617F"/>
    <w:rsid w:val="0F1671BB"/>
    <w:rsid w:val="0F4F3CED"/>
    <w:rsid w:val="0F783895"/>
    <w:rsid w:val="100A20AC"/>
    <w:rsid w:val="10126925"/>
    <w:rsid w:val="101A4FA7"/>
    <w:rsid w:val="101B5FBF"/>
    <w:rsid w:val="10292999"/>
    <w:rsid w:val="10556526"/>
    <w:rsid w:val="10597DFC"/>
    <w:rsid w:val="10656E88"/>
    <w:rsid w:val="10743206"/>
    <w:rsid w:val="1078783A"/>
    <w:rsid w:val="10AD46CB"/>
    <w:rsid w:val="10B57E67"/>
    <w:rsid w:val="10BA6175"/>
    <w:rsid w:val="10CB27CE"/>
    <w:rsid w:val="10E2592C"/>
    <w:rsid w:val="11644228"/>
    <w:rsid w:val="118F5908"/>
    <w:rsid w:val="11A21712"/>
    <w:rsid w:val="11AD553B"/>
    <w:rsid w:val="12203995"/>
    <w:rsid w:val="122A0CEF"/>
    <w:rsid w:val="124F21F3"/>
    <w:rsid w:val="12712B03"/>
    <w:rsid w:val="128B0996"/>
    <w:rsid w:val="12DE2CA9"/>
    <w:rsid w:val="12EE046D"/>
    <w:rsid w:val="130B4D14"/>
    <w:rsid w:val="133F34EA"/>
    <w:rsid w:val="13424C34"/>
    <w:rsid w:val="13716D9B"/>
    <w:rsid w:val="13B145E4"/>
    <w:rsid w:val="13C37281"/>
    <w:rsid w:val="13E25777"/>
    <w:rsid w:val="13E67590"/>
    <w:rsid w:val="13EC68F3"/>
    <w:rsid w:val="13FD0A07"/>
    <w:rsid w:val="140359B0"/>
    <w:rsid w:val="145D719E"/>
    <w:rsid w:val="14892EC9"/>
    <w:rsid w:val="149113C6"/>
    <w:rsid w:val="149E6179"/>
    <w:rsid w:val="14A517E4"/>
    <w:rsid w:val="14E478D4"/>
    <w:rsid w:val="14EF57D3"/>
    <w:rsid w:val="1510366A"/>
    <w:rsid w:val="1517719C"/>
    <w:rsid w:val="1531652D"/>
    <w:rsid w:val="15327A46"/>
    <w:rsid w:val="1541289B"/>
    <w:rsid w:val="154356C5"/>
    <w:rsid w:val="157A61FC"/>
    <w:rsid w:val="157D2D7C"/>
    <w:rsid w:val="157F22D3"/>
    <w:rsid w:val="15AF6A20"/>
    <w:rsid w:val="15E97E48"/>
    <w:rsid w:val="15FB6399"/>
    <w:rsid w:val="1635495F"/>
    <w:rsid w:val="16382BA5"/>
    <w:rsid w:val="165E38ED"/>
    <w:rsid w:val="166C3F28"/>
    <w:rsid w:val="16B914D5"/>
    <w:rsid w:val="16BB6770"/>
    <w:rsid w:val="16E5397F"/>
    <w:rsid w:val="17F40C30"/>
    <w:rsid w:val="18061F11"/>
    <w:rsid w:val="182C1548"/>
    <w:rsid w:val="182F7676"/>
    <w:rsid w:val="183959AC"/>
    <w:rsid w:val="187314E4"/>
    <w:rsid w:val="18D31FA0"/>
    <w:rsid w:val="18D914F7"/>
    <w:rsid w:val="18DA34FC"/>
    <w:rsid w:val="18DF1A90"/>
    <w:rsid w:val="18F769A7"/>
    <w:rsid w:val="191A0288"/>
    <w:rsid w:val="197700D9"/>
    <w:rsid w:val="19BA688F"/>
    <w:rsid w:val="19CB2669"/>
    <w:rsid w:val="19D94A08"/>
    <w:rsid w:val="19E16826"/>
    <w:rsid w:val="19FD0A55"/>
    <w:rsid w:val="1A0E4463"/>
    <w:rsid w:val="1A125A1A"/>
    <w:rsid w:val="1A24104A"/>
    <w:rsid w:val="1A812CEC"/>
    <w:rsid w:val="1AA02166"/>
    <w:rsid w:val="1AD738BE"/>
    <w:rsid w:val="1ADC3A8B"/>
    <w:rsid w:val="1B157B93"/>
    <w:rsid w:val="1B1702DF"/>
    <w:rsid w:val="1B18509E"/>
    <w:rsid w:val="1B1D2B27"/>
    <w:rsid w:val="1B272B64"/>
    <w:rsid w:val="1B325AC4"/>
    <w:rsid w:val="1B484B62"/>
    <w:rsid w:val="1B8112BB"/>
    <w:rsid w:val="1B9A374E"/>
    <w:rsid w:val="1BC54021"/>
    <w:rsid w:val="1BC6116D"/>
    <w:rsid w:val="1BDD32DA"/>
    <w:rsid w:val="1BEF2397"/>
    <w:rsid w:val="1C020C05"/>
    <w:rsid w:val="1C02117A"/>
    <w:rsid w:val="1C021A24"/>
    <w:rsid w:val="1C7F4555"/>
    <w:rsid w:val="1C9B15BD"/>
    <w:rsid w:val="1CBA1624"/>
    <w:rsid w:val="1CBA18A9"/>
    <w:rsid w:val="1CD911A3"/>
    <w:rsid w:val="1D252978"/>
    <w:rsid w:val="1D326BC3"/>
    <w:rsid w:val="1D4A6449"/>
    <w:rsid w:val="1D63238B"/>
    <w:rsid w:val="1DBE31E8"/>
    <w:rsid w:val="1DC8387C"/>
    <w:rsid w:val="1DDE0980"/>
    <w:rsid w:val="1DED7883"/>
    <w:rsid w:val="1E590185"/>
    <w:rsid w:val="1E5D0A91"/>
    <w:rsid w:val="1E824BA3"/>
    <w:rsid w:val="1E93089F"/>
    <w:rsid w:val="1EAD1EBA"/>
    <w:rsid w:val="1EF677B0"/>
    <w:rsid w:val="1EFB4779"/>
    <w:rsid w:val="1F247549"/>
    <w:rsid w:val="1F473733"/>
    <w:rsid w:val="1FBE56FE"/>
    <w:rsid w:val="1FBF1795"/>
    <w:rsid w:val="1FC05EB3"/>
    <w:rsid w:val="1FD72BED"/>
    <w:rsid w:val="1FEB6536"/>
    <w:rsid w:val="200A1251"/>
    <w:rsid w:val="202D7CD9"/>
    <w:rsid w:val="207474F3"/>
    <w:rsid w:val="20812AE8"/>
    <w:rsid w:val="20977C56"/>
    <w:rsid w:val="209C1411"/>
    <w:rsid w:val="20A95361"/>
    <w:rsid w:val="20C67991"/>
    <w:rsid w:val="20E179D2"/>
    <w:rsid w:val="20E6256D"/>
    <w:rsid w:val="211E3F60"/>
    <w:rsid w:val="2167725F"/>
    <w:rsid w:val="21AA6FE7"/>
    <w:rsid w:val="21C75F02"/>
    <w:rsid w:val="21D051E6"/>
    <w:rsid w:val="220431B6"/>
    <w:rsid w:val="221364F1"/>
    <w:rsid w:val="22293B5B"/>
    <w:rsid w:val="22305F5D"/>
    <w:rsid w:val="224C6BF4"/>
    <w:rsid w:val="22A75DA2"/>
    <w:rsid w:val="22F9477D"/>
    <w:rsid w:val="23233524"/>
    <w:rsid w:val="232769C8"/>
    <w:rsid w:val="233372E7"/>
    <w:rsid w:val="233F0309"/>
    <w:rsid w:val="23701809"/>
    <w:rsid w:val="238B50E2"/>
    <w:rsid w:val="23A57609"/>
    <w:rsid w:val="23C86946"/>
    <w:rsid w:val="23D005DB"/>
    <w:rsid w:val="23D02F97"/>
    <w:rsid w:val="23E34E0E"/>
    <w:rsid w:val="23E44DFE"/>
    <w:rsid w:val="23F34C2A"/>
    <w:rsid w:val="23F364EC"/>
    <w:rsid w:val="23F456E4"/>
    <w:rsid w:val="24201EC5"/>
    <w:rsid w:val="243B00EF"/>
    <w:rsid w:val="2479480C"/>
    <w:rsid w:val="24836ED4"/>
    <w:rsid w:val="24A23085"/>
    <w:rsid w:val="24AA0A2F"/>
    <w:rsid w:val="24EB170E"/>
    <w:rsid w:val="250929B2"/>
    <w:rsid w:val="25241B39"/>
    <w:rsid w:val="253D766D"/>
    <w:rsid w:val="253F2A6B"/>
    <w:rsid w:val="254D6486"/>
    <w:rsid w:val="25873B6E"/>
    <w:rsid w:val="259B3430"/>
    <w:rsid w:val="25BC0F61"/>
    <w:rsid w:val="25E605EC"/>
    <w:rsid w:val="25F00C39"/>
    <w:rsid w:val="26262D43"/>
    <w:rsid w:val="26665B8F"/>
    <w:rsid w:val="26807ADA"/>
    <w:rsid w:val="26A61A79"/>
    <w:rsid w:val="26C4717A"/>
    <w:rsid w:val="26D877A6"/>
    <w:rsid w:val="26DB4517"/>
    <w:rsid w:val="26EE0071"/>
    <w:rsid w:val="271C66CE"/>
    <w:rsid w:val="272B7F70"/>
    <w:rsid w:val="27505FA0"/>
    <w:rsid w:val="276242D9"/>
    <w:rsid w:val="2769620E"/>
    <w:rsid w:val="277B01F7"/>
    <w:rsid w:val="277F58FE"/>
    <w:rsid w:val="278B23EB"/>
    <w:rsid w:val="278E6E06"/>
    <w:rsid w:val="279D3C4B"/>
    <w:rsid w:val="27C1171A"/>
    <w:rsid w:val="27C25595"/>
    <w:rsid w:val="27CE2F76"/>
    <w:rsid w:val="27D67AEA"/>
    <w:rsid w:val="27E77FA5"/>
    <w:rsid w:val="27F33BEF"/>
    <w:rsid w:val="282B41CB"/>
    <w:rsid w:val="285C489C"/>
    <w:rsid w:val="28720E55"/>
    <w:rsid w:val="28862019"/>
    <w:rsid w:val="28AC3E74"/>
    <w:rsid w:val="28B770FF"/>
    <w:rsid w:val="28DC4EAA"/>
    <w:rsid w:val="29141B8A"/>
    <w:rsid w:val="29186F9B"/>
    <w:rsid w:val="291C2120"/>
    <w:rsid w:val="29405AF3"/>
    <w:rsid w:val="2941782B"/>
    <w:rsid w:val="297040AC"/>
    <w:rsid w:val="297A46BF"/>
    <w:rsid w:val="298E4055"/>
    <w:rsid w:val="299013D6"/>
    <w:rsid w:val="29953D19"/>
    <w:rsid w:val="299769BD"/>
    <w:rsid w:val="29A86C9B"/>
    <w:rsid w:val="29BB00F3"/>
    <w:rsid w:val="29BC596C"/>
    <w:rsid w:val="29FF673D"/>
    <w:rsid w:val="2A364F6A"/>
    <w:rsid w:val="2A4436BF"/>
    <w:rsid w:val="2A4C098D"/>
    <w:rsid w:val="2AFB022D"/>
    <w:rsid w:val="2B214069"/>
    <w:rsid w:val="2B2A5014"/>
    <w:rsid w:val="2B371F98"/>
    <w:rsid w:val="2B3856E9"/>
    <w:rsid w:val="2B3D02F2"/>
    <w:rsid w:val="2B3E77A4"/>
    <w:rsid w:val="2B431E0B"/>
    <w:rsid w:val="2B5D1C4D"/>
    <w:rsid w:val="2B7B6879"/>
    <w:rsid w:val="2B861078"/>
    <w:rsid w:val="2B9C1D46"/>
    <w:rsid w:val="2BAF5518"/>
    <w:rsid w:val="2BBF1854"/>
    <w:rsid w:val="2BE0210F"/>
    <w:rsid w:val="2BE637B3"/>
    <w:rsid w:val="2BFD6ECD"/>
    <w:rsid w:val="2C0555E7"/>
    <w:rsid w:val="2C234287"/>
    <w:rsid w:val="2C3D20C7"/>
    <w:rsid w:val="2C721007"/>
    <w:rsid w:val="2C737020"/>
    <w:rsid w:val="2CCE758B"/>
    <w:rsid w:val="2D0936D4"/>
    <w:rsid w:val="2D3D1D37"/>
    <w:rsid w:val="2D6A3D58"/>
    <w:rsid w:val="2D6D06FF"/>
    <w:rsid w:val="2D8A6018"/>
    <w:rsid w:val="2D8C38CB"/>
    <w:rsid w:val="2D9B7B12"/>
    <w:rsid w:val="2DCE1DE5"/>
    <w:rsid w:val="2DD76019"/>
    <w:rsid w:val="2E1218FF"/>
    <w:rsid w:val="2E1B0AD6"/>
    <w:rsid w:val="2E494152"/>
    <w:rsid w:val="2E7225D7"/>
    <w:rsid w:val="2E7D5F32"/>
    <w:rsid w:val="2EB73D67"/>
    <w:rsid w:val="2EBF4AC4"/>
    <w:rsid w:val="2ED82027"/>
    <w:rsid w:val="2EE839A3"/>
    <w:rsid w:val="2EF14BA2"/>
    <w:rsid w:val="2F5A2E3F"/>
    <w:rsid w:val="2F6F415D"/>
    <w:rsid w:val="2F9B59A0"/>
    <w:rsid w:val="2FC05317"/>
    <w:rsid w:val="2FF4434D"/>
    <w:rsid w:val="30005F4F"/>
    <w:rsid w:val="30403944"/>
    <w:rsid w:val="30485DC7"/>
    <w:rsid w:val="30C91BC9"/>
    <w:rsid w:val="30F64373"/>
    <w:rsid w:val="3110785D"/>
    <w:rsid w:val="31123C07"/>
    <w:rsid w:val="314F5802"/>
    <w:rsid w:val="315D6B90"/>
    <w:rsid w:val="319349B2"/>
    <w:rsid w:val="31ED003F"/>
    <w:rsid w:val="31F4784C"/>
    <w:rsid w:val="31FE5B35"/>
    <w:rsid w:val="320A13EE"/>
    <w:rsid w:val="32127BF7"/>
    <w:rsid w:val="32250F77"/>
    <w:rsid w:val="32265346"/>
    <w:rsid w:val="323718A6"/>
    <w:rsid w:val="324D335F"/>
    <w:rsid w:val="328551AF"/>
    <w:rsid w:val="32C459B6"/>
    <w:rsid w:val="32D65512"/>
    <w:rsid w:val="32FC0C7E"/>
    <w:rsid w:val="33280206"/>
    <w:rsid w:val="3331792D"/>
    <w:rsid w:val="334C5D0B"/>
    <w:rsid w:val="33750A5E"/>
    <w:rsid w:val="338208DF"/>
    <w:rsid w:val="33A71631"/>
    <w:rsid w:val="33AF7552"/>
    <w:rsid w:val="33FD6451"/>
    <w:rsid w:val="34103805"/>
    <w:rsid w:val="344620B9"/>
    <w:rsid w:val="3447047A"/>
    <w:rsid w:val="345E3143"/>
    <w:rsid w:val="347666F3"/>
    <w:rsid w:val="347B6553"/>
    <w:rsid w:val="34994606"/>
    <w:rsid w:val="34BC100F"/>
    <w:rsid w:val="34C64644"/>
    <w:rsid w:val="34C6497B"/>
    <w:rsid w:val="34E52ED6"/>
    <w:rsid w:val="34E833ED"/>
    <w:rsid w:val="34ED355A"/>
    <w:rsid w:val="35016B7E"/>
    <w:rsid w:val="350D0C0B"/>
    <w:rsid w:val="350D69B7"/>
    <w:rsid w:val="35223CEF"/>
    <w:rsid w:val="352F30A4"/>
    <w:rsid w:val="35394A56"/>
    <w:rsid w:val="3560453F"/>
    <w:rsid w:val="35747116"/>
    <w:rsid w:val="35773E1C"/>
    <w:rsid w:val="357E1910"/>
    <w:rsid w:val="35816FE0"/>
    <w:rsid w:val="35A03192"/>
    <w:rsid w:val="35A45BDC"/>
    <w:rsid w:val="35A9442E"/>
    <w:rsid w:val="35C54B17"/>
    <w:rsid w:val="35F5317F"/>
    <w:rsid w:val="35FB3689"/>
    <w:rsid w:val="362816D0"/>
    <w:rsid w:val="368D064F"/>
    <w:rsid w:val="36AE7442"/>
    <w:rsid w:val="36BA7ADC"/>
    <w:rsid w:val="36BB49DC"/>
    <w:rsid w:val="36CC2C53"/>
    <w:rsid w:val="370C332C"/>
    <w:rsid w:val="372F06AC"/>
    <w:rsid w:val="378A7DEF"/>
    <w:rsid w:val="38120D5F"/>
    <w:rsid w:val="38142CB8"/>
    <w:rsid w:val="38150E29"/>
    <w:rsid w:val="38172F3D"/>
    <w:rsid w:val="381F14AC"/>
    <w:rsid w:val="3821596F"/>
    <w:rsid w:val="385A4ECB"/>
    <w:rsid w:val="38855E39"/>
    <w:rsid w:val="389C1DD9"/>
    <w:rsid w:val="38B90A95"/>
    <w:rsid w:val="38CE0D79"/>
    <w:rsid w:val="38E67BBA"/>
    <w:rsid w:val="394152E9"/>
    <w:rsid w:val="3954004F"/>
    <w:rsid w:val="396809AD"/>
    <w:rsid w:val="398A6646"/>
    <w:rsid w:val="39A72E4F"/>
    <w:rsid w:val="39C45650"/>
    <w:rsid w:val="39D9372B"/>
    <w:rsid w:val="39FA6C90"/>
    <w:rsid w:val="3A32422B"/>
    <w:rsid w:val="3A396A12"/>
    <w:rsid w:val="3A47133D"/>
    <w:rsid w:val="3A4C1AC6"/>
    <w:rsid w:val="3A4F46F7"/>
    <w:rsid w:val="3A602028"/>
    <w:rsid w:val="3A702EFF"/>
    <w:rsid w:val="3A7C2FB0"/>
    <w:rsid w:val="3AB6473B"/>
    <w:rsid w:val="3AD35499"/>
    <w:rsid w:val="3AD60989"/>
    <w:rsid w:val="3AF70779"/>
    <w:rsid w:val="3B0E1C9B"/>
    <w:rsid w:val="3B1861B2"/>
    <w:rsid w:val="3B3258F0"/>
    <w:rsid w:val="3B410753"/>
    <w:rsid w:val="3B65666D"/>
    <w:rsid w:val="3B6E7768"/>
    <w:rsid w:val="3B720DAF"/>
    <w:rsid w:val="3B74312B"/>
    <w:rsid w:val="3B8C3406"/>
    <w:rsid w:val="3BB34C22"/>
    <w:rsid w:val="3BCE6326"/>
    <w:rsid w:val="3BFC3F9D"/>
    <w:rsid w:val="3C1A4009"/>
    <w:rsid w:val="3C8303D7"/>
    <w:rsid w:val="3CB90382"/>
    <w:rsid w:val="3CC66BCF"/>
    <w:rsid w:val="3CC948E2"/>
    <w:rsid w:val="3CF90008"/>
    <w:rsid w:val="3D290AD8"/>
    <w:rsid w:val="3D4E5F25"/>
    <w:rsid w:val="3DBD7114"/>
    <w:rsid w:val="3DC545B0"/>
    <w:rsid w:val="3DE61EB3"/>
    <w:rsid w:val="3E5A34F7"/>
    <w:rsid w:val="3E76000B"/>
    <w:rsid w:val="3ED97DFB"/>
    <w:rsid w:val="3EDA6DEA"/>
    <w:rsid w:val="3EEC096E"/>
    <w:rsid w:val="3F18078B"/>
    <w:rsid w:val="3F9D51D1"/>
    <w:rsid w:val="3FB078FE"/>
    <w:rsid w:val="3FB82BCD"/>
    <w:rsid w:val="3FBA6D89"/>
    <w:rsid w:val="3FED1AC3"/>
    <w:rsid w:val="3FF61880"/>
    <w:rsid w:val="3FF855C0"/>
    <w:rsid w:val="3FFE7D45"/>
    <w:rsid w:val="402D46A9"/>
    <w:rsid w:val="403D574E"/>
    <w:rsid w:val="40444B63"/>
    <w:rsid w:val="40674BBA"/>
    <w:rsid w:val="407F694F"/>
    <w:rsid w:val="408D0876"/>
    <w:rsid w:val="40AD34A5"/>
    <w:rsid w:val="40B212A2"/>
    <w:rsid w:val="40D37CBF"/>
    <w:rsid w:val="40E45EBE"/>
    <w:rsid w:val="410D0887"/>
    <w:rsid w:val="4110084C"/>
    <w:rsid w:val="412A1CD3"/>
    <w:rsid w:val="4142454E"/>
    <w:rsid w:val="414D72E8"/>
    <w:rsid w:val="41927838"/>
    <w:rsid w:val="41934330"/>
    <w:rsid w:val="41B1014D"/>
    <w:rsid w:val="41CF35A6"/>
    <w:rsid w:val="41EE0065"/>
    <w:rsid w:val="41F064DA"/>
    <w:rsid w:val="41F427C7"/>
    <w:rsid w:val="420A037C"/>
    <w:rsid w:val="421D48A8"/>
    <w:rsid w:val="422200DA"/>
    <w:rsid w:val="42397608"/>
    <w:rsid w:val="42411959"/>
    <w:rsid w:val="42570210"/>
    <w:rsid w:val="426B1F1D"/>
    <w:rsid w:val="4289751A"/>
    <w:rsid w:val="42BB7925"/>
    <w:rsid w:val="42C212EE"/>
    <w:rsid w:val="42C47D99"/>
    <w:rsid w:val="42EA55AA"/>
    <w:rsid w:val="42F61DEC"/>
    <w:rsid w:val="4310568C"/>
    <w:rsid w:val="43176289"/>
    <w:rsid w:val="43475EFE"/>
    <w:rsid w:val="4372708D"/>
    <w:rsid w:val="439E7831"/>
    <w:rsid w:val="43E266DE"/>
    <w:rsid w:val="44022662"/>
    <w:rsid w:val="44093592"/>
    <w:rsid w:val="443A099C"/>
    <w:rsid w:val="443A4E2B"/>
    <w:rsid w:val="44C439C8"/>
    <w:rsid w:val="44D32EA5"/>
    <w:rsid w:val="44E044B6"/>
    <w:rsid w:val="45064ABA"/>
    <w:rsid w:val="450C6133"/>
    <w:rsid w:val="45317D80"/>
    <w:rsid w:val="4542258C"/>
    <w:rsid w:val="454D4A33"/>
    <w:rsid w:val="454F7CC0"/>
    <w:rsid w:val="455236DD"/>
    <w:rsid w:val="455A653B"/>
    <w:rsid w:val="458B1AD4"/>
    <w:rsid w:val="45932AA6"/>
    <w:rsid w:val="459F2E19"/>
    <w:rsid w:val="45B57ACC"/>
    <w:rsid w:val="45BE3FFD"/>
    <w:rsid w:val="45D836DD"/>
    <w:rsid w:val="45E873D6"/>
    <w:rsid w:val="46111312"/>
    <w:rsid w:val="462F018D"/>
    <w:rsid w:val="462F1F22"/>
    <w:rsid w:val="46490EA5"/>
    <w:rsid w:val="465B5D2E"/>
    <w:rsid w:val="46653242"/>
    <w:rsid w:val="46740268"/>
    <w:rsid w:val="469212BC"/>
    <w:rsid w:val="46D4582B"/>
    <w:rsid w:val="47651CC4"/>
    <w:rsid w:val="47BF60DB"/>
    <w:rsid w:val="47C524E6"/>
    <w:rsid w:val="47CD5140"/>
    <w:rsid w:val="47CE3E13"/>
    <w:rsid w:val="47D974AB"/>
    <w:rsid w:val="480333C4"/>
    <w:rsid w:val="48063C1F"/>
    <w:rsid w:val="4859150B"/>
    <w:rsid w:val="48A01AF0"/>
    <w:rsid w:val="48A31C26"/>
    <w:rsid w:val="48AB7C8B"/>
    <w:rsid w:val="48C61B22"/>
    <w:rsid w:val="48DF4D81"/>
    <w:rsid w:val="48EC6995"/>
    <w:rsid w:val="48F10580"/>
    <w:rsid w:val="49307CC2"/>
    <w:rsid w:val="49653B91"/>
    <w:rsid w:val="49A77852"/>
    <w:rsid w:val="49B92D76"/>
    <w:rsid w:val="49C517DE"/>
    <w:rsid w:val="49D1179B"/>
    <w:rsid w:val="49D42AD3"/>
    <w:rsid w:val="49E25BD6"/>
    <w:rsid w:val="49E25F7F"/>
    <w:rsid w:val="49F1060D"/>
    <w:rsid w:val="4A2C363B"/>
    <w:rsid w:val="4A395980"/>
    <w:rsid w:val="4A6140E2"/>
    <w:rsid w:val="4AA07C1B"/>
    <w:rsid w:val="4AA63CA7"/>
    <w:rsid w:val="4AAA743F"/>
    <w:rsid w:val="4ADF6F64"/>
    <w:rsid w:val="4AE92033"/>
    <w:rsid w:val="4B060270"/>
    <w:rsid w:val="4B116F6C"/>
    <w:rsid w:val="4B3F3CF1"/>
    <w:rsid w:val="4B6D767A"/>
    <w:rsid w:val="4B991A55"/>
    <w:rsid w:val="4BA12A28"/>
    <w:rsid w:val="4BAA060F"/>
    <w:rsid w:val="4BB977B0"/>
    <w:rsid w:val="4C0700DB"/>
    <w:rsid w:val="4C080AAC"/>
    <w:rsid w:val="4C6560C3"/>
    <w:rsid w:val="4CAE144C"/>
    <w:rsid w:val="4CD01024"/>
    <w:rsid w:val="4CDB4AA5"/>
    <w:rsid w:val="4D1E4C44"/>
    <w:rsid w:val="4D312991"/>
    <w:rsid w:val="4D6D4F91"/>
    <w:rsid w:val="4D784F22"/>
    <w:rsid w:val="4DBC5532"/>
    <w:rsid w:val="4DDC0511"/>
    <w:rsid w:val="4DF623F7"/>
    <w:rsid w:val="4E117AB9"/>
    <w:rsid w:val="4E1B7F7E"/>
    <w:rsid w:val="4E36085D"/>
    <w:rsid w:val="4E5B20FE"/>
    <w:rsid w:val="4E5B7B9D"/>
    <w:rsid w:val="4E9D76EE"/>
    <w:rsid w:val="4EA13866"/>
    <w:rsid w:val="4EC82EAB"/>
    <w:rsid w:val="4EC9657F"/>
    <w:rsid w:val="4ED565C1"/>
    <w:rsid w:val="4F003028"/>
    <w:rsid w:val="4F0A6052"/>
    <w:rsid w:val="4F12387B"/>
    <w:rsid w:val="4F2177D6"/>
    <w:rsid w:val="4F2E66BC"/>
    <w:rsid w:val="4F651BED"/>
    <w:rsid w:val="4F86398F"/>
    <w:rsid w:val="4F99674D"/>
    <w:rsid w:val="4FAC341B"/>
    <w:rsid w:val="4FBE70F5"/>
    <w:rsid w:val="4FCF701E"/>
    <w:rsid w:val="4FE65B93"/>
    <w:rsid w:val="4FF04D49"/>
    <w:rsid w:val="4FF306CF"/>
    <w:rsid w:val="4FF87AAA"/>
    <w:rsid w:val="500460E9"/>
    <w:rsid w:val="506B7D50"/>
    <w:rsid w:val="50794009"/>
    <w:rsid w:val="50CC062E"/>
    <w:rsid w:val="50F60A56"/>
    <w:rsid w:val="51067C3B"/>
    <w:rsid w:val="51097A3D"/>
    <w:rsid w:val="512833F8"/>
    <w:rsid w:val="512F1E9E"/>
    <w:rsid w:val="519E438F"/>
    <w:rsid w:val="51BC119F"/>
    <w:rsid w:val="51D835F6"/>
    <w:rsid w:val="51E77F3F"/>
    <w:rsid w:val="51F57061"/>
    <w:rsid w:val="521D4E6D"/>
    <w:rsid w:val="521F341B"/>
    <w:rsid w:val="5223663F"/>
    <w:rsid w:val="52243A39"/>
    <w:rsid w:val="5254433E"/>
    <w:rsid w:val="525D2510"/>
    <w:rsid w:val="52831C67"/>
    <w:rsid w:val="52881C4C"/>
    <w:rsid w:val="52AA6127"/>
    <w:rsid w:val="52C04176"/>
    <w:rsid w:val="52C44140"/>
    <w:rsid w:val="52EC283C"/>
    <w:rsid w:val="52F936AE"/>
    <w:rsid w:val="531D5A8E"/>
    <w:rsid w:val="532D1417"/>
    <w:rsid w:val="536343CD"/>
    <w:rsid w:val="5364372C"/>
    <w:rsid w:val="536F00FE"/>
    <w:rsid w:val="538B7395"/>
    <w:rsid w:val="539F297F"/>
    <w:rsid w:val="53C05677"/>
    <w:rsid w:val="53D375FB"/>
    <w:rsid w:val="54027561"/>
    <w:rsid w:val="54157E81"/>
    <w:rsid w:val="54504521"/>
    <w:rsid w:val="54687CE2"/>
    <w:rsid w:val="547C58A3"/>
    <w:rsid w:val="547E0FD7"/>
    <w:rsid w:val="54876480"/>
    <w:rsid w:val="54962925"/>
    <w:rsid w:val="549A5BB9"/>
    <w:rsid w:val="54A238EE"/>
    <w:rsid w:val="54E55F7A"/>
    <w:rsid w:val="54F91337"/>
    <w:rsid w:val="555046BE"/>
    <w:rsid w:val="55567893"/>
    <w:rsid w:val="55A87F17"/>
    <w:rsid w:val="55DB6936"/>
    <w:rsid w:val="55E308D1"/>
    <w:rsid w:val="561D44F9"/>
    <w:rsid w:val="562A6261"/>
    <w:rsid w:val="562B163E"/>
    <w:rsid w:val="563210D8"/>
    <w:rsid w:val="56367DBB"/>
    <w:rsid w:val="56377B71"/>
    <w:rsid w:val="56497965"/>
    <w:rsid w:val="56552C09"/>
    <w:rsid w:val="566F62A8"/>
    <w:rsid w:val="567518A3"/>
    <w:rsid w:val="56777080"/>
    <w:rsid w:val="56874990"/>
    <w:rsid w:val="569D497A"/>
    <w:rsid w:val="56A8142D"/>
    <w:rsid w:val="56BC41FD"/>
    <w:rsid w:val="56BC74A4"/>
    <w:rsid w:val="570305AE"/>
    <w:rsid w:val="57090376"/>
    <w:rsid w:val="571606C9"/>
    <w:rsid w:val="577703EC"/>
    <w:rsid w:val="57A504D1"/>
    <w:rsid w:val="57A94845"/>
    <w:rsid w:val="57AC79C1"/>
    <w:rsid w:val="57FA7D63"/>
    <w:rsid w:val="583E757E"/>
    <w:rsid w:val="587577B5"/>
    <w:rsid w:val="58A203C1"/>
    <w:rsid w:val="58CB1CB2"/>
    <w:rsid w:val="590952D1"/>
    <w:rsid w:val="591A5738"/>
    <w:rsid w:val="592155DE"/>
    <w:rsid w:val="59240C81"/>
    <w:rsid w:val="595A76F1"/>
    <w:rsid w:val="595E171E"/>
    <w:rsid w:val="596C08B2"/>
    <w:rsid w:val="599A6305"/>
    <w:rsid w:val="59E64660"/>
    <w:rsid w:val="5A370256"/>
    <w:rsid w:val="5A4930E1"/>
    <w:rsid w:val="5A523000"/>
    <w:rsid w:val="5A544C3C"/>
    <w:rsid w:val="5A922827"/>
    <w:rsid w:val="5AAE4D54"/>
    <w:rsid w:val="5ABC78BE"/>
    <w:rsid w:val="5AEF5910"/>
    <w:rsid w:val="5AF27EEA"/>
    <w:rsid w:val="5B190267"/>
    <w:rsid w:val="5B2A41A2"/>
    <w:rsid w:val="5B3462DB"/>
    <w:rsid w:val="5B8A53F0"/>
    <w:rsid w:val="5BE23FA0"/>
    <w:rsid w:val="5BE83DF7"/>
    <w:rsid w:val="5BF57147"/>
    <w:rsid w:val="5C1D252D"/>
    <w:rsid w:val="5C4A343B"/>
    <w:rsid w:val="5C68140B"/>
    <w:rsid w:val="5C7E096E"/>
    <w:rsid w:val="5CA501CF"/>
    <w:rsid w:val="5CAD5509"/>
    <w:rsid w:val="5CFA6493"/>
    <w:rsid w:val="5CFF2939"/>
    <w:rsid w:val="5D3F2809"/>
    <w:rsid w:val="5D524BA4"/>
    <w:rsid w:val="5D686795"/>
    <w:rsid w:val="5DC26299"/>
    <w:rsid w:val="5DD12242"/>
    <w:rsid w:val="5DD23635"/>
    <w:rsid w:val="5DE512DE"/>
    <w:rsid w:val="5DE64C9E"/>
    <w:rsid w:val="5E236AF4"/>
    <w:rsid w:val="5E322ACA"/>
    <w:rsid w:val="5E527BEE"/>
    <w:rsid w:val="5E5532A1"/>
    <w:rsid w:val="5EA31851"/>
    <w:rsid w:val="5EB8089E"/>
    <w:rsid w:val="5EC50DCE"/>
    <w:rsid w:val="5EF24099"/>
    <w:rsid w:val="5EF92F75"/>
    <w:rsid w:val="5F0C4BB0"/>
    <w:rsid w:val="5F136266"/>
    <w:rsid w:val="5F170426"/>
    <w:rsid w:val="5F3A65CA"/>
    <w:rsid w:val="5F7166AC"/>
    <w:rsid w:val="5F7170F4"/>
    <w:rsid w:val="5FA33B34"/>
    <w:rsid w:val="600320E5"/>
    <w:rsid w:val="601605FD"/>
    <w:rsid w:val="60321DD6"/>
    <w:rsid w:val="605E1CCD"/>
    <w:rsid w:val="60BA03D4"/>
    <w:rsid w:val="60C1139C"/>
    <w:rsid w:val="60CD216B"/>
    <w:rsid w:val="60EE2807"/>
    <w:rsid w:val="60F05526"/>
    <w:rsid w:val="60F43E8A"/>
    <w:rsid w:val="61570983"/>
    <w:rsid w:val="61797832"/>
    <w:rsid w:val="618067DE"/>
    <w:rsid w:val="61841AEA"/>
    <w:rsid w:val="61890141"/>
    <w:rsid w:val="619F1C1D"/>
    <w:rsid w:val="61D212B8"/>
    <w:rsid w:val="61F94867"/>
    <w:rsid w:val="62016A75"/>
    <w:rsid w:val="62107B46"/>
    <w:rsid w:val="621A4119"/>
    <w:rsid w:val="623C05F2"/>
    <w:rsid w:val="62542C2D"/>
    <w:rsid w:val="62554602"/>
    <w:rsid w:val="625800B5"/>
    <w:rsid w:val="627C32F4"/>
    <w:rsid w:val="62A21A2F"/>
    <w:rsid w:val="62C3016F"/>
    <w:rsid w:val="62D11B44"/>
    <w:rsid w:val="63311296"/>
    <w:rsid w:val="63453190"/>
    <w:rsid w:val="635B6BBA"/>
    <w:rsid w:val="63646EFE"/>
    <w:rsid w:val="639167CE"/>
    <w:rsid w:val="63AA08A3"/>
    <w:rsid w:val="63CE1F61"/>
    <w:rsid w:val="63D713E5"/>
    <w:rsid w:val="6442256D"/>
    <w:rsid w:val="646003C9"/>
    <w:rsid w:val="64877B01"/>
    <w:rsid w:val="649A630B"/>
    <w:rsid w:val="64A546B5"/>
    <w:rsid w:val="64C2043E"/>
    <w:rsid w:val="65172ED7"/>
    <w:rsid w:val="65563E1B"/>
    <w:rsid w:val="65734EC1"/>
    <w:rsid w:val="657A739C"/>
    <w:rsid w:val="66046A7F"/>
    <w:rsid w:val="661622DA"/>
    <w:rsid w:val="662375E0"/>
    <w:rsid w:val="662D24D2"/>
    <w:rsid w:val="663D17A7"/>
    <w:rsid w:val="66457753"/>
    <w:rsid w:val="66913783"/>
    <w:rsid w:val="6712324A"/>
    <w:rsid w:val="67126FA0"/>
    <w:rsid w:val="67421039"/>
    <w:rsid w:val="6780741D"/>
    <w:rsid w:val="679000E4"/>
    <w:rsid w:val="67A606AE"/>
    <w:rsid w:val="68187453"/>
    <w:rsid w:val="68360854"/>
    <w:rsid w:val="683D2705"/>
    <w:rsid w:val="68930734"/>
    <w:rsid w:val="68A83FF9"/>
    <w:rsid w:val="68B86939"/>
    <w:rsid w:val="68E30521"/>
    <w:rsid w:val="68EB763C"/>
    <w:rsid w:val="68EE7BE7"/>
    <w:rsid w:val="698B41C5"/>
    <w:rsid w:val="69A24CB7"/>
    <w:rsid w:val="69C20011"/>
    <w:rsid w:val="69F97051"/>
    <w:rsid w:val="6A713CA6"/>
    <w:rsid w:val="6A7D6E15"/>
    <w:rsid w:val="6A81065F"/>
    <w:rsid w:val="6A86080E"/>
    <w:rsid w:val="6A8A3466"/>
    <w:rsid w:val="6A9A3B99"/>
    <w:rsid w:val="6AC24080"/>
    <w:rsid w:val="6AE7693A"/>
    <w:rsid w:val="6AF357A5"/>
    <w:rsid w:val="6AF61B84"/>
    <w:rsid w:val="6B025F8A"/>
    <w:rsid w:val="6B0F1C2C"/>
    <w:rsid w:val="6B1501BF"/>
    <w:rsid w:val="6B1945D3"/>
    <w:rsid w:val="6B304369"/>
    <w:rsid w:val="6B374207"/>
    <w:rsid w:val="6B5E5108"/>
    <w:rsid w:val="6BD73932"/>
    <w:rsid w:val="6BE94A72"/>
    <w:rsid w:val="6BFA3A90"/>
    <w:rsid w:val="6C217A2A"/>
    <w:rsid w:val="6C742149"/>
    <w:rsid w:val="6CBB1331"/>
    <w:rsid w:val="6CCB59AC"/>
    <w:rsid w:val="6CD04FC3"/>
    <w:rsid w:val="6CE87454"/>
    <w:rsid w:val="6D263CE8"/>
    <w:rsid w:val="6D5711EE"/>
    <w:rsid w:val="6D8E3D76"/>
    <w:rsid w:val="6DA01946"/>
    <w:rsid w:val="6DBA0D91"/>
    <w:rsid w:val="6DD16484"/>
    <w:rsid w:val="6DDC66D2"/>
    <w:rsid w:val="6E074E6C"/>
    <w:rsid w:val="6E101675"/>
    <w:rsid w:val="6E2B2250"/>
    <w:rsid w:val="6E38432C"/>
    <w:rsid w:val="6E996276"/>
    <w:rsid w:val="6EB84893"/>
    <w:rsid w:val="6EC17773"/>
    <w:rsid w:val="6EDB1F5A"/>
    <w:rsid w:val="6EE42CFA"/>
    <w:rsid w:val="6EFB1785"/>
    <w:rsid w:val="6EFB5C5C"/>
    <w:rsid w:val="6F170083"/>
    <w:rsid w:val="6F1B30CC"/>
    <w:rsid w:val="6F2804BA"/>
    <w:rsid w:val="6F404D55"/>
    <w:rsid w:val="6F575CE5"/>
    <w:rsid w:val="6FAA4C62"/>
    <w:rsid w:val="6FE96BA6"/>
    <w:rsid w:val="6FEB0701"/>
    <w:rsid w:val="700C77E8"/>
    <w:rsid w:val="702B4D0A"/>
    <w:rsid w:val="70315914"/>
    <w:rsid w:val="70421494"/>
    <w:rsid w:val="7043221E"/>
    <w:rsid w:val="70BE3227"/>
    <w:rsid w:val="710002D8"/>
    <w:rsid w:val="710F06D2"/>
    <w:rsid w:val="71391E79"/>
    <w:rsid w:val="717D3B92"/>
    <w:rsid w:val="71991037"/>
    <w:rsid w:val="71C33F74"/>
    <w:rsid w:val="71DB7284"/>
    <w:rsid w:val="71E93DA2"/>
    <w:rsid w:val="71F416E7"/>
    <w:rsid w:val="72136101"/>
    <w:rsid w:val="723A4F70"/>
    <w:rsid w:val="723C2B95"/>
    <w:rsid w:val="72545A30"/>
    <w:rsid w:val="725A52CF"/>
    <w:rsid w:val="72934591"/>
    <w:rsid w:val="7296025F"/>
    <w:rsid w:val="729A3DE9"/>
    <w:rsid w:val="72AF3121"/>
    <w:rsid w:val="72D26E9A"/>
    <w:rsid w:val="72F02046"/>
    <w:rsid w:val="733137FF"/>
    <w:rsid w:val="73470530"/>
    <w:rsid w:val="737B3689"/>
    <w:rsid w:val="738E1B86"/>
    <w:rsid w:val="73DD5347"/>
    <w:rsid w:val="74362FF6"/>
    <w:rsid w:val="74457357"/>
    <w:rsid w:val="746F6670"/>
    <w:rsid w:val="747E0407"/>
    <w:rsid w:val="7482691F"/>
    <w:rsid w:val="748A78F7"/>
    <w:rsid w:val="749E6084"/>
    <w:rsid w:val="74A226DB"/>
    <w:rsid w:val="74D209CC"/>
    <w:rsid w:val="74DB0F7D"/>
    <w:rsid w:val="74FF2BF5"/>
    <w:rsid w:val="750E36F3"/>
    <w:rsid w:val="75152A2C"/>
    <w:rsid w:val="75313752"/>
    <w:rsid w:val="753813B3"/>
    <w:rsid w:val="75564933"/>
    <w:rsid w:val="757277DC"/>
    <w:rsid w:val="75923ACB"/>
    <w:rsid w:val="76063733"/>
    <w:rsid w:val="761C3143"/>
    <w:rsid w:val="7627449B"/>
    <w:rsid w:val="76470B3A"/>
    <w:rsid w:val="766E4DF7"/>
    <w:rsid w:val="76751F0E"/>
    <w:rsid w:val="769977F4"/>
    <w:rsid w:val="76A95CE4"/>
    <w:rsid w:val="76B27754"/>
    <w:rsid w:val="76FF3874"/>
    <w:rsid w:val="771A2012"/>
    <w:rsid w:val="7728657F"/>
    <w:rsid w:val="775664DA"/>
    <w:rsid w:val="777B1787"/>
    <w:rsid w:val="778C2991"/>
    <w:rsid w:val="77973F99"/>
    <w:rsid w:val="77D63C13"/>
    <w:rsid w:val="77EC0B9A"/>
    <w:rsid w:val="77F105BF"/>
    <w:rsid w:val="77F647ED"/>
    <w:rsid w:val="780B0F22"/>
    <w:rsid w:val="78245B06"/>
    <w:rsid w:val="783B608B"/>
    <w:rsid w:val="785F7178"/>
    <w:rsid w:val="787A0BED"/>
    <w:rsid w:val="78984F50"/>
    <w:rsid w:val="78E6018F"/>
    <w:rsid w:val="78F73D45"/>
    <w:rsid w:val="79275157"/>
    <w:rsid w:val="79437218"/>
    <w:rsid w:val="794F20CB"/>
    <w:rsid w:val="795E56C1"/>
    <w:rsid w:val="79702AA3"/>
    <w:rsid w:val="798A4FA4"/>
    <w:rsid w:val="79A612EF"/>
    <w:rsid w:val="79C57F15"/>
    <w:rsid w:val="79D044D9"/>
    <w:rsid w:val="7A1A2156"/>
    <w:rsid w:val="7A291821"/>
    <w:rsid w:val="7A4935C7"/>
    <w:rsid w:val="7A5D746E"/>
    <w:rsid w:val="7A742E2B"/>
    <w:rsid w:val="7A7C7FDC"/>
    <w:rsid w:val="7A860DF3"/>
    <w:rsid w:val="7A984353"/>
    <w:rsid w:val="7AA769DA"/>
    <w:rsid w:val="7ADE72BD"/>
    <w:rsid w:val="7ADF480F"/>
    <w:rsid w:val="7AF21FC0"/>
    <w:rsid w:val="7AF76DC0"/>
    <w:rsid w:val="7B113F1E"/>
    <w:rsid w:val="7B160710"/>
    <w:rsid w:val="7B2578A5"/>
    <w:rsid w:val="7B32511F"/>
    <w:rsid w:val="7B545ADE"/>
    <w:rsid w:val="7B5C47F2"/>
    <w:rsid w:val="7B747208"/>
    <w:rsid w:val="7B980C9A"/>
    <w:rsid w:val="7B9C41CF"/>
    <w:rsid w:val="7BA74FD9"/>
    <w:rsid w:val="7BC472A5"/>
    <w:rsid w:val="7BCF490A"/>
    <w:rsid w:val="7BD22565"/>
    <w:rsid w:val="7BD261C4"/>
    <w:rsid w:val="7C0B4872"/>
    <w:rsid w:val="7C3B3DD4"/>
    <w:rsid w:val="7C4262A0"/>
    <w:rsid w:val="7CAB5908"/>
    <w:rsid w:val="7D0617F9"/>
    <w:rsid w:val="7D1E3BF2"/>
    <w:rsid w:val="7D403DD7"/>
    <w:rsid w:val="7D434B64"/>
    <w:rsid w:val="7D6A59B8"/>
    <w:rsid w:val="7DA95C2E"/>
    <w:rsid w:val="7DB50D8F"/>
    <w:rsid w:val="7DF62F52"/>
    <w:rsid w:val="7DFC6B13"/>
    <w:rsid w:val="7E022519"/>
    <w:rsid w:val="7E0C589C"/>
    <w:rsid w:val="7E1D5FDA"/>
    <w:rsid w:val="7E513250"/>
    <w:rsid w:val="7E634B20"/>
    <w:rsid w:val="7E9A1E11"/>
    <w:rsid w:val="7EA40A04"/>
    <w:rsid w:val="7ECE3D14"/>
    <w:rsid w:val="7EDC080E"/>
    <w:rsid w:val="7F03759F"/>
    <w:rsid w:val="7F573686"/>
    <w:rsid w:val="7F813EE4"/>
    <w:rsid w:val="7FB06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4">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5">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paragraph" w:styleId="6">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7">
    <w:name w:val="Plain Text"/>
    <w:basedOn w:val="1"/>
    <w:next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8">
    <w:name w:val="toc 2"/>
    <w:basedOn w:val="1"/>
    <w:next w:val="1"/>
    <w:qFormat/>
    <w:uiPriority w:val="39"/>
    <w:pPr>
      <w:tabs>
        <w:tab w:val="right" w:leader="dot" w:pos="9005"/>
      </w:tabs>
      <w:spacing w:line="360" w:lineRule="auto"/>
      <w:ind w:left="200" w:hanging="200" w:hangingChars="200"/>
    </w:pPr>
    <w:rPr>
      <w:rFonts w:ascii="Times New Roman"/>
      <w:sz w:val="24"/>
    </w:rPr>
  </w:style>
  <w:style w:type="paragraph" w:styleId="9">
    <w:name w:val="Normal (Web)"/>
    <w:basedOn w:val="1"/>
    <w:qFormat/>
    <w:uiPriority w:val="0"/>
    <w:pPr>
      <w:spacing w:beforeAutospacing="1" w:afterAutospacing="1"/>
      <w:jc w:val="left"/>
    </w:pPr>
    <w:rPr>
      <w:kern w:val="0"/>
      <w:sz w:val="24"/>
    </w:rPr>
  </w:style>
  <w:style w:type="paragraph" w:styleId="10">
    <w:name w:val="Body Text First Indent"/>
    <w:basedOn w:val="2"/>
    <w:next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kern w:val="0"/>
      <w:sz w:val="24"/>
      <w:lang w:val="en-US" w:eastAsia="zh-CN"/>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正文首行缩进1"/>
    <w:basedOn w:val="1"/>
    <w:qFormat/>
    <w:uiPriority w:val="0"/>
    <w:pPr>
      <w:spacing w:line="360" w:lineRule="auto"/>
      <w:ind w:firstLine="200" w:firstLineChars="200"/>
    </w:pPr>
    <w:rPr>
      <w:kern w:val="2"/>
      <w:sz w:val="24"/>
      <w:szCs w:val="24"/>
    </w:rPr>
  </w:style>
  <w:style w:type="paragraph" w:customStyle="1" w:styleId="15">
    <w:name w:val="paragraph"/>
    <w:basedOn w:val="1"/>
    <w:qFormat/>
    <w:uiPriority w:val="0"/>
    <w:pPr>
      <w:widowControl/>
      <w:spacing w:before="100" w:beforeAutospacing="1" w:after="100" w:afterAutospacing="1"/>
      <w:jc w:val="left"/>
    </w:pPr>
    <w:rPr>
      <w:rFonts w:ascii="宋体" w:hAnsi="宋体" w:cs="宋体"/>
      <w:kern w:val="0"/>
      <w:sz w:val="24"/>
    </w:rPr>
  </w:style>
  <w:style w:type="paragraph" w:customStyle="1" w:styleId="16">
    <w:name w:val="表格文字"/>
    <w:basedOn w:val="7"/>
    <w:qFormat/>
    <w:uiPriority w:val="0"/>
    <w:pPr>
      <w:ind w:firstLine="22" w:firstLineChars="8"/>
      <w:textAlignment w:val="center"/>
    </w:pPr>
    <w:rPr>
      <w:rFonts w:ascii="Times New Roman" w:hAnsi="Times New Roman"/>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2022-08-15T10:27:00Z</dcterms:created>
  <dc:creator>顾开元</dc:creator>
  <cp:lastModifiedBy>韦将俊</cp:lastModifiedBy>
  <dcterms:modified xsi:type="dcterms:W3CDTF">2025-11-20T06:45:24Z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75CA45D13F8F4A8DAFE82F78A7F9BE63</vt:lpwstr>
  </property>
</Properties>
</file>