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828DE">
      <w:pPr>
        <w:jc w:val="center"/>
        <w:rPr>
          <w:b/>
        </w:rPr>
      </w:pPr>
      <w:r>
        <w:rPr>
          <w:b/>
        </w:rPr>
        <w:drawing>
          <wp:anchor distT="0" distB="0" distL="114300" distR="114300" simplePos="0" relativeHeight="251659264" behindDoc="0" locked="0" layoutInCell="1" allowOverlap="1">
            <wp:simplePos x="0" y="0"/>
            <wp:positionH relativeFrom="column">
              <wp:posOffset>-1409700</wp:posOffset>
            </wp:positionH>
            <wp:positionV relativeFrom="paragraph">
              <wp:posOffset>-942975</wp:posOffset>
            </wp:positionV>
            <wp:extent cx="8447405" cy="2895600"/>
            <wp:effectExtent l="0" t="0" r="10795" b="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rcRect b="75984"/>
                    <a:stretch>
                      <a:fillRect/>
                    </a:stretch>
                  </pic:blipFill>
                  <pic:spPr>
                    <a:xfrm>
                      <a:off x="0" y="0"/>
                      <a:ext cx="8447405" cy="2895600"/>
                    </a:xfrm>
                    <a:prstGeom prst="rect">
                      <a:avLst/>
                    </a:prstGeom>
                    <a:noFill/>
                    <a:ln>
                      <a:noFill/>
                    </a:ln>
                  </pic:spPr>
                </pic:pic>
              </a:graphicData>
            </a:graphic>
          </wp:anchor>
        </w:drawing>
      </w:r>
    </w:p>
    <w:p w14:paraId="3B4CBC92">
      <w:pPr>
        <w:jc w:val="center"/>
        <w:rPr>
          <w:b/>
        </w:rPr>
      </w:pPr>
    </w:p>
    <w:p w14:paraId="7C054452">
      <w:pPr>
        <w:jc w:val="center"/>
        <w:rPr>
          <w:b/>
        </w:rPr>
      </w:pPr>
    </w:p>
    <w:p w14:paraId="494D1D19">
      <w:pPr>
        <w:jc w:val="center"/>
        <w:rPr>
          <w:b/>
        </w:rPr>
      </w:pPr>
    </w:p>
    <w:p w14:paraId="2D43DBE2">
      <w:pPr>
        <w:jc w:val="center"/>
        <w:rPr>
          <w:b/>
        </w:rPr>
      </w:pPr>
    </w:p>
    <w:p w14:paraId="222D677E">
      <w:pPr>
        <w:spacing w:line="300" w:lineRule="auto"/>
        <w:rPr>
          <w:b/>
          <w:sz w:val="36"/>
          <w:szCs w:val="36"/>
        </w:rPr>
      </w:pPr>
    </w:p>
    <w:p w14:paraId="33ED4AE2">
      <w:pPr>
        <w:spacing w:line="300" w:lineRule="auto"/>
        <w:jc w:val="center"/>
        <w:rPr>
          <w:b/>
          <w:sz w:val="36"/>
          <w:szCs w:val="36"/>
        </w:rPr>
      </w:pPr>
    </w:p>
    <w:p w14:paraId="4E985E38">
      <w:pPr>
        <w:tabs>
          <w:tab w:val="left" w:pos="480"/>
        </w:tabs>
        <w:adjustRightInd w:val="0"/>
        <w:snapToGrid w:val="0"/>
        <w:jc w:val="center"/>
        <w:rPr>
          <w:rFonts w:hint="eastAsia"/>
          <w:b/>
          <w:sz w:val="44"/>
          <w:szCs w:val="44"/>
          <w:lang w:val="en-US" w:eastAsia="zh-CN"/>
        </w:rPr>
      </w:pPr>
      <w:r>
        <w:rPr>
          <w:rFonts w:hint="eastAsia"/>
          <w:b/>
          <w:sz w:val="44"/>
          <w:szCs w:val="44"/>
          <w:lang w:val="en-US" w:eastAsia="zh-CN"/>
        </w:rPr>
        <w:t>输变设备发热缺陷控制及跟踪装置</w:t>
      </w:r>
    </w:p>
    <w:p w14:paraId="509EAF55">
      <w:pPr>
        <w:tabs>
          <w:tab w:val="left" w:pos="480"/>
        </w:tabs>
        <w:adjustRightInd w:val="0"/>
        <w:snapToGrid w:val="0"/>
        <w:jc w:val="center"/>
        <w:rPr>
          <w:b/>
          <w:sz w:val="44"/>
          <w:szCs w:val="44"/>
        </w:rPr>
      </w:pPr>
      <w:r>
        <w:rPr>
          <w:b/>
          <w:sz w:val="44"/>
          <w:szCs w:val="44"/>
        </w:rPr>
        <w:t>技术规范</w:t>
      </w:r>
      <w:r>
        <w:rPr>
          <w:rFonts w:hint="eastAsia"/>
          <w:b/>
          <w:sz w:val="44"/>
          <w:szCs w:val="44"/>
        </w:rPr>
        <w:t>书</w:t>
      </w:r>
    </w:p>
    <w:p w14:paraId="1D5CBFB9">
      <w:pPr>
        <w:jc w:val="center"/>
        <w:rPr>
          <w:b/>
          <w:sz w:val="44"/>
          <w:szCs w:val="44"/>
        </w:rPr>
      </w:pPr>
    </w:p>
    <w:p w14:paraId="1E13E507">
      <w:pPr>
        <w:jc w:val="center"/>
        <w:rPr>
          <w:b/>
        </w:rPr>
      </w:pPr>
    </w:p>
    <w:p w14:paraId="70C3611C">
      <w:pPr>
        <w:jc w:val="center"/>
        <w:rPr>
          <w:b/>
        </w:rPr>
      </w:pPr>
    </w:p>
    <w:p w14:paraId="15BB8018">
      <w:pPr>
        <w:jc w:val="center"/>
        <w:rPr>
          <w:b/>
        </w:rPr>
      </w:pPr>
    </w:p>
    <w:p w14:paraId="272EFFFE">
      <w:pPr>
        <w:jc w:val="center"/>
        <w:rPr>
          <w:b/>
        </w:rPr>
      </w:pPr>
    </w:p>
    <w:p w14:paraId="66199B06">
      <w:pPr>
        <w:jc w:val="center"/>
        <w:rPr>
          <w:rFonts w:hint="eastAsia"/>
          <w:b/>
        </w:rPr>
      </w:pPr>
    </w:p>
    <w:p w14:paraId="791A990B">
      <w:pPr>
        <w:pStyle w:val="16"/>
        <w:ind w:left="480"/>
        <w:rPr>
          <w:rFonts w:hint="eastAsia"/>
        </w:rPr>
      </w:pPr>
    </w:p>
    <w:p w14:paraId="7112A3F1">
      <w:pPr>
        <w:rPr>
          <w:rFonts w:hint="eastAsia"/>
        </w:rPr>
      </w:pPr>
    </w:p>
    <w:p w14:paraId="31F21440">
      <w:pPr>
        <w:pStyle w:val="16"/>
        <w:ind w:left="480"/>
      </w:pPr>
    </w:p>
    <w:p w14:paraId="0C876DC9">
      <w:pPr>
        <w:rPr>
          <w:b/>
        </w:rPr>
      </w:pPr>
    </w:p>
    <w:p w14:paraId="6DDC4B1B">
      <w:pPr>
        <w:rPr>
          <w:b/>
        </w:rPr>
      </w:pPr>
    </w:p>
    <w:p w14:paraId="66A5E207">
      <w:pPr>
        <w:jc w:val="center"/>
        <w:rPr>
          <w:rFonts w:hint="default" w:eastAsia="宋体"/>
          <w:b/>
          <w:sz w:val="30"/>
          <w:szCs w:val="30"/>
          <w:lang w:val="en-US" w:eastAsia="zh-CN"/>
        </w:rPr>
      </w:pPr>
      <w:r>
        <w:rPr>
          <w:rFonts w:hint="eastAsia"/>
          <w:b/>
          <w:sz w:val="30"/>
          <w:szCs w:val="30"/>
        </w:rPr>
        <w:t>海口</w:t>
      </w:r>
      <w:r>
        <w:rPr>
          <w:rFonts w:hint="eastAsia"/>
          <w:b/>
          <w:sz w:val="30"/>
          <w:szCs w:val="30"/>
          <w:lang w:val="en-US" w:eastAsia="zh-CN"/>
        </w:rPr>
        <w:t>变电分公司</w:t>
      </w:r>
    </w:p>
    <w:p w14:paraId="298AFD9F">
      <w:pPr>
        <w:jc w:val="center"/>
        <w:rPr>
          <w:b/>
          <w:sz w:val="30"/>
          <w:szCs w:val="30"/>
        </w:rPr>
      </w:pPr>
      <w:r>
        <w:rPr>
          <w:b/>
          <w:sz w:val="30"/>
          <w:szCs w:val="30"/>
        </w:rPr>
        <w:t>二〇</w:t>
      </w:r>
      <w:r>
        <w:rPr>
          <w:rFonts w:hint="eastAsia"/>
          <w:b/>
          <w:sz w:val="30"/>
          <w:szCs w:val="30"/>
        </w:rPr>
        <w:t>二五</w:t>
      </w:r>
      <w:r>
        <w:rPr>
          <w:b/>
          <w:sz w:val="30"/>
          <w:szCs w:val="30"/>
        </w:rPr>
        <w:t>年</w:t>
      </w:r>
      <w:r>
        <w:rPr>
          <w:rFonts w:hint="eastAsia"/>
          <w:b/>
          <w:sz w:val="30"/>
          <w:szCs w:val="30"/>
        </w:rPr>
        <w:t>二</w:t>
      </w:r>
      <w:r>
        <w:rPr>
          <w:b/>
          <w:sz w:val="30"/>
          <w:szCs w:val="30"/>
        </w:rPr>
        <w:t>月</w:t>
      </w:r>
    </w:p>
    <w:p w14:paraId="3E2FE513">
      <w:pPr>
        <w:jc w:val="center"/>
        <w:rPr>
          <w:b/>
          <w:sz w:val="30"/>
          <w:szCs w:val="30"/>
        </w:rPr>
      </w:pPr>
    </w:p>
    <w:p w14:paraId="0E10EB1A">
      <w:pPr>
        <w:pStyle w:val="16"/>
      </w:pPr>
    </w:p>
    <w:p w14:paraId="3B53C99D">
      <w:pPr>
        <w:jc w:val="center"/>
        <w:rPr>
          <w:b/>
          <w:sz w:val="30"/>
          <w:szCs w:val="30"/>
        </w:rPr>
        <w:sectPr>
          <w:headerReference r:id="rId5" w:type="default"/>
          <w:footerReference r:id="rId6" w:type="default"/>
          <w:pgSz w:w="11906" w:h="16838"/>
          <w:pgMar w:top="1440" w:right="1800" w:bottom="1440" w:left="1800" w:header="851" w:footer="992" w:gutter="0"/>
          <w:cols w:space="720" w:num="1"/>
          <w:docGrid w:type="lines" w:linePitch="312" w:charSpace="0"/>
        </w:sectPr>
      </w:pPr>
    </w:p>
    <w:p w14:paraId="01CC7504">
      <w:pPr>
        <w:jc w:val="center"/>
        <w:rPr>
          <w:b/>
          <w:sz w:val="30"/>
          <w:szCs w:val="30"/>
        </w:rPr>
      </w:pPr>
      <w:r>
        <w:rPr>
          <w:b/>
          <w:sz w:val="30"/>
          <w:szCs w:val="30"/>
        </w:rPr>
        <w:t>目  录</w:t>
      </w:r>
    </w:p>
    <w:p w14:paraId="116522A5">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8"/>
          <w:szCs w:val="28"/>
        </w:rPr>
        <w:fldChar w:fldCharType="begin"/>
      </w:r>
      <w:r>
        <w:rPr>
          <w:sz w:val="28"/>
          <w:szCs w:val="28"/>
        </w:rPr>
        <w:instrText xml:space="preserve"> TOC \o "1-3" \h \z \u </w:instrText>
      </w:r>
      <w:r>
        <w:rPr>
          <w:sz w:val="28"/>
          <w:szCs w:val="28"/>
        </w:rPr>
        <w:fldChar w:fldCharType="separate"/>
      </w:r>
      <w:r>
        <w:rPr>
          <w:sz w:val="24"/>
          <w:szCs w:val="24"/>
        </w:rPr>
        <w:fldChar w:fldCharType="begin"/>
      </w:r>
      <w:r>
        <w:rPr>
          <w:sz w:val="24"/>
          <w:szCs w:val="24"/>
        </w:rPr>
        <w:instrText xml:space="preserve"> HYPERLINK \l _Toc21480 </w:instrText>
      </w:r>
      <w:r>
        <w:rPr>
          <w:sz w:val="24"/>
          <w:szCs w:val="24"/>
        </w:rPr>
        <w:fldChar w:fldCharType="separate"/>
      </w:r>
      <w:r>
        <w:rPr>
          <w:rFonts w:hint="eastAsia" w:ascii="Times New Roman" w:hAnsi="Times New Roman"/>
          <w:sz w:val="24"/>
          <w:szCs w:val="24"/>
        </w:rPr>
        <w:t>1.总则</w:t>
      </w:r>
      <w:r>
        <w:rPr>
          <w:sz w:val="24"/>
          <w:szCs w:val="24"/>
        </w:rPr>
        <w:tab/>
      </w:r>
      <w:r>
        <w:rPr>
          <w:sz w:val="24"/>
          <w:szCs w:val="24"/>
        </w:rPr>
        <w:fldChar w:fldCharType="begin"/>
      </w:r>
      <w:r>
        <w:rPr>
          <w:sz w:val="24"/>
          <w:szCs w:val="24"/>
        </w:rPr>
        <w:instrText xml:space="preserve"> PAGEREF _Toc21480 \h </w:instrText>
      </w:r>
      <w:r>
        <w:rPr>
          <w:sz w:val="24"/>
          <w:szCs w:val="24"/>
        </w:rPr>
        <w:fldChar w:fldCharType="separate"/>
      </w:r>
      <w:r>
        <w:rPr>
          <w:sz w:val="24"/>
          <w:szCs w:val="24"/>
        </w:rPr>
        <w:t>1</w:t>
      </w:r>
      <w:r>
        <w:rPr>
          <w:sz w:val="24"/>
          <w:szCs w:val="24"/>
        </w:rPr>
        <w:fldChar w:fldCharType="end"/>
      </w:r>
      <w:r>
        <w:rPr>
          <w:sz w:val="24"/>
          <w:szCs w:val="24"/>
        </w:rPr>
        <w:fldChar w:fldCharType="end"/>
      </w:r>
    </w:p>
    <w:p w14:paraId="2F34E564">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_Toc19353 </w:instrText>
      </w:r>
      <w:r>
        <w:rPr>
          <w:sz w:val="24"/>
          <w:szCs w:val="24"/>
        </w:rPr>
        <w:fldChar w:fldCharType="separate"/>
      </w:r>
      <w:r>
        <w:rPr>
          <w:rFonts w:hint="eastAsia" w:ascii="Times New Roman" w:hAnsi="Times New Roman"/>
          <w:sz w:val="24"/>
          <w:szCs w:val="24"/>
        </w:rPr>
        <w:t>2.项目目标</w:t>
      </w:r>
      <w:r>
        <w:rPr>
          <w:sz w:val="24"/>
          <w:szCs w:val="24"/>
        </w:rPr>
        <w:tab/>
      </w:r>
      <w:r>
        <w:rPr>
          <w:sz w:val="24"/>
          <w:szCs w:val="24"/>
        </w:rPr>
        <w:fldChar w:fldCharType="begin"/>
      </w:r>
      <w:r>
        <w:rPr>
          <w:sz w:val="24"/>
          <w:szCs w:val="24"/>
        </w:rPr>
        <w:instrText xml:space="preserve"> PAGEREF _Toc19353 \h </w:instrText>
      </w:r>
      <w:r>
        <w:rPr>
          <w:sz w:val="24"/>
          <w:szCs w:val="24"/>
        </w:rPr>
        <w:fldChar w:fldCharType="separate"/>
      </w:r>
      <w:r>
        <w:rPr>
          <w:sz w:val="24"/>
          <w:szCs w:val="24"/>
        </w:rPr>
        <w:t>1</w:t>
      </w:r>
      <w:r>
        <w:rPr>
          <w:sz w:val="24"/>
          <w:szCs w:val="24"/>
        </w:rPr>
        <w:fldChar w:fldCharType="end"/>
      </w:r>
      <w:r>
        <w:rPr>
          <w:sz w:val="24"/>
          <w:szCs w:val="24"/>
        </w:rPr>
        <w:fldChar w:fldCharType="end"/>
      </w:r>
    </w:p>
    <w:p w14:paraId="54F31A02">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_Toc17094 </w:instrText>
      </w:r>
      <w:r>
        <w:rPr>
          <w:sz w:val="24"/>
          <w:szCs w:val="24"/>
        </w:rPr>
        <w:fldChar w:fldCharType="separate"/>
      </w:r>
      <w:r>
        <w:rPr>
          <w:rFonts w:hint="eastAsia" w:ascii="Times New Roman" w:hAnsi="Times New Roman"/>
          <w:sz w:val="24"/>
          <w:szCs w:val="24"/>
        </w:rPr>
        <w:t>3.服务界限</w:t>
      </w:r>
      <w:r>
        <w:rPr>
          <w:sz w:val="24"/>
          <w:szCs w:val="24"/>
        </w:rPr>
        <w:tab/>
      </w:r>
      <w:r>
        <w:rPr>
          <w:sz w:val="24"/>
          <w:szCs w:val="24"/>
        </w:rPr>
        <w:fldChar w:fldCharType="begin"/>
      </w:r>
      <w:r>
        <w:rPr>
          <w:sz w:val="24"/>
          <w:szCs w:val="24"/>
        </w:rPr>
        <w:instrText xml:space="preserve"> PAGEREF _Toc17094 \h </w:instrText>
      </w:r>
      <w:r>
        <w:rPr>
          <w:sz w:val="24"/>
          <w:szCs w:val="24"/>
        </w:rPr>
        <w:fldChar w:fldCharType="separate"/>
      </w:r>
      <w:r>
        <w:rPr>
          <w:sz w:val="24"/>
          <w:szCs w:val="24"/>
        </w:rPr>
        <w:t>1</w:t>
      </w:r>
      <w:r>
        <w:rPr>
          <w:sz w:val="24"/>
          <w:szCs w:val="24"/>
        </w:rPr>
        <w:fldChar w:fldCharType="end"/>
      </w:r>
      <w:r>
        <w:rPr>
          <w:sz w:val="24"/>
          <w:szCs w:val="24"/>
        </w:rPr>
        <w:fldChar w:fldCharType="end"/>
      </w:r>
    </w:p>
    <w:p w14:paraId="67FFAD68">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_Toc15022 </w:instrText>
      </w:r>
      <w:r>
        <w:rPr>
          <w:sz w:val="24"/>
          <w:szCs w:val="24"/>
        </w:rPr>
        <w:fldChar w:fldCharType="separate"/>
      </w:r>
      <w:r>
        <w:rPr>
          <w:rFonts w:hint="eastAsia" w:ascii="Times New Roman" w:hAnsi="Times New Roman"/>
          <w:sz w:val="24"/>
          <w:szCs w:val="24"/>
        </w:rPr>
        <w:t>4.项目总体要求</w:t>
      </w:r>
      <w:r>
        <w:rPr>
          <w:sz w:val="24"/>
          <w:szCs w:val="24"/>
        </w:rPr>
        <w:tab/>
      </w:r>
      <w:r>
        <w:rPr>
          <w:sz w:val="24"/>
          <w:szCs w:val="24"/>
        </w:rPr>
        <w:fldChar w:fldCharType="begin"/>
      </w:r>
      <w:r>
        <w:rPr>
          <w:sz w:val="24"/>
          <w:szCs w:val="24"/>
        </w:rPr>
        <w:instrText xml:space="preserve"> PAGEREF _Toc15022 \h </w:instrText>
      </w:r>
      <w:r>
        <w:rPr>
          <w:sz w:val="24"/>
          <w:szCs w:val="24"/>
        </w:rPr>
        <w:fldChar w:fldCharType="separate"/>
      </w:r>
      <w:r>
        <w:rPr>
          <w:sz w:val="24"/>
          <w:szCs w:val="24"/>
        </w:rPr>
        <w:t>2</w:t>
      </w:r>
      <w:r>
        <w:rPr>
          <w:sz w:val="24"/>
          <w:szCs w:val="24"/>
        </w:rPr>
        <w:fldChar w:fldCharType="end"/>
      </w:r>
      <w:r>
        <w:rPr>
          <w:sz w:val="24"/>
          <w:szCs w:val="24"/>
        </w:rPr>
        <w:fldChar w:fldCharType="end"/>
      </w:r>
    </w:p>
    <w:p w14:paraId="481EAA8C">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_Toc4633 </w:instrText>
      </w:r>
      <w:r>
        <w:rPr>
          <w:sz w:val="24"/>
          <w:szCs w:val="24"/>
        </w:rPr>
        <w:fldChar w:fldCharType="separate"/>
      </w:r>
      <w:r>
        <w:rPr>
          <w:rFonts w:hint="eastAsia" w:ascii="Times New Roman" w:hAnsi="Times New Roman"/>
          <w:sz w:val="24"/>
          <w:szCs w:val="24"/>
        </w:rPr>
        <w:t>5.</w:t>
      </w:r>
      <w:r>
        <w:rPr>
          <w:rFonts w:ascii="Times New Roman" w:hAnsi="Times New Roman"/>
          <w:sz w:val="24"/>
          <w:szCs w:val="24"/>
        </w:rPr>
        <w:t xml:space="preserve"> </w:t>
      </w:r>
      <w:r>
        <w:rPr>
          <w:rFonts w:hint="eastAsia" w:ascii="Times New Roman" w:hAnsi="Times New Roman"/>
          <w:sz w:val="24"/>
          <w:szCs w:val="24"/>
        </w:rPr>
        <w:t>技术要求与指标</w:t>
      </w:r>
      <w:r>
        <w:rPr>
          <w:sz w:val="24"/>
          <w:szCs w:val="24"/>
        </w:rPr>
        <w:tab/>
      </w:r>
      <w:r>
        <w:rPr>
          <w:sz w:val="24"/>
          <w:szCs w:val="24"/>
        </w:rPr>
        <w:fldChar w:fldCharType="begin"/>
      </w:r>
      <w:r>
        <w:rPr>
          <w:sz w:val="24"/>
          <w:szCs w:val="24"/>
        </w:rPr>
        <w:instrText xml:space="preserve"> PAGEREF _Toc4633 \h </w:instrText>
      </w:r>
      <w:r>
        <w:rPr>
          <w:sz w:val="24"/>
          <w:szCs w:val="24"/>
        </w:rPr>
        <w:fldChar w:fldCharType="separate"/>
      </w:r>
      <w:r>
        <w:rPr>
          <w:sz w:val="24"/>
          <w:szCs w:val="24"/>
        </w:rPr>
        <w:t>2</w:t>
      </w:r>
      <w:r>
        <w:rPr>
          <w:sz w:val="24"/>
          <w:szCs w:val="24"/>
        </w:rPr>
        <w:fldChar w:fldCharType="end"/>
      </w:r>
      <w:r>
        <w:rPr>
          <w:sz w:val="24"/>
          <w:szCs w:val="24"/>
        </w:rPr>
        <w:fldChar w:fldCharType="end"/>
      </w:r>
    </w:p>
    <w:p w14:paraId="146E8CC2">
      <w:pPr>
        <w:pStyle w:val="10"/>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_Toc2082 </w:instrText>
      </w:r>
      <w:r>
        <w:rPr>
          <w:sz w:val="24"/>
          <w:szCs w:val="24"/>
        </w:rPr>
        <w:fldChar w:fldCharType="separate"/>
      </w:r>
      <w:r>
        <w:rPr>
          <w:rFonts w:hint="eastAsia"/>
          <w:sz w:val="24"/>
          <w:szCs w:val="24"/>
        </w:rPr>
        <w:t>5.1功能概况</w:t>
      </w:r>
      <w:r>
        <w:rPr>
          <w:sz w:val="24"/>
          <w:szCs w:val="24"/>
        </w:rPr>
        <w:tab/>
      </w:r>
      <w:r>
        <w:rPr>
          <w:sz w:val="24"/>
          <w:szCs w:val="24"/>
        </w:rPr>
        <w:fldChar w:fldCharType="begin"/>
      </w:r>
      <w:r>
        <w:rPr>
          <w:sz w:val="24"/>
          <w:szCs w:val="24"/>
        </w:rPr>
        <w:instrText xml:space="preserve"> PAGEREF _Toc2082 \h </w:instrText>
      </w:r>
      <w:r>
        <w:rPr>
          <w:sz w:val="24"/>
          <w:szCs w:val="24"/>
        </w:rPr>
        <w:fldChar w:fldCharType="separate"/>
      </w:r>
      <w:r>
        <w:rPr>
          <w:sz w:val="24"/>
          <w:szCs w:val="24"/>
        </w:rPr>
        <w:t>2</w:t>
      </w:r>
      <w:r>
        <w:rPr>
          <w:sz w:val="24"/>
          <w:szCs w:val="24"/>
        </w:rPr>
        <w:fldChar w:fldCharType="end"/>
      </w:r>
      <w:r>
        <w:rPr>
          <w:sz w:val="24"/>
          <w:szCs w:val="24"/>
        </w:rPr>
        <w:fldChar w:fldCharType="end"/>
      </w:r>
    </w:p>
    <w:p w14:paraId="46D1E3BD">
      <w:pPr>
        <w:pStyle w:val="10"/>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_Toc17437 </w:instrText>
      </w:r>
      <w:r>
        <w:rPr>
          <w:sz w:val="24"/>
          <w:szCs w:val="24"/>
        </w:rPr>
        <w:fldChar w:fldCharType="separate"/>
      </w:r>
      <w:r>
        <w:rPr>
          <w:rFonts w:hint="eastAsia"/>
          <w:sz w:val="24"/>
          <w:szCs w:val="24"/>
        </w:rPr>
        <w:t>5.</w:t>
      </w:r>
      <w:r>
        <w:rPr>
          <w:sz w:val="24"/>
          <w:szCs w:val="24"/>
        </w:rPr>
        <w:t>2</w:t>
      </w:r>
      <w:r>
        <w:rPr>
          <w:rFonts w:hint="eastAsia"/>
          <w:sz w:val="24"/>
          <w:szCs w:val="24"/>
        </w:rPr>
        <w:t xml:space="preserve"> 主要技术指标</w:t>
      </w:r>
      <w:r>
        <w:rPr>
          <w:sz w:val="24"/>
          <w:szCs w:val="24"/>
        </w:rPr>
        <w:tab/>
      </w:r>
      <w:r>
        <w:rPr>
          <w:sz w:val="24"/>
          <w:szCs w:val="24"/>
        </w:rPr>
        <w:fldChar w:fldCharType="begin"/>
      </w:r>
      <w:r>
        <w:rPr>
          <w:sz w:val="24"/>
          <w:szCs w:val="24"/>
        </w:rPr>
        <w:instrText xml:space="preserve"> PAGEREF _Toc17437 \h </w:instrText>
      </w:r>
      <w:r>
        <w:rPr>
          <w:sz w:val="24"/>
          <w:szCs w:val="24"/>
        </w:rPr>
        <w:fldChar w:fldCharType="separate"/>
      </w:r>
      <w:r>
        <w:rPr>
          <w:sz w:val="24"/>
          <w:szCs w:val="24"/>
        </w:rPr>
        <w:t>2</w:t>
      </w:r>
      <w:r>
        <w:rPr>
          <w:sz w:val="24"/>
          <w:szCs w:val="24"/>
        </w:rPr>
        <w:fldChar w:fldCharType="end"/>
      </w:r>
      <w:r>
        <w:rPr>
          <w:sz w:val="24"/>
          <w:szCs w:val="24"/>
        </w:rPr>
        <w:fldChar w:fldCharType="end"/>
      </w:r>
    </w:p>
    <w:p w14:paraId="1DEDEE98">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_Toc30363 </w:instrText>
      </w:r>
      <w:r>
        <w:rPr>
          <w:sz w:val="24"/>
          <w:szCs w:val="24"/>
        </w:rPr>
        <w:fldChar w:fldCharType="separate"/>
      </w:r>
      <w:r>
        <w:rPr>
          <w:rFonts w:hint="eastAsia" w:ascii="Times New Roman" w:hAnsi="Times New Roman"/>
          <w:sz w:val="24"/>
          <w:szCs w:val="24"/>
        </w:rPr>
        <w:t>6.项目管理</w:t>
      </w:r>
      <w:r>
        <w:rPr>
          <w:sz w:val="24"/>
          <w:szCs w:val="24"/>
        </w:rPr>
        <w:tab/>
      </w:r>
      <w:r>
        <w:rPr>
          <w:sz w:val="24"/>
          <w:szCs w:val="24"/>
        </w:rPr>
        <w:fldChar w:fldCharType="begin"/>
      </w:r>
      <w:r>
        <w:rPr>
          <w:sz w:val="24"/>
          <w:szCs w:val="24"/>
        </w:rPr>
        <w:instrText xml:space="preserve"> PAGEREF _Toc30363 \h </w:instrText>
      </w:r>
      <w:r>
        <w:rPr>
          <w:sz w:val="24"/>
          <w:szCs w:val="24"/>
        </w:rPr>
        <w:fldChar w:fldCharType="separate"/>
      </w:r>
      <w:r>
        <w:rPr>
          <w:sz w:val="24"/>
          <w:szCs w:val="24"/>
        </w:rPr>
        <w:t>4</w:t>
      </w:r>
      <w:r>
        <w:rPr>
          <w:sz w:val="24"/>
          <w:szCs w:val="24"/>
        </w:rPr>
        <w:fldChar w:fldCharType="end"/>
      </w:r>
      <w:r>
        <w:rPr>
          <w:sz w:val="24"/>
          <w:szCs w:val="24"/>
        </w:rPr>
        <w:fldChar w:fldCharType="end"/>
      </w:r>
    </w:p>
    <w:p w14:paraId="1D7605E1">
      <w:pPr>
        <w:pStyle w:val="10"/>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_Toc28012 </w:instrText>
      </w:r>
      <w:r>
        <w:rPr>
          <w:sz w:val="24"/>
          <w:szCs w:val="24"/>
        </w:rPr>
        <w:fldChar w:fldCharType="separate"/>
      </w:r>
      <w:r>
        <w:rPr>
          <w:rFonts w:hint="eastAsia"/>
          <w:sz w:val="24"/>
          <w:szCs w:val="24"/>
        </w:rPr>
        <w:t>6.1</w:t>
      </w:r>
      <w:r>
        <w:rPr>
          <w:sz w:val="24"/>
          <w:szCs w:val="24"/>
        </w:rPr>
        <w:t>项目管理</w:t>
      </w:r>
      <w:r>
        <w:rPr>
          <w:sz w:val="24"/>
          <w:szCs w:val="24"/>
        </w:rPr>
        <w:tab/>
      </w:r>
      <w:r>
        <w:rPr>
          <w:sz w:val="24"/>
          <w:szCs w:val="24"/>
        </w:rPr>
        <w:fldChar w:fldCharType="begin"/>
      </w:r>
      <w:r>
        <w:rPr>
          <w:sz w:val="24"/>
          <w:szCs w:val="24"/>
        </w:rPr>
        <w:instrText xml:space="preserve"> PAGEREF _Toc28012 \h </w:instrText>
      </w:r>
      <w:r>
        <w:rPr>
          <w:sz w:val="24"/>
          <w:szCs w:val="24"/>
        </w:rPr>
        <w:fldChar w:fldCharType="separate"/>
      </w:r>
      <w:r>
        <w:rPr>
          <w:sz w:val="24"/>
          <w:szCs w:val="24"/>
        </w:rPr>
        <w:t>4</w:t>
      </w:r>
      <w:r>
        <w:rPr>
          <w:sz w:val="24"/>
          <w:szCs w:val="24"/>
        </w:rPr>
        <w:fldChar w:fldCharType="end"/>
      </w:r>
      <w:r>
        <w:rPr>
          <w:sz w:val="24"/>
          <w:szCs w:val="24"/>
        </w:rPr>
        <w:fldChar w:fldCharType="end"/>
      </w:r>
    </w:p>
    <w:p w14:paraId="5071A0D2">
      <w:pPr>
        <w:pStyle w:val="10"/>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_Toc30555 </w:instrText>
      </w:r>
      <w:r>
        <w:rPr>
          <w:sz w:val="24"/>
          <w:szCs w:val="24"/>
        </w:rPr>
        <w:fldChar w:fldCharType="separate"/>
      </w:r>
      <w:r>
        <w:rPr>
          <w:rFonts w:hint="eastAsia"/>
          <w:sz w:val="24"/>
          <w:szCs w:val="24"/>
        </w:rPr>
        <w:t>6.2质量保证</w:t>
      </w:r>
      <w:r>
        <w:rPr>
          <w:sz w:val="24"/>
          <w:szCs w:val="24"/>
        </w:rPr>
        <w:tab/>
      </w:r>
      <w:r>
        <w:rPr>
          <w:sz w:val="24"/>
          <w:szCs w:val="24"/>
        </w:rPr>
        <w:fldChar w:fldCharType="begin"/>
      </w:r>
      <w:r>
        <w:rPr>
          <w:sz w:val="24"/>
          <w:szCs w:val="24"/>
        </w:rPr>
        <w:instrText xml:space="preserve"> PAGEREF _Toc30555 \h </w:instrText>
      </w:r>
      <w:r>
        <w:rPr>
          <w:sz w:val="24"/>
          <w:szCs w:val="24"/>
        </w:rPr>
        <w:fldChar w:fldCharType="separate"/>
      </w:r>
      <w:r>
        <w:rPr>
          <w:sz w:val="24"/>
          <w:szCs w:val="24"/>
        </w:rPr>
        <w:t>4</w:t>
      </w:r>
      <w:r>
        <w:rPr>
          <w:sz w:val="24"/>
          <w:szCs w:val="24"/>
        </w:rPr>
        <w:fldChar w:fldCharType="end"/>
      </w:r>
      <w:r>
        <w:rPr>
          <w:sz w:val="24"/>
          <w:szCs w:val="24"/>
        </w:rPr>
        <w:fldChar w:fldCharType="end"/>
      </w:r>
    </w:p>
    <w:p w14:paraId="0FB0DFF9">
      <w:pPr>
        <w:pStyle w:val="10"/>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_Toc26457 </w:instrText>
      </w:r>
      <w:r>
        <w:rPr>
          <w:sz w:val="24"/>
          <w:szCs w:val="24"/>
        </w:rPr>
        <w:fldChar w:fldCharType="separate"/>
      </w:r>
      <w:r>
        <w:rPr>
          <w:rFonts w:hint="eastAsia"/>
          <w:sz w:val="24"/>
          <w:szCs w:val="24"/>
        </w:rPr>
        <w:t>6.3</w:t>
      </w:r>
      <w:r>
        <w:rPr>
          <w:sz w:val="24"/>
          <w:szCs w:val="24"/>
        </w:rPr>
        <w:t>项目进度管理</w:t>
      </w:r>
      <w:r>
        <w:rPr>
          <w:sz w:val="24"/>
          <w:szCs w:val="24"/>
        </w:rPr>
        <w:tab/>
      </w:r>
      <w:r>
        <w:rPr>
          <w:sz w:val="24"/>
          <w:szCs w:val="24"/>
        </w:rPr>
        <w:fldChar w:fldCharType="begin"/>
      </w:r>
      <w:r>
        <w:rPr>
          <w:sz w:val="24"/>
          <w:szCs w:val="24"/>
        </w:rPr>
        <w:instrText xml:space="preserve"> PAGEREF _Toc26457 \h </w:instrText>
      </w:r>
      <w:r>
        <w:rPr>
          <w:sz w:val="24"/>
          <w:szCs w:val="24"/>
        </w:rPr>
        <w:fldChar w:fldCharType="separate"/>
      </w:r>
      <w:r>
        <w:rPr>
          <w:sz w:val="24"/>
          <w:szCs w:val="24"/>
        </w:rPr>
        <w:t>5</w:t>
      </w:r>
      <w:r>
        <w:rPr>
          <w:sz w:val="24"/>
          <w:szCs w:val="24"/>
        </w:rPr>
        <w:fldChar w:fldCharType="end"/>
      </w:r>
      <w:r>
        <w:rPr>
          <w:sz w:val="24"/>
          <w:szCs w:val="24"/>
        </w:rPr>
        <w:fldChar w:fldCharType="end"/>
      </w:r>
    </w:p>
    <w:p w14:paraId="3723D4B4">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_Toc9003 </w:instrText>
      </w:r>
      <w:r>
        <w:rPr>
          <w:sz w:val="24"/>
          <w:szCs w:val="24"/>
        </w:rPr>
        <w:fldChar w:fldCharType="separate"/>
      </w:r>
      <w:r>
        <w:rPr>
          <w:rFonts w:hint="eastAsia" w:ascii="Times New Roman" w:hAnsi="Times New Roman"/>
          <w:sz w:val="24"/>
          <w:szCs w:val="24"/>
        </w:rPr>
        <w:t>7.技术服务</w:t>
      </w:r>
      <w:r>
        <w:rPr>
          <w:sz w:val="24"/>
          <w:szCs w:val="24"/>
        </w:rPr>
        <w:tab/>
      </w:r>
      <w:r>
        <w:rPr>
          <w:sz w:val="24"/>
          <w:szCs w:val="24"/>
        </w:rPr>
        <w:fldChar w:fldCharType="begin"/>
      </w:r>
      <w:r>
        <w:rPr>
          <w:sz w:val="24"/>
          <w:szCs w:val="24"/>
        </w:rPr>
        <w:instrText xml:space="preserve"> PAGEREF _Toc9003 \h </w:instrText>
      </w:r>
      <w:r>
        <w:rPr>
          <w:sz w:val="24"/>
          <w:szCs w:val="24"/>
        </w:rPr>
        <w:fldChar w:fldCharType="separate"/>
      </w:r>
      <w:r>
        <w:rPr>
          <w:sz w:val="24"/>
          <w:szCs w:val="24"/>
        </w:rPr>
        <w:t>5</w:t>
      </w:r>
      <w:r>
        <w:rPr>
          <w:sz w:val="24"/>
          <w:szCs w:val="24"/>
        </w:rPr>
        <w:fldChar w:fldCharType="end"/>
      </w:r>
      <w:r>
        <w:rPr>
          <w:sz w:val="24"/>
          <w:szCs w:val="24"/>
        </w:rPr>
        <w:fldChar w:fldCharType="end"/>
      </w:r>
    </w:p>
    <w:p w14:paraId="6E8340A5">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_Toc27838 </w:instrText>
      </w:r>
      <w:r>
        <w:rPr>
          <w:sz w:val="24"/>
          <w:szCs w:val="24"/>
        </w:rPr>
        <w:fldChar w:fldCharType="separate"/>
      </w:r>
      <w:r>
        <w:rPr>
          <w:rFonts w:hint="eastAsia" w:ascii="Times New Roman" w:hAnsi="Times New Roman"/>
          <w:sz w:val="24"/>
          <w:szCs w:val="24"/>
        </w:rPr>
        <w:t>8.验收</w:t>
      </w:r>
      <w:r>
        <w:rPr>
          <w:sz w:val="24"/>
          <w:szCs w:val="24"/>
        </w:rPr>
        <w:tab/>
      </w:r>
      <w:r>
        <w:rPr>
          <w:sz w:val="24"/>
          <w:szCs w:val="24"/>
        </w:rPr>
        <w:fldChar w:fldCharType="begin"/>
      </w:r>
      <w:r>
        <w:rPr>
          <w:sz w:val="24"/>
          <w:szCs w:val="24"/>
        </w:rPr>
        <w:instrText xml:space="preserve"> PAGEREF _Toc27838 \h </w:instrText>
      </w:r>
      <w:r>
        <w:rPr>
          <w:sz w:val="24"/>
          <w:szCs w:val="24"/>
        </w:rPr>
        <w:fldChar w:fldCharType="separate"/>
      </w:r>
      <w:r>
        <w:rPr>
          <w:sz w:val="24"/>
          <w:szCs w:val="24"/>
        </w:rPr>
        <w:t>6</w:t>
      </w:r>
      <w:r>
        <w:rPr>
          <w:sz w:val="24"/>
          <w:szCs w:val="24"/>
        </w:rPr>
        <w:fldChar w:fldCharType="end"/>
      </w:r>
      <w:r>
        <w:rPr>
          <w:sz w:val="24"/>
          <w:szCs w:val="24"/>
        </w:rPr>
        <w:fldChar w:fldCharType="end"/>
      </w:r>
    </w:p>
    <w:p w14:paraId="552D1D32">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rPr>
          <w:sz w:val="24"/>
          <w:szCs w:val="24"/>
        </w:rPr>
      </w:pPr>
      <w:r>
        <w:rPr>
          <w:sz w:val="24"/>
          <w:szCs w:val="24"/>
        </w:rPr>
        <w:fldChar w:fldCharType="begin"/>
      </w:r>
      <w:r>
        <w:rPr>
          <w:sz w:val="24"/>
          <w:szCs w:val="24"/>
        </w:rPr>
        <w:instrText xml:space="preserve"> HYPERLINK \l _Toc30623 </w:instrText>
      </w:r>
      <w:r>
        <w:rPr>
          <w:sz w:val="24"/>
          <w:szCs w:val="24"/>
        </w:rPr>
        <w:fldChar w:fldCharType="separate"/>
      </w:r>
      <w:r>
        <w:rPr>
          <w:rFonts w:hint="eastAsia" w:ascii="Times New Roman" w:hAnsi="Times New Roman"/>
          <w:sz w:val="24"/>
          <w:szCs w:val="24"/>
          <w:lang w:val="en-US" w:eastAsia="zh-CN"/>
        </w:rPr>
        <w:t>9.</w:t>
      </w:r>
      <w:r>
        <w:rPr>
          <w:rFonts w:hint="eastAsia" w:ascii="Times New Roman" w:hAnsi="Times New Roman"/>
          <w:sz w:val="24"/>
          <w:szCs w:val="24"/>
        </w:rPr>
        <w:t>安全与防护要求</w:t>
      </w:r>
      <w:r>
        <w:rPr>
          <w:sz w:val="24"/>
          <w:szCs w:val="24"/>
        </w:rPr>
        <w:tab/>
      </w:r>
      <w:r>
        <w:rPr>
          <w:sz w:val="24"/>
          <w:szCs w:val="24"/>
        </w:rPr>
        <w:fldChar w:fldCharType="begin"/>
      </w:r>
      <w:r>
        <w:rPr>
          <w:sz w:val="24"/>
          <w:szCs w:val="24"/>
        </w:rPr>
        <w:instrText xml:space="preserve"> PAGEREF _Toc30623 \h </w:instrText>
      </w:r>
      <w:r>
        <w:rPr>
          <w:sz w:val="24"/>
          <w:szCs w:val="24"/>
        </w:rPr>
        <w:fldChar w:fldCharType="separate"/>
      </w:r>
      <w:r>
        <w:rPr>
          <w:sz w:val="24"/>
          <w:szCs w:val="24"/>
        </w:rPr>
        <w:t>6</w:t>
      </w:r>
      <w:r>
        <w:rPr>
          <w:sz w:val="24"/>
          <w:szCs w:val="24"/>
        </w:rPr>
        <w:fldChar w:fldCharType="end"/>
      </w:r>
      <w:r>
        <w:rPr>
          <w:sz w:val="24"/>
          <w:szCs w:val="24"/>
        </w:rPr>
        <w:fldChar w:fldCharType="end"/>
      </w:r>
    </w:p>
    <w:p w14:paraId="3E43EAAB">
      <w:pPr>
        <w:pStyle w:val="16"/>
        <w:keepNext w:val="0"/>
        <w:keepLines w:val="0"/>
        <w:pageBreakBefore w:val="0"/>
        <w:widowControl w:val="0"/>
        <w:tabs>
          <w:tab w:val="right" w:leader="dot" w:pos="8306"/>
        </w:tabs>
        <w:kinsoku/>
        <w:wordWrap/>
        <w:overflowPunct/>
        <w:topLinePunct w:val="0"/>
        <w:autoSpaceDE/>
        <w:autoSpaceDN/>
        <w:bidi w:val="0"/>
        <w:adjustRightInd/>
        <w:snapToGrid/>
        <w:spacing w:line="288" w:lineRule="auto"/>
        <w:textAlignment w:val="auto"/>
      </w:pPr>
      <w:r>
        <w:rPr>
          <w:sz w:val="24"/>
          <w:szCs w:val="24"/>
        </w:rPr>
        <w:fldChar w:fldCharType="begin"/>
      </w:r>
      <w:r>
        <w:rPr>
          <w:sz w:val="24"/>
          <w:szCs w:val="24"/>
        </w:rPr>
        <w:instrText xml:space="preserve"> HYPERLINK \l _Toc17442 </w:instrText>
      </w:r>
      <w:r>
        <w:rPr>
          <w:sz w:val="24"/>
          <w:szCs w:val="24"/>
        </w:rPr>
        <w:fldChar w:fldCharType="separate"/>
      </w:r>
      <w:r>
        <w:rPr>
          <w:rFonts w:hint="eastAsia" w:ascii="Times New Roman" w:hAnsi="Times New Roman"/>
          <w:sz w:val="24"/>
          <w:szCs w:val="24"/>
          <w:lang w:val="en-US" w:eastAsia="zh-CN"/>
        </w:rPr>
        <w:t>10.</w:t>
      </w:r>
      <w:r>
        <w:rPr>
          <w:rFonts w:hint="eastAsia" w:ascii="Times New Roman" w:hAnsi="Times New Roman"/>
          <w:sz w:val="24"/>
          <w:szCs w:val="24"/>
        </w:rPr>
        <w:t>安装与维护要求</w:t>
      </w:r>
      <w:r>
        <w:rPr>
          <w:sz w:val="24"/>
          <w:szCs w:val="24"/>
        </w:rPr>
        <w:tab/>
      </w:r>
      <w:r>
        <w:rPr>
          <w:sz w:val="24"/>
          <w:szCs w:val="24"/>
        </w:rPr>
        <w:fldChar w:fldCharType="begin"/>
      </w:r>
      <w:r>
        <w:rPr>
          <w:sz w:val="24"/>
          <w:szCs w:val="24"/>
        </w:rPr>
        <w:instrText xml:space="preserve"> PAGEREF _Toc17442 \h </w:instrText>
      </w:r>
      <w:r>
        <w:rPr>
          <w:sz w:val="24"/>
          <w:szCs w:val="24"/>
        </w:rPr>
        <w:fldChar w:fldCharType="separate"/>
      </w:r>
      <w:r>
        <w:rPr>
          <w:sz w:val="24"/>
          <w:szCs w:val="24"/>
        </w:rPr>
        <w:t>6</w:t>
      </w:r>
      <w:r>
        <w:rPr>
          <w:sz w:val="24"/>
          <w:szCs w:val="24"/>
        </w:rPr>
        <w:fldChar w:fldCharType="end"/>
      </w:r>
      <w:r>
        <w:rPr>
          <w:sz w:val="24"/>
          <w:szCs w:val="24"/>
        </w:rPr>
        <w:fldChar w:fldCharType="end"/>
      </w:r>
    </w:p>
    <w:p w14:paraId="1CC84327">
      <w:pPr>
        <w:pStyle w:val="15"/>
        <w:tabs>
          <w:tab w:val="left" w:pos="420"/>
          <w:tab w:val="right" w:leader="dot" w:pos="8296"/>
        </w:tabs>
        <w:rPr>
          <w:b/>
          <w:sz w:val="30"/>
          <w:szCs w:val="30"/>
        </w:rPr>
        <w:sectPr>
          <w:pgSz w:w="11906" w:h="16838"/>
          <w:pgMar w:top="1440" w:right="1800" w:bottom="1440" w:left="1800" w:header="851" w:footer="992" w:gutter="0"/>
          <w:cols w:space="720" w:num="1"/>
          <w:docGrid w:type="lines" w:linePitch="312" w:charSpace="0"/>
        </w:sectPr>
      </w:pPr>
      <w:r>
        <w:rPr>
          <w:szCs w:val="28"/>
        </w:rPr>
        <w:fldChar w:fldCharType="end"/>
      </w:r>
      <w:bookmarkStart w:id="0" w:name="_Toc351722588"/>
      <w:bookmarkStart w:id="1" w:name="_Toc291690053"/>
      <w:bookmarkStart w:id="2" w:name="_Toc21480"/>
    </w:p>
    <w:p w14:paraId="0D695A64">
      <w:pPr>
        <w:pStyle w:val="15"/>
        <w:tabs>
          <w:tab w:val="left" w:pos="420"/>
          <w:tab w:val="right" w:leader="dot" w:pos="8296"/>
        </w:tabs>
        <w:rPr>
          <w:rFonts w:ascii="Times New Roman" w:hAnsi="Times New Roman"/>
          <w:szCs w:val="30"/>
        </w:rPr>
      </w:pPr>
      <w:r>
        <w:rPr>
          <w:rFonts w:hint="eastAsia" w:ascii="Times New Roman" w:hAnsi="Times New Roman"/>
          <w:szCs w:val="30"/>
        </w:rPr>
        <w:t>1.总则</w:t>
      </w:r>
      <w:bookmarkEnd w:id="0"/>
      <w:bookmarkEnd w:id="1"/>
      <w:bookmarkEnd w:id="2"/>
    </w:p>
    <w:p w14:paraId="172353EA">
      <w:pPr>
        <w:adjustRightInd w:val="0"/>
        <w:snapToGrid w:val="0"/>
        <w:ind w:firstLine="480" w:firstLineChars="200"/>
      </w:pPr>
      <w:bookmarkStart w:id="3" w:name="_Toc351722589"/>
      <w:r>
        <w:t>本技术规范仅针对</w:t>
      </w:r>
      <w:r>
        <w:rPr>
          <w:rFonts w:hint="eastAsia"/>
        </w:rPr>
        <w:t>“输变设备发热缺陷控制及跟踪装置”项目</w:t>
      </w:r>
      <w:r>
        <w:t>（以下简称项目）</w:t>
      </w:r>
      <w:r>
        <w:rPr>
          <w:rFonts w:hint="eastAsia"/>
        </w:rPr>
        <w:t>的技术要求、结构组成、性能指标、工作原理及检测维护规范，以指导设备的设计、制造、安装及使用。</w:t>
      </w:r>
    </w:p>
    <w:p w14:paraId="5C1F5A01">
      <w:pPr>
        <w:numPr>
          <w:ilvl w:val="0"/>
          <w:numId w:val="0"/>
        </w:numPr>
        <w:adjustRightInd w:val="0"/>
        <w:snapToGrid w:val="0"/>
        <w:ind w:left="0" w:leftChars="0" w:firstLine="480" w:firstLineChars="200"/>
      </w:pPr>
      <w:r>
        <w:rPr>
          <w:rFonts w:hint="eastAsia" w:ascii="Times New Roman" w:hAnsi="Times New Roman"/>
          <w:kern w:val="2"/>
          <w:sz w:val="24"/>
          <w:szCs w:val="24"/>
          <w:lang w:val="en-US" w:eastAsia="zh-CN" w:bidi="ar-SA"/>
        </w:rPr>
        <w:t>（1）</w:t>
      </w:r>
      <w:r>
        <w:t>本技术规范提出的是该项目最低限度的技术要求</w:t>
      </w:r>
      <w:r>
        <w:rPr>
          <w:rFonts w:hint="eastAsia"/>
        </w:rPr>
        <w:t>，如有与计划任务书研究要求有差异，投标人的响应应满足两者的最高研究要求。</w:t>
      </w:r>
    </w:p>
    <w:p w14:paraId="00E5DF3B">
      <w:pPr>
        <w:numPr>
          <w:ilvl w:val="0"/>
          <w:numId w:val="0"/>
        </w:numPr>
        <w:adjustRightInd w:val="0"/>
        <w:snapToGrid w:val="0"/>
        <w:ind w:left="0" w:leftChars="0" w:firstLine="480" w:firstLineChars="200"/>
      </w:pPr>
      <w:r>
        <w:rPr>
          <w:rFonts w:hint="eastAsia" w:ascii="Times New Roman" w:hAnsi="Times New Roman"/>
          <w:kern w:val="2"/>
          <w:sz w:val="24"/>
          <w:szCs w:val="24"/>
          <w:lang w:val="en-US" w:eastAsia="zh-CN" w:bidi="ar-SA"/>
        </w:rPr>
        <w:t>（2）</w:t>
      </w:r>
      <w:r>
        <w:t>如果投标人以书面形式对本技术规范的条文提出异议</w:t>
      </w:r>
      <w:r>
        <w:rPr>
          <w:rFonts w:hint="eastAsia"/>
        </w:rPr>
        <w:t>，</w:t>
      </w:r>
      <w:r>
        <w:t>则招标人</w:t>
      </w:r>
      <w:r>
        <w:rPr>
          <w:rFonts w:hint="eastAsia"/>
        </w:rPr>
        <w:t>、</w:t>
      </w:r>
      <w:r>
        <w:t>投标人双方应达成一致意见后，方可修改研究方向。</w:t>
      </w:r>
    </w:p>
    <w:p w14:paraId="7B3E087B">
      <w:pPr>
        <w:numPr>
          <w:ilvl w:val="0"/>
          <w:numId w:val="0"/>
        </w:numPr>
        <w:adjustRightInd w:val="0"/>
        <w:snapToGrid w:val="0"/>
        <w:ind w:left="0" w:leftChars="0" w:firstLine="480" w:firstLineChars="200"/>
      </w:pPr>
      <w:r>
        <w:rPr>
          <w:rFonts w:hint="eastAsia" w:ascii="Times New Roman" w:hAnsi="Times New Roman"/>
          <w:kern w:val="2"/>
          <w:sz w:val="24"/>
          <w:szCs w:val="24"/>
          <w:lang w:val="en-US" w:eastAsia="zh-CN" w:bidi="ar-SA"/>
        </w:rPr>
        <w:t>（3）</w:t>
      </w:r>
      <w:r>
        <w:t>投标人所执行的内容如与本技术规范</w:t>
      </w:r>
      <w:r>
        <w:rPr>
          <w:rFonts w:hint="eastAsia"/>
        </w:rPr>
        <w:t>书要求</w:t>
      </w:r>
      <w:r>
        <w:t>的项目研究内容</w:t>
      </w:r>
      <w:r>
        <w:rPr>
          <w:rFonts w:hint="eastAsia"/>
        </w:rPr>
        <w:t>有差异</w:t>
      </w:r>
      <w:r>
        <w:t>，投标人应按</w:t>
      </w:r>
      <w:r>
        <w:rPr>
          <w:rFonts w:hint="eastAsia"/>
        </w:rPr>
        <w:t>招标人认可的</w:t>
      </w:r>
      <w:r>
        <w:t>更</w:t>
      </w:r>
      <w:r>
        <w:rPr>
          <w:rFonts w:hint="eastAsia"/>
        </w:rPr>
        <w:t>高</w:t>
      </w:r>
      <w:r>
        <w:t>研究标准执行。</w:t>
      </w:r>
    </w:p>
    <w:p w14:paraId="72F1FA12">
      <w:pPr>
        <w:numPr>
          <w:ilvl w:val="0"/>
          <w:numId w:val="0"/>
        </w:numPr>
        <w:adjustRightInd w:val="0"/>
        <w:snapToGrid w:val="0"/>
        <w:ind w:left="0" w:leftChars="0" w:firstLine="480" w:firstLineChars="200"/>
      </w:pPr>
      <w:r>
        <w:rPr>
          <w:rFonts w:hint="eastAsia" w:ascii="Times New Roman" w:hAnsi="Times New Roman"/>
          <w:kern w:val="2"/>
          <w:sz w:val="24"/>
          <w:szCs w:val="24"/>
          <w:lang w:val="en-US" w:eastAsia="zh-CN" w:bidi="ar-SA"/>
        </w:rPr>
        <w:t>（4）</w:t>
      </w:r>
      <w:r>
        <w:t>本技术规范未尽事宜</w:t>
      </w:r>
      <w:r>
        <w:rPr>
          <w:rFonts w:hint="eastAsia"/>
        </w:rPr>
        <w:t>，</w:t>
      </w:r>
      <w:r>
        <w:t>由招标人、投标人双方协商确定。</w:t>
      </w:r>
    </w:p>
    <w:p w14:paraId="285084F6">
      <w:pPr>
        <w:pStyle w:val="3"/>
        <w:rPr>
          <w:rFonts w:ascii="Times New Roman" w:hAnsi="Times New Roman"/>
          <w:szCs w:val="30"/>
        </w:rPr>
      </w:pPr>
      <w:bookmarkStart w:id="4" w:name="_Toc19353"/>
      <w:r>
        <w:rPr>
          <w:rFonts w:hint="eastAsia" w:ascii="Times New Roman" w:hAnsi="Times New Roman"/>
          <w:szCs w:val="30"/>
        </w:rPr>
        <w:t>2.项目目标</w:t>
      </w:r>
      <w:bookmarkEnd w:id="3"/>
      <w:bookmarkEnd w:id="4"/>
    </w:p>
    <w:p w14:paraId="29B28956">
      <w:pPr>
        <w:numPr>
          <w:ilvl w:val="0"/>
          <w:numId w:val="0"/>
        </w:numPr>
        <w:adjustRightInd w:val="0"/>
        <w:snapToGrid w:val="0"/>
        <w:ind w:left="0" w:leftChars="0" w:firstLine="480" w:firstLineChars="200"/>
        <w:rPr>
          <w:rFonts w:hint="eastAsia"/>
          <w:lang w:val="en-US" w:eastAsia="zh-CN"/>
        </w:rPr>
      </w:pPr>
      <w:bookmarkStart w:id="5" w:name="OLE_LINK2"/>
      <w:bookmarkStart w:id="6" w:name="OLE_LINK1"/>
      <w:bookmarkStart w:id="7" w:name="_Toc291690055"/>
      <w:bookmarkStart w:id="8" w:name="_Toc351722590"/>
      <w:r>
        <w:rPr>
          <w:rFonts w:hint="eastAsia"/>
          <w:lang w:val="en-US" w:eastAsia="zh-CN"/>
        </w:rPr>
        <w:t>本项目旨在开发一套输变设备发热缺陷控制及跟踪装置，实现对输变电系统中关键设备发热状态的实时监测和智能控制。具体技术目标包括：采用红外测温技术，实现对设备表面温度的非接触式测量，达到</w:t>
      </w:r>
      <w:r>
        <w:t>高精度温度监测</w:t>
      </w:r>
      <w:r>
        <w:rPr>
          <w:rFonts w:hint="eastAsia"/>
          <w:lang w:eastAsia="zh-CN"/>
        </w:rPr>
        <w:t>、</w:t>
      </w:r>
      <w:r>
        <w:t>建立基于温度阈值的自动控制机制</w:t>
      </w:r>
      <w:r>
        <w:rPr>
          <w:rFonts w:hint="eastAsia"/>
          <w:lang w:eastAsia="zh-CN"/>
        </w:rPr>
        <w:t>、</w:t>
      </w:r>
      <w:r>
        <w:t>设计双模式制冷系统</w:t>
      </w:r>
      <w:r>
        <w:rPr>
          <w:rFonts w:hint="eastAsia"/>
          <w:lang w:eastAsia="zh-CN"/>
        </w:rPr>
        <w:t>、</w:t>
      </w:r>
      <w:r>
        <w:rPr>
          <w:rFonts w:hint="eastAsia"/>
          <w:lang w:val="en-US" w:eastAsia="zh-CN"/>
        </w:rPr>
        <w:t>提高设备</w:t>
      </w:r>
      <w:r>
        <w:t>灵活部署能力</w:t>
      </w:r>
      <w:r>
        <w:rPr>
          <w:rFonts w:hint="eastAsia"/>
          <w:lang w:eastAsia="zh-CN"/>
        </w:rPr>
        <w:t>、</w:t>
      </w:r>
      <w:r>
        <w:rPr>
          <w:rFonts w:hint="eastAsia"/>
          <w:lang w:val="en-US" w:eastAsia="zh-CN"/>
        </w:rPr>
        <w:t>让装置</w:t>
      </w:r>
      <w:r>
        <w:t>具备数据记录与分析</w:t>
      </w:r>
      <w:r>
        <w:rPr>
          <w:rFonts w:hint="eastAsia"/>
          <w:lang w:val="en-US" w:eastAsia="zh-CN"/>
        </w:rPr>
        <w:t>能力。</w:t>
      </w:r>
    </w:p>
    <w:bookmarkEnd w:id="5"/>
    <w:bookmarkEnd w:id="6"/>
    <w:p w14:paraId="4E8A0C73">
      <w:pPr>
        <w:pStyle w:val="3"/>
        <w:rPr>
          <w:rFonts w:ascii="Times New Roman" w:hAnsi="Times New Roman"/>
          <w:szCs w:val="30"/>
        </w:rPr>
      </w:pPr>
      <w:bookmarkStart w:id="9" w:name="_Toc17094"/>
      <w:r>
        <w:rPr>
          <w:rFonts w:hint="eastAsia" w:ascii="Times New Roman" w:hAnsi="Times New Roman"/>
          <w:szCs w:val="30"/>
        </w:rPr>
        <w:t>3.服务界限</w:t>
      </w:r>
      <w:bookmarkEnd w:id="7"/>
      <w:bookmarkEnd w:id="8"/>
      <w:bookmarkEnd w:id="9"/>
    </w:p>
    <w:p w14:paraId="12507332">
      <w:pPr>
        <w:snapToGrid w:val="0"/>
        <w:ind w:firstLine="480" w:firstLineChars="200"/>
      </w:pPr>
      <w:r>
        <w:rPr>
          <w:rFonts w:hint="eastAsia"/>
        </w:rPr>
        <w:t>（</w:t>
      </w:r>
      <w:bookmarkStart w:id="10" w:name="_Toc351722591"/>
      <w:r>
        <w:rPr>
          <w:rFonts w:hint="eastAsia"/>
        </w:rPr>
        <w:t>（1）本次项目改造的材料部分和加工实施方案由采购方提供。</w:t>
      </w:r>
    </w:p>
    <w:p w14:paraId="445E7CBB">
      <w:pPr>
        <w:snapToGrid w:val="0"/>
        <w:ind w:firstLine="480" w:firstLineChars="200"/>
      </w:pPr>
      <w:r>
        <w:rPr>
          <w:rFonts w:hint="eastAsia"/>
        </w:rPr>
        <w:t>（2）供应商根据采购方提供的材料和加工方案进行实施，同时根据采购方要求的工作产品交付日期，提出详细的项目进度表及工作组织安排，合同签订时将在此基础上确定最终进度。</w:t>
      </w:r>
    </w:p>
    <w:p w14:paraId="262DEAB9">
      <w:pPr>
        <w:snapToGrid w:val="0"/>
        <w:ind w:firstLine="480" w:firstLineChars="200"/>
      </w:pPr>
      <w:r>
        <w:rPr>
          <w:rFonts w:hint="eastAsia"/>
        </w:rPr>
        <w:t>（3）供应商设立项目负责人，项目负责人作为与双方联络的全权代表，全权负责与项目有关的全部事务。</w:t>
      </w:r>
    </w:p>
    <w:p w14:paraId="54BA5CAE">
      <w:pPr>
        <w:snapToGrid w:val="0"/>
        <w:ind w:firstLine="480" w:firstLineChars="200"/>
      </w:pPr>
      <w:r>
        <w:rPr>
          <w:rFonts w:hint="eastAsia"/>
        </w:rPr>
        <w:t>（4）供应商应配合采购方完成实现项目目标的相关工作。</w:t>
      </w:r>
    </w:p>
    <w:p w14:paraId="0278C805">
      <w:pPr>
        <w:snapToGrid w:val="0"/>
        <w:ind w:firstLine="480" w:firstLineChars="200"/>
        <w:rPr>
          <w:szCs w:val="30"/>
        </w:rPr>
      </w:pPr>
      <w:r>
        <w:rPr>
          <w:rFonts w:hint="eastAsia"/>
        </w:rPr>
        <w:t>（5）投标人必须配合做好项目研究开发费的税前加计扣除工作，具体要求见《财政部关于企业加强研发费用财务管理的若干意见》和《企业研究开发费用税前扣除管理办法（试行）》。</w:t>
      </w:r>
    </w:p>
    <w:p w14:paraId="5CA79893">
      <w:pPr>
        <w:pStyle w:val="3"/>
        <w:rPr>
          <w:rFonts w:ascii="Times New Roman" w:hAnsi="Times New Roman"/>
          <w:szCs w:val="30"/>
        </w:rPr>
      </w:pPr>
      <w:bookmarkStart w:id="11" w:name="_Toc15022"/>
      <w:r>
        <w:rPr>
          <w:rFonts w:hint="eastAsia" w:ascii="Times New Roman" w:hAnsi="Times New Roman"/>
          <w:szCs w:val="30"/>
        </w:rPr>
        <w:t>4.项目总体要求</w:t>
      </w:r>
      <w:bookmarkEnd w:id="10"/>
      <w:bookmarkEnd w:id="11"/>
      <w:bookmarkStart w:id="12" w:name="_Toc229305439"/>
      <w:bookmarkStart w:id="13" w:name="_Toc351566765"/>
      <w:bookmarkStart w:id="14" w:name="_Toc260069638"/>
      <w:bookmarkStart w:id="15" w:name="_Toc247456321"/>
      <w:bookmarkStart w:id="16" w:name="_Toc351722592"/>
      <w:bookmarkStart w:id="17" w:name="_Toc247456250"/>
    </w:p>
    <w:p w14:paraId="5ED401E0">
      <w:pPr>
        <w:keepNext w:val="0"/>
        <w:keepLines w:val="0"/>
        <w:pageBreakBefore w:val="0"/>
        <w:widowControl w:val="0"/>
        <w:kinsoku/>
        <w:wordWrap/>
        <w:overflowPunct/>
        <w:topLinePunct w:val="0"/>
        <w:autoSpaceDE/>
        <w:autoSpaceDN/>
        <w:bidi w:val="0"/>
        <w:adjustRightInd/>
        <w:snapToGrid/>
        <w:ind w:left="0" w:firstLine="480" w:firstLineChars="200"/>
        <w:textAlignment w:val="auto"/>
      </w:pPr>
      <w:r>
        <w:rPr>
          <w:rFonts w:hint="eastAsia"/>
        </w:rPr>
        <w:t>通过研制输变设备发热缺陷控制及跟踪装置</w:t>
      </w:r>
      <w:r>
        <w:rPr>
          <w:rFonts w:hint="eastAsia"/>
          <w:lang w:val="en-US" w:eastAsia="zh-CN"/>
        </w:rPr>
        <w:t>将</w:t>
      </w:r>
      <w:r>
        <w:rPr>
          <w:rFonts w:hint="eastAsia" w:ascii="宋体" w:hAnsi="宋体" w:cs="宋体"/>
          <w:color w:val="auto"/>
          <w:sz w:val="24"/>
          <w:szCs w:val="24"/>
          <w:lang w:val="en-US" w:eastAsia="zh-CN"/>
        </w:rPr>
        <w:t>输变电系统中变压器、开关柜   等设备发热异常进行监测与控制，实现实时监测输变电设备发热异常并自动控制降温，从“被动运维”转向“主动防控”，解决传统人工巡检滞后、发热隐患难管控的痛点；其优势则围绕 “精准、智能、灵活、可靠”四大特性，适配输变电现场复杂需求。</w:t>
      </w:r>
    </w:p>
    <w:p w14:paraId="4361DD50">
      <w:pPr>
        <w:pStyle w:val="3"/>
        <w:rPr>
          <w:rFonts w:ascii="Times New Roman" w:hAnsi="Times New Roman"/>
          <w:szCs w:val="30"/>
        </w:rPr>
      </w:pPr>
      <w:bookmarkStart w:id="18" w:name="_Toc4633"/>
      <w:r>
        <w:rPr>
          <w:rFonts w:hint="eastAsia" w:ascii="Times New Roman" w:hAnsi="Times New Roman"/>
          <w:szCs w:val="30"/>
        </w:rPr>
        <w:t>5.</w:t>
      </w:r>
      <w:bookmarkEnd w:id="12"/>
      <w:bookmarkEnd w:id="13"/>
      <w:bookmarkEnd w:id="14"/>
      <w:bookmarkEnd w:id="15"/>
      <w:bookmarkEnd w:id="16"/>
      <w:bookmarkEnd w:id="17"/>
      <w:bookmarkStart w:id="19" w:name="_Toc351722593"/>
      <w:bookmarkStart w:id="20" w:name="_Toc351566768"/>
      <w:r>
        <w:rPr>
          <w:rFonts w:ascii="Times New Roman" w:hAnsi="Times New Roman"/>
          <w:szCs w:val="30"/>
        </w:rPr>
        <w:t xml:space="preserve"> </w:t>
      </w:r>
      <w:r>
        <w:rPr>
          <w:rFonts w:hint="eastAsia" w:ascii="Times New Roman" w:hAnsi="Times New Roman"/>
          <w:szCs w:val="30"/>
        </w:rPr>
        <w:t>技术要求与指标</w:t>
      </w:r>
      <w:bookmarkEnd w:id="18"/>
    </w:p>
    <w:p w14:paraId="73379F86">
      <w:pPr>
        <w:pStyle w:val="4"/>
        <w:rPr>
          <w:szCs w:val="28"/>
        </w:rPr>
      </w:pPr>
      <w:bookmarkStart w:id="21" w:name="_Toc2082"/>
      <w:r>
        <w:rPr>
          <w:rFonts w:hint="eastAsia"/>
          <w:szCs w:val="28"/>
        </w:rPr>
        <w:t>5.1功能概况</w:t>
      </w:r>
      <w:bookmarkEnd w:id="21"/>
    </w:p>
    <w:p w14:paraId="2893BD5A">
      <w:pPr>
        <w:pStyle w:val="37"/>
        <w:keepNext w:val="0"/>
        <w:keepLines w:val="0"/>
        <w:pageBreakBefore w:val="0"/>
        <w:widowControl/>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kern w:val="2"/>
          <w:sz w:val="24"/>
          <w:szCs w:val="24"/>
          <w:lang w:val="en-US" w:eastAsia="zh-CN" w:bidi="ar-SA"/>
        </w:rPr>
      </w:pPr>
      <w:bookmarkStart w:id="22" w:name="_Toc16693"/>
      <w:bookmarkStart w:id="23" w:name="_Toc24486"/>
      <w:r>
        <w:rPr>
          <w:rFonts w:hint="eastAsia" w:ascii="宋体" w:hAnsi="宋体" w:eastAsia="宋体" w:cs="宋体"/>
          <w:color w:val="auto"/>
          <w:kern w:val="2"/>
          <w:sz w:val="24"/>
          <w:szCs w:val="24"/>
          <w:lang w:val="en-US" w:eastAsia="zh-CN" w:bidi="ar-SA"/>
        </w:rPr>
        <w:t>输变设备发热缺陷控制及跟踪装置适用于输变电系统中对变压器、开关柜等设备发热异常进行监测与控制。装置采用模块化设计，主要由以下几个部分组成：</w:t>
      </w:r>
    </w:p>
    <w:p w14:paraId="2DCBB313">
      <w:pPr>
        <w:pStyle w:val="37"/>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红外测温部分</w:t>
      </w:r>
      <w:r>
        <w:rPr>
          <w:rFonts w:hint="eastAsia" w:ascii="宋体" w:hAnsi="宋体" w:eastAsia="宋体" w:cs="宋体"/>
          <w:color w:val="auto"/>
          <w:kern w:val="2"/>
          <w:sz w:val="24"/>
          <w:szCs w:val="24"/>
          <w:lang w:val="en-US" w:eastAsia="zh-CN" w:bidi="ar-SA"/>
        </w:rPr>
        <w:t>：负责对设备表面温度进行非接触式测量，采用先进的红外热像技术，通过透镜聚焦提高测量精度。该部分能够实时采集设备表面温度分布信息，为后续的控制决策提供准确的数据基础。</w:t>
      </w:r>
    </w:p>
    <w:p w14:paraId="005A70DE">
      <w:pPr>
        <w:pStyle w:val="37"/>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控制部分：</w:t>
      </w:r>
      <w:r>
        <w:rPr>
          <w:rFonts w:hint="eastAsia" w:ascii="宋体" w:hAnsi="宋体" w:eastAsia="宋体" w:cs="宋体"/>
          <w:color w:val="auto"/>
          <w:kern w:val="2"/>
          <w:sz w:val="24"/>
          <w:szCs w:val="24"/>
          <w:lang w:val="en-US" w:eastAsia="zh-CN" w:bidi="ar-SA"/>
        </w:rPr>
        <w:t>采用工业级微处理器作为核心，接收红外测温部分传来的温度数据，根据预设的温度阈值进行逻辑判断，自动控制制冷系统的启停。控制部分支持手动 / 自动两种控制模式，具备多级报警功能，能够及时发现和处理设备异常发热情况。</w:t>
      </w:r>
    </w:p>
    <w:p w14:paraId="5782E300">
      <w:pPr>
        <w:pStyle w:val="37"/>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制冷部分：</w:t>
      </w:r>
      <w:r>
        <w:rPr>
          <w:rFonts w:hint="eastAsia" w:ascii="宋体" w:hAnsi="宋体" w:eastAsia="宋体" w:cs="宋体"/>
          <w:color w:val="auto"/>
          <w:kern w:val="2"/>
          <w:sz w:val="24"/>
          <w:szCs w:val="24"/>
          <w:lang w:val="en-US" w:eastAsia="zh-CN" w:bidi="ar-SA"/>
        </w:rPr>
        <w:t>采用双模式设计，包括压缩机制冷和风冷两种方式。根据设备发热程度和环境条件，系统可自动或手动选择合适的制冷模式。制冷系统具备功率调节功能，能够根据温度变化动态调整制冷强度。</w:t>
      </w:r>
    </w:p>
    <w:p w14:paraId="17FBBE15">
      <w:pPr>
        <w:pStyle w:val="37"/>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设备工作平台：</w:t>
      </w:r>
      <w:r>
        <w:rPr>
          <w:rFonts w:hint="eastAsia" w:ascii="宋体" w:hAnsi="宋体" w:eastAsia="宋体" w:cs="宋体"/>
          <w:color w:val="auto"/>
          <w:kern w:val="2"/>
          <w:sz w:val="24"/>
          <w:szCs w:val="24"/>
          <w:lang w:val="en-US" w:eastAsia="zh-CN" w:bidi="ar-SA"/>
        </w:rPr>
        <w:t>采用升级车结构设计，具备良好的移动性和稳定性。平台上集成了各功能模块的安装支架和操作界面，便于现场部署和维护操作。平台还配备了必要的安全防护装置和工具存放空间。</w:t>
      </w:r>
    </w:p>
    <w:p w14:paraId="6681D4CB">
      <w:pPr>
        <w:pStyle w:val="4"/>
        <w:rPr>
          <w:rFonts w:hint="eastAsia"/>
          <w:szCs w:val="28"/>
        </w:rPr>
      </w:pPr>
      <w:bookmarkStart w:id="24" w:name="_Toc17437"/>
      <w:r>
        <w:rPr>
          <w:rFonts w:hint="eastAsia"/>
          <w:szCs w:val="28"/>
        </w:rPr>
        <w:t>5.</w:t>
      </w:r>
      <w:r>
        <w:rPr>
          <w:szCs w:val="28"/>
        </w:rPr>
        <w:t>2</w:t>
      </w:r>
      <w:r>
        <w:rPr>
          <w:rFonts w:hint="eastAsia"/>
          <w:szCs w:val="28"/>
        </w:rPr>
        <w:t xml:space="preserve"> 主要</w:t>
      </w:r>
      <w:bookmarkEnd w:id="22"/>
      <w:bookmarkEnd w:id="23"/>
      <w:r>
        <w:rPr>
          <w:rFonts w:hint="eastAsia"/>
          <w:szCs w:val="28"/>
        </w:rPr>
        <w:t>技术指标</w:t>
      </w:r>
      <w:bookmarkEnd w:id="24"/>
    </w:p>
    <w:bookmarkEnd w:id="19"/>
    <w:bookmarkEnd w:id="20"/>
    <w:p w14:paraId="50EB7107">
      <w:pPr>
        <w:pStyle w:val="5"/>
        <w:ind w:firstLine="480"/>
        <w:rPr>
          <w:rFonts w:hint="eastAsia"/>
          <w:b/>
          <w:bCs/>
          <w:lang w:val="en-US" w:eastAsia="zh-CN"/>
        </w:rPr>
      </w:pPr>
      <w:r>
        <w:rPr>
          <w:rFonts w:hint="eastAsia"/>
          <w:b/>
          <w:bCs/>
          <w:lang w:val="en-US" w:eastAsia="zh-CN"/>
        </w:rPr>
        <w:t>5.2.1技术要求：</w:t>
      </w:r>
    </w:p>
    <w:p w14:paraId="37A69D69">
      <w:pPr>
        <w:rPr>
          <w:rFonts w:hint="eastAsia" w:ascii="宋体" w:hAnsi="宋体" w:eastAsia="宋体" w:cs="宋体"/>
          <w:color w:val="auto"/>
        </w:rPr>
      </w:pPr>
      <w:r>
        <w:rPr>
          <w:rFonts w:hint="eastAsia" w:ascii="宋体" w:hAnsi="宋体" w:eastAsia="宋体" w:cs="宋体"/>
          <w:color w:val="auto"/>
        </w:rPr>
        <w:t>红外测温部件实时采集输变设备表面温度，通过控制部分的微机单元进行数据分析，当温度超过设定阈值时，自动启动制冷部分实现降温。设备整体安装于升级车平台，可快速移动并定位至目标设备进行动态温控。装置主要由以下部分组成：红外测温部件、控制部分、制冷部分、设备工作平台部分。</w:t>
      </w:r>
    </w:p>
    <w:p w14:paraId="4C4894D8">
      <w:pPr>
        <w:pStyle w:val="3"/>
        <w:keepNext/>
        <w:keepLines/>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8"/>
          <w:szCs w:val="28"/>
        </w:rPr>
      </w:pPr>
      <w:bookmarkStart w:id="25" w:name="_Toc15636"/>
      <w:r>
        <w:rPr>
          <w:rFonts w:hint="eastAsia" w:ascii="宋体" w:hAnsi="宋体" w:eastAsia="宋体" w:cs="宋体"/>
          <w:color w:val="auto"/>
          <w:sz w:val="28"/>
          <w:szCs w:val="28"/>
        </w:rPr>
        <w:t>红外测温部件</w:t>
      </w:r>
      <w:bookmarkEnd w:id="25"/>
    </w:p>
    <w:p w14:paraId="36E4A74F">
      <w:pPr>
        <w:rPr>
          <w:rFonts w:hint="eastAsia" w:ascii="宋体" w:hAnsi="宋体" w:eastAsia="宋体" w:cs="宋体"/>
          <w:color w:val="auto"/>
        </w:rPr>
      </w:pPr>
      <w:r>
        <w:rPr>
          <w:rFonts w:hint="eastAsia" w:ascii="宋体" w:hAnsi="宋体" w:eastAsia="宋体" w:cs="宋体"/>
          <w:color w:val="auto"/>
        </w:rPr>
        <w:t>• 实时检测输变设备表面温度；</w:t>
      </w:r>
    </w:p>
    <w:p w14:paraId="43A1EA28">
      <w:pPr>
        <w:rPr>
          <w:rFonts w:hint="eastAsia" w:ascii="宋体" w:hAnsi="宋体" w:eastAsia="宋体" w:cs="宋体"/>
          <w:color w:val="auto"/>
        </w:rPr>
      </w:pPr>
      <w:r>
        <w:rPr>
          <w:rFonts w:hint="eastAsia" w:ascii="宋体" w:hAnsi="宋体" w:eastAsia="宋体" w:cs="宋体"/>
          <w:color w:val="auto"/>
        </w:rPr>
        <w:t>• 通过红外透镜聚焦红外辐射信号，提高测温精度；</w:t>
      </w:r>
    </w:p>
    <w:p w14:paraId="3CB813D5">
      <w:pPr>
        <w:rPr>
          <w:rFonts w:hint="eastAsia" w:ascii="宋体" w:hAnsi="宋体" w:eastAsia="宋体" w:cs="宋体"/>
          <w:color w:val="auto"/>
        </w:rPr>
      </w:pPr>
      <w:r>
        <w:rPr>
          <w:rFonts w:hint="eastAsia" w:ascii="宋体" w:hAnsi="宋体" w:eastAsia="宋体" w:cs="宋体"/>
          <w:color w:val="auto"/>
        </w:rPr>
        <w:t>• 测温范围：</w:t>
      </w:r>
      <w:r>
        <w:rPr>
          <w:rFonts w:hint="eastAsia" w:ascii="宋体" w:hAnsi="宋体" w:eastAsia="宋体" w:cs="宋体"/>
          <w:color w:val="auto"/>
          <w:lang w:val="en-US" w:eastAsia="zh-CN"/>
        </w:rPr>
        <w:t>0</w:t>
      </w:r>
      <w:r>
        <w:rPr>
          <w:rFonts w:hint="eastAsia" w:ascii="宋体" w:hAnsi="宋体" w:eastAsia="宋体" w:cs="宋体"/>
          <w:color w:val="auto"/>
        </w:rPr>
        <w:t>℃～+250℃；测温精度：±</w:t>
      </w:r>
      <w:r>
        <w:rPr>
          <w:rFonts w:hint="eastAsia" w:ascii="宋体" w:hAnsi="宋体" w:eastAsia="宋体" w:cs="宋体"/>
          <w:color w:val="auto"/>
          <w:lang w:val="en-US" w:eastAsia="zh-CN"/>
        </w:rPr>
        <w:t>5</w:t>
      </w:r>
      <w:r>
        <w:rPr>
          <w:rFonts w:hint="eastAsia" w:ascii="宋体" w:hAnsi="宋体" w:eastAsia="宋体" w:cs="宋体"/>
          <w:color w:val="auto"/>
        </w:rPr>
        <w:t>℃或±1%；</w:t>
      </w:r>
    </w:p>
    <w:p w14:paraId="47B3210C">
      <w:pPr>
        <w:rPr>
          <w:rFonts w:hint="eastAsia" w:ascii="宋体" w:hAnsi="宋体" w:eastAsia="宋体" w:cs="宋体"/>
          <w:color w:val="auto"/>
        </w:rPr>
      </w:pPr>
      <w:r>
        <w:rPr>
          <w:rFonts w:hint="eastAsia" w:ascii="宋体" w:hAnsi="宋体" w:eastAsia="宋体" w:cs="宋体"/>
          <w:color w:val="auto"/>
        </w:rPr>
        <w:t>• 输出接口支持RS485。</w:t>
      </w:r>
    </w:p>
    <w:p w14:paraId="22D5B381">
      <w:pPr>
        <w:pStyle w:val="3"/>
        <w:keepNext/>
        <w:keepLines/>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8"/>
          <w:szCs w:val="28"/>
        </w:rPr>
      </w:pPr>
      <w:bookmarkStart w:id="26" w:name="_Toc30184"/>
      <w:r>
        <w:rPr>
          <w:rFonts w:hint="eastAsia" w:ascii="宋体" w:hAnsi="宋体" w:eastAsia="宋体" w:cs="宋体"/>
          <w:color w:val="auto"/>
          <w:sz w:val="28"/>
          <w:szCs w:val="28"/>
        </w:rPr>
        <w:t>控制部分</w:t>
      </w:r>
      <w:bookmarkEnd w:id="26"/>
    </w:p>
    <w:p w14:paraId="6F3344F8">
      <w:pPr>
        <w:rPr>
          <w:rFonts w:hint="eastAsia" w:ascii="宋体" w:hAnsi="宋体" w:eastAsia="宋体" w:cs="宋体"/>
          <w:color w:val="auto"/>
        </w:rPr>
      </w:pPr>
      <w:r>
        <w:rPr>
          <w:rFonts w:hint="eastAsia" w:ascii="宋体" w:hAnsi="宋体" w:eastAsia="宋体" w:cs="宋体"/>
          <w:color w:val="auto"/>
        </w:rPr>
        <w:t>• 微机控制单元接收红外测温数据；</w:t>
      </w:r>
    </w:p>
    <w:p w14:paraId="6EA6A342">
      <w:pPr>
        <w:rPr>
          <w:rFonts w:hint="eastAsia" w:ascii="宋体" w:hAnsi="宋体" w:eastAsia="宋体" w:cs="宋体"/>
          <w:color w:val="auto"/>
        </w:rPr>
      </w:pPr>
      <w:r>
        <w:rPr>
          <w:rFonts w:hint="eastAsia" w:ascii="宋体" w:hAnsi="宋体" w:eastAsia="宋体" w:cs="宋体"/>
          <w:color w:val="auto"/>
        </w:rPr>
        <w:t>• 根据设定的温度阈值自动启动或调节制冷部分；</w:t>
      </w:r>
    </w:p>
    <w:p w14:paraId="44BD7880">
      <w:pPr>
        <w:rPr>
          <w:rFonts w:hint="eastAsia" w:ascii="宋体" w:hAnsi="宋体" w:eastAsia="宋体" w:cs="宋体"/>
          <w:color w:val="auto"/>
        </w:rPr>
      </w:pPr>
      <w:r>
        <w:rPr>
          <w:rFonts w:hint="eastAsia" w:ascii="宋体" w:hAnsi="宋体" w:eastAsia="宋体" w:cs="宋体"/>
          <w:color w:val="auto"/>
        </w:rPr>
        <w:t>• 支持手动/自动模式与超温报警；</w:t>
      </w:r>
    </w:p>
    <w:p w14:paraId="4F064EA6">
      <w:pPr>
        <w:rPr>
          <w:rFonts w:hint="eastAsia" w:ascii="宋体" w:hAnsi="宋体" w:eastAsia="宋体" w:cs="宋体"/>
          <w:color w:val="auto"/>
        </w:rPr>
      </w:pPr>
      <w:r>
        <w:rPr>
          <w:rFonts w:hint="eastAsia" w:ascii="宋体" w:hAnsi="宋体" w:eastAsia="宋体" w:cs="宋体"/>
          <w:color w:val="auto"/>
        </w:rPr>
        <w:t>• 控制响应时间≤</w:t>
      </w:r>
      <w:r>
        <w:rPr>
          <w:rFonts w:hint="eastAsia" w:ascii="宋体" w:hAnsi="宋体" w:eastAsia="宋体" w:cs="宋体"/>
          <w:color w:val="auto"/>
          <w:lang w:val="en-US" w:eastAsia="zh-CN"/>
        </w:rPr>
        <w:t>3</w:t>
      </w:r>
      <w:r>
        <w:rPr>
          <w:rFonts w:hint="eastAsia" w:ascii="宋体" w:hAnsi="宋体" w:eastAsia="宋体" w:cs="宋体"/>
          <w:color w:val="auto"/>
        </w:rPr>
        <w:t>s，数据采样频率≥1Hz。</w:t>
      </w:r>
    </w:p>
    <w:p w14:paraId="6FBE9808">
      <w:pPr>
        <w:pStyle w:val="3"/>
        <w:keepNext/>
        <w:keepLines/>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8"/>
          <w:szCs w:val="28"/>
        </w:rPr>
      </w:pPr>
      <w:bookmarkStart w:id="27" w:name="_Toc8435"/>
      <w:r>
        <w:rPr>
          <w:rFonts w:hint="eastAsia" w:ascii="宋体" w:hAnsi="宋体" w:eastAsia="宋体" w:cs="宋体"/>
          <w:color w:val="auto"/>
          <w:sz w:val="28"/>
          <w:szCs w:val="28"/>
        </w:rPr>
        <w:t>制冷部分</w:t>
      </w:r>
      <w:bookmarkEnd w:id="27"/>
    </w:p>
    <w:p w14:paraId="720B819C">
      <w:pPr>
        <w:rPr>
          <w:rFonts w:hint="eastAsia" w:ascii="宋体" w:hAnsi="宋体" w:eastAsia="宋体" w:cs="宋体"/>
          <w:color w:val="auto"/>
        </w:rPr>
      </w:pPr>
      <w:r>
        <w:rPr>
          <w:rFonts w:hint="eastAsia" w:ascii="宋体" w:hAnsi="宋体" w:eastAsia="宋体" w:cs="宋体"/>
          <w:color w:val="auto"/>
        </w:rPr>
        <w:t>• 包括压缩机制冷单元和/或风冷系统；</w:t>
      </w:r>
    </w:p>
    <w:p w14:paraId="12AB9039">
      <w:pPr>
        <w:rPr>
          <w:rFonts w:hint="eastAsia" w:ascii="宋体" w:hAnsi="宋体" w:eastAsia="宋体" w:cs="宋体"/>
          <w:color w:val="auto"/>
        </w:rPr>
      </w:pPr>
      <w:r>
        <w:rPr>
          <w:rFonts w:hint="eastAsia" w:ascii="宋体" w:hAnsi="宋体" w:eastAsia="宋体" w:cs="宋体"/>
          <w:color w:val="auto"/>
        </w:rPr>
        <w:t>• 根据控制信号自动调节输出功率；</w:t>
      </w:r>
    </w:p>
    <w:p w14:paraId="7F49657F">
      <w:pPr>
        <w:rPr>
          <w:rFonts w:hint="eastAsia" w:ascii="宋体" w:hAnsi="宋体" w:eastAsia="宋体" w:cs="宋体"/>
          <w:color w:val="auto"/>
        </w:rPr>
      </w:pPr>
      <w:r>
        <w:rPr>
          <w:rFonts w:hint="eastAsia" w:ascii="宋体" w:hAnsi="宋体" w:eastAsia="宋体" w:cs="宋体"/>
          <w:color w:val="auto"/>
        </w:rPr>
        <w:t>• 制冷能力≥</w:t>
      </w:r>
      <w:r>
        <w:rPr>
          <w:rFonts w:hint="eastAsia" w:ascii="宋体" w:hAnsi="宋体" w:eastAsia="宋体" w:cs="宋体"/>
          <w:color w:val="auto"/>
          <w:lang w:val="en-US" w:eastAsia="zh-CN"/>
        </w:rPr>
        <w:t>10</w:t>
      </w:r>
      <w:r>
        <w:rPr>
          <w:rFonts w:hint="eastAsia" w:ascii="宋体" w:hAnsi="宋体" w:eastAsia="宋体" w:cs="宋体"/>
          <w:color w:val="auto"/>
        </w:rPr>
        <w:t>00W，响应时间≤</w:t>
      </w:r>
      <w:r>
        <w:rPr>
          <w:rFonts w:hint="eastAsia" w:ascii="宋体" w:hAnsi="宋体" w:eastAsia="宋体" w:cs="宋体"/>
          <w:color w:val="auto"/>
          <w:lang w:val="en-US" w:eastAsia="zh-CN"/>
        </w:rPr>
        <w:t>3</w:t>
      </w:r>
      <w:r>
        <w:rPr>
          <w:rFonts w:hint="eastAsia" w:ascii="宋体" w:hAnsi="宋体" w:eastAsia="宋体" w:cs="宋体"/>
          <w:color w:val="auto"/>
        </w:rPr>
        <w:t>s；</w:t>
      </w:r>
    </w:p>
    <w:p w14:paraId="7B48D07D">
      <w:pPr>
        <w:rPr>
          <w:rFonts w:hint="eastAsia" w:ascii="宋体" w:hAnsi="宋体" w:eastAsia="宋体" w:cs="宋体"/>
          <w:color w:val="auto"/>
        </w:rPr>
      </w:pPr>
      <w:r>
        <w:rPr>
          <w:rFonts w:hint="eastAsia" w:ascii="宋体" w:hAnsi="宋体" w:eastAsia="宋体" w:cs="宋体"/>
          <w:color w:val="auto"/>
        </w:rPr>
        <w:t>• 环境适应温度－10℃～+55℃。</w:t>
      </w:r>
    </w:p>
    <w:p w14:paraId="25D2E0A5">
      <w:pPr>
        <w:pStyle w:val="3"/>
        <w:keepNext/>
        <w:keepLines/>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8"/>
          <w:szCs w:val="28"/>
        </w:rPr>
      </w:pPr>
      <w:bookmarkStart w:id="28" w:name="_Toc7469"/>
      <w:r>
        <w:rPr>
          <w:rFonts w:hint="eastAsia" w:ascii="宋体" w:hAnsi="宋体" w:eastAsia="宋体" w:cs="宋体"/>
          <w:color w:val="auto"/>
          <w:sz w:val="28"/>
          <w:szCs w:val="28"/>
        </w:rPr>
        <w:t>设备工作平台部分</w:t>
      </w:r>
      <w:bookmarkEnd w:id="28"/>
    </w:p>
    <w:p w14:paraId="67781AE5">
      <w:pPr>
        <w:rPr>
          <w:rFonts w:hint="eastAsia" w:ascii="宋体" w:hAnsi="宋体" w:eastAsia="宋体" w:cs="宋体"/>
          <w:color w:val="auto"/>
        </w:rPr>
      </w:pPr>
      <w:r>
        <w:rPr>
          <w:rFonts w:hint="eastAsia" w:ascii="宋体" w:hAnsi="宋体" w:eastAsia="宋体" w:cs="宋体"/>
          <w:color w:val="auto"/>
        </w:rPr>
        <w:t>• 采用升级车结构，便于装置移动与定位；</w:t>
      </w:r>
    </w:p>
    <w:p w14:paraId="129236E0">
      <w:pPr>
        <w:rPr>
          <w:rFonts w:hint="eastAsia" w:ascii="宋体" w:hAnsi="宋体" w:eastAsia="宋体" w:cs="宋体"/>
          <w:color w:val="auto"/>
        </w:rPr>
      </w:pPr>
      <w:r>
        <w:rPr>
          <w:rFonts w:hint="eastAsia" w:ascii="宋体" w:hAnsi="宋体" w:eastAsia="宋体" w:cs="宋体"/>
          <w:color w:val="auto"/>
        </w:rPr>
        <w:t>• 平台具备移动轮、刹车与支撑脚结构；</w:t>
      </w:r>
    </w:p>
    <w:p w14:paraId="7E2C7D11">
      <w:pPr>
        <w:rPr>
          <w:rFonts w:hint="eastAsia" w:ascii="宋体" w:hAnsi="宋体" w:eastAsia="宋体" w:cs="宋体"/>
          <w:color w:val="auto"/>
        </w:rPr>
      </w:pPr>
      <w:r>
        <w:rPr>
          <w:rFonts w:hint="eastAsia" w:ascii="宋体" w:hAnsi="宋体" w:eastAsia="宋体" w:cs="宋体"/>
          <w:color w:val="auto"/>
        </w:rPr>
        <w:t>• 用于安装测温、控制与制冷单元；</w:t>
      </w:r>
    </w:p>
    <w:p w14:paraId="7CA4326A">
      <w:pPr>
        <w:rPr>
          <w:rFonts w:hint="eastAsia" w:ascii="宋体" w:hAnsi="宋体" w:eastAsia="宋体" w:cs="宋体"/>
          <w:color w:val="auto"/>
        </w:rPr>
      </w:pPr>
      <w:r>
        <w:rPr>
          <w:rFonts w:hint="eastAsia" w:ascii="宋体" w:hAnsi="宋体" w:eastAsia="宋体" w:cs="宋体"/>
          <w:color w:val="auto"/>
        </w:rPr>
        <w:t>• 适用于现场维护及快速部署。</w:t>
      </w:r>
    </w:p>
    <w:p w14:paraId="64A53B51">
      <w:pPr>
        <w:pStyle w:val="5"/>
        <w:ind w:firstLine="480"/>
        <w:rPr>
          <w:rFonts w:hint="eastAsia"/>
          <w:b/>
          <w:bCs/>
          <w:lang w:val="en-US" w:eastAsia="zh-CN"/>
        </w:rPr>
      </w:pPr>
      <w:r>
        <w:rPr>
          <w:rFonts w:hint="eastAsia"/>
          <w:b/>
          <w:bCs/>
          <w:lang w:val="en-US" w:eastAsia="zh-CN"/>
        </w:rPr>
        <w:t>5.2.2技术参数：</w:t>
      </w:r>
    </w:p>
    <w:tbl>
      <w:tblPr>
        <w:tblStyle w:val="18"/>
        <w:tblW w:w="0" w:type="auto"/>
        <w:tblInd w:w="0" w:type="dxa"/>
        <w:tblLayout w:type="autofit"/>
        <w:tblCellMar>
          <w:top w:w="0" w:type="dxa"/>
          <w:left w:w="108" w:type="dxa"/>
          <w:bottom w:w="0" w:type="dxa"/>
          <w:right w:w="108" w:type="dxa"/>
        </w:tblCellMar>
      </w:tblPr>
      <w:tblGrid>
        <w:gridCol w:w="2837"/>
        <w:gridCol w:w="2848"/>
        <w:gridCol w:w="2837"/>
      </w:tblGrid>
      <w:tr w14:paraId="4FCCE7C9">
        <w:tblPrEx>
          <w:tblCellMar>
            <w:top w:w="0" w:type="dxa"/>
            <w:left w:w="108" w:type="dxa"/>
            <w:bottom w:w="0" w:type="dxa"/>
            <w:right w:w="108" w:type="dxa"/>
          </w:tblCellMar>
        </w:tblPrEx>
        <w:tc>
          <w:tcPr>
            <w:tcW w:w="2880" w:type="dxa"/>
          </w:tcPr>
          <w:p w14:paraId="5F74EB54">
            <w:pPr>
              <w:rPr>
                <w:rFonts w:hint="eastAsia" w:ascii="宋体" w:hAnsi="宋体" w:eastAsia="宋体" w:cs="宋体"/>
                <w:color w:val="auto"/>
              </w:rPr>
            </w:pPr>
            <w:r>
              <w:rPr>
                <w:rFonts w:hint="eastAsia" w:ascii="宋体" w:hAnsi="宋体" w:eastAsia="宋体" w:cs="宋体"/>
                <w:color w:val="auto"/>
              </w:rPr>
              <w:t>项目</w:t>
            </w:r>
          </w:p>
        </w:tc>
        <w:tc>
          <w:tcPr>
            <w:tcW w:w="2880" w:type="dxa"/>
          </w:tcPr>
          <w:p w14:paraId="0ADDB155">
            <w:pPr>
              <w:rPr>
                <w:rFonts w:hint="eastAsia" w:ascii="宋体" w:hAnsi="宋体" w:eastAsia="宋体" w:cs="宋体"/>
                <w:color w:val="auto"/>
              </w:rPr>
            </w:pPr>
            <w:r>
              <w:rPr>
                <w:rFonts w:hint="eastAsia" w:ascii="宋体" w:hAnsi="宋体" w:eastAsia="宋体" w:cs="宋体"/>
                <w:color w:val="auto"/>
              </w:rPr>
              <w:t>技术参数</w:t>
            </w:r>
          </w:p>
        </w:tc>
        <w:tc>
          <w:tcPr>
            <w:tcW w:w="2880" w:type="dxa"/>
          </w:tcPr>
          <w:p w14:paraId="75475F0B">
            <w:pPr>
              <w:rPr>
                <w:rFonts w:hint="eastAsia" w:ascii="宋体" w:hAnsi="宋体" w:eastAsia="宋体" w:cs="宋体"/>
                <w:color w:val="auto"/>
              </w:rPr>
            </w:pPr>
            <w:r>
              <w:rPr>
                <w:rFonts w:hint="eastAsia" w:ascii="宋体" w:hAnsi="宋体" w:eastAsia="宋体" w:cs="宋体"/>
                <w:color w:val="auto"/>
              </w:rPr>
              <w:t>备注</w:t>
            </w:r>
          </w:p>
        </w:tc>
      </w:tr>
      <w:tr w14:paraId="221D70EE">
        <w:tblPrEx>
          <w:tblCellMar>
            <w:top w:w="0" w:type="dxa"/>
            <w:left w:w="108" w:type="dxa"/>
            <w:bottom w:w="0" w:type="dxa"/>
            <w:right w:w="108" w:type="dxa"/>
          </w:tblCellMar>
        </w:tblPrEx>
        <w:tc>
          <w:tcPr>
            <w:tcW w:w="2880" w:type="dxa"/>
          </w:tcPr>
          <w:p w14:paraId="0D2FAD93">
            <w:pPr>
              <w:rPr>
                <w:rFonts w:hint="eastAsia" w:ascii="宋体" w:hAnsi="宋体" w:eastAsia="宋体" w:cs="宋体"/>
                <w:color w:val="auto"/>
              </w:rPr>
            </w:pPr>
            <w:r>
              <w:rPr>
                <w:rFonts w:hint="eastAsia" w:ascii="宋体" w:hAnsi="宋体" w:eastAsia="宋体" w:cs="宋体"/>
                <w:color w:val="auto"/>
              </w:rPr>
              <w:t>测温范围</w:t>
            </w:r>
          </w:p>
        </w:tc>
        <w:tc>
          <w:tcPr>
            <w:tcW w:w="2880" w:type="dxa"/>
          </w:tcPr>
          <w:p w14:paraId="4704D5BE">
            <w:pPr>
              <w:rPr>
                <w:rFonts w:hint="eastAsia" w:ascii="宋体" w:hAnsi="宋体" w:eastAsia="宋体" w:cs="宋体"/>
                <w:color w:val="auto"/>
              </w:rPr>
            </w:pPr>
            <w:r>
              <w:rPr>
                <w:rFonts w:hint="eastAsia" w:ascii="宋体" w:hAnsi="宋体" w:eastAsia="宋体" w:cs="宋体"/>
                <w:color w:val="auto"/>
                <w:lang w:val="en-US" w:eastAsia="zh-CN"/>
              </w:rPr>
              <w:t>0</w:t>
            </w:r>
            <w:r>
              <w:rPr>
                <w:rFonts w:hint="eastAsia" w:ascii="宋体" w:hAnsi="宋体" w:eastAsia="宋体" w:cs="宋体"/>
                <w:color w:val="auto"/>
              </w:rPr>
              <w:t>℃～+250℃</w:t>
            </w:r>
          </w:p>
        </w:tc>
        <w:tc>
          <w:tcPr>
            <w:tcW w:w="2880" w:type="dxa"/>
          </w:tcPr>
          <w:p w14:paraId="1CC7A67B">
            <w:pPr>
              <w:rPr>
                <w:rFonts w:hint="eastAsia" w:ascii="宋体" w:hAnsi="宋体" w:eastAsia="宋体" w:cs="宋体"/>
                <w:color w:val="auto"/>
              </w:rPr>
            </w:pPr>
            <w:r>
              <w:rPr>
                <w:rFonts w:hint="eastAsia" w:ascii="宋体" w:hAnsi="宋体" w:eastAsia="宋体" w:cs="宋体"/>
                <w:color w:val="auto"/>
              </w:rPr>
              <w:t>可扩展</w:t>
            </w:r>
          </w:p>
        </w:tc>
      </w:tr>
      <w:tr w14:paraId="684E9921">
        <w:tblPrEx>
          <w:tblCellMar>
            <w:top w:w="0" w:type="dxa"/>
            <w:left w:w="108" w:type="dxa"/>
            <w:bottom w:w="0" w:type="dxa"/>
            <w:right w:w="108" w:type="dxa"/>
          </w:tblCellMar>
        </w:tblPrEx>
        <w:tc>
          <w:tcPr>
            <w:tcW w:w="2880" w:type="dxa"/>
          </w:tcPr>
          <w:p w14:paraId="63097598">
            <w:pPr>
              <w:rPr>
                <w:rFonts w:hint="eastAsia" w:ascii="宋体" w:hAnsi="宋体" w:eastAsia="宋体" w:cs="宋体"/>
                <w:color w:val="auto"/>
              </w:rPr>
            </w:pPr>
            <w:r>
              <w:rPr>
                <w:rFonts w:hint="eastAsia" w:ascii="宋体" w:hAnsi="宋体" w:eastAsia="宋体" w:cs="宋体"/>
                <w:color w:val="auto"/>
              </w:rPr>
              <w:t>测温精度</w:t>
            </w:r>
          </w:p>
        </w:tc>
        <w:tc>
          <w:tcPr>
            <w:tcW w:w="2880" w:type="dxa"/>
          </w:tcPr>
          <w:p w14:paraId="1C69B31A">
            <w:pPr>
              <w:rPr>
                <w:rFonts w:hint="eastAsia" w:ascii="宋体" w:hAnsi="宋体" w:eastAsia="宋体" w:cs="宋体"/>
                <w:color w:val="auto"/>
              </w:rPr>
            </w:pPr>
            <w:r>
              <w:rPr>
                <w:rFonts w:hint="eastAsia" w:ascii="宋体" w:hAnsi="宋体" w:eastAsia="宋体" w:cs="宋体"/>
                <w:color w:val="auto"/>
              </w:rPr>
              <w:t>±1℃或±1%</w:t>
            </w:r>
          </w:p>
        </w:tc>
        <w:tc>
          <w:tcPr>
            <w:tcW w:w="2880" w:type="dxa"/>
          </w:tcPr>
          <w:p w14:paraId="27F856C5">
            <w:pPr>
              <w:rPr>
                <w:rFonts w:hint="eastAsia" w:ascii="宋体" w:hAnsi="宋体" w:eastAsia="宋体" w:cs="宋体"/>
                <w:color w:val="auto"/>
              </w:rPr>
            </w:pPr>
            <w:r>
              <w:rPr>
                <w:rFonts w:hint="eastAsia" w:ascii="宋体" w:hAnsi="宋体" w:eastAsia="宋体" w:cs="宋体"/>
                <w:color w:val="auto"/>
              </w:rPr>
              <w:t>取较大值</w:t>
            </w:r>
          </w:p>
        </w:tc>
      </w:tr>
      <w:tr w14:paraId="35235A0C">
        <w:tblPrEx>
          <w:tblCellMar>
            <w:top w:w="0" w:type="dxa"/>
            <w:left w:w="108" w:type="dxa"/>
            <w:bottom w:w="0" w:type="dxa"/>
            <w:right w:w="108" w:type="dxa"/>
          </w:tblCellMar>
        </w:tblPrEx>
        <w:tc>
          <w:tcPr>
            <w:tcW w:w="2880" w:type="dxa"/>
          </w:tcPr>
          <w:p w14:paraId="54C41250">
            <w:pPr>
              <w:rPr>
                <w:rFonts w:hint="eastAsia" w:ascii="宋体" w:hAnsi="宋体" w:eastAsia="宋体" w:cs="宋体"/>
                <w:color w:val="auto"/>
              </w:rPr>
            </w:pPr>
            <w:r>
              <w:rPr>
                <w:rFonts w:hint="eastAsia" w:ascii="宋体" w:hAnsi="宋体" w:eastAsia="宋体" w:cs="宋体"/>
                <w:color w:val="auto"/>
              </w:rPr>
              <w:t>数据刷新率</w:t>
            </w:r>
          </w:p>
        </w:tc>
        <w:tc>
          <w:tcPr>
            <w:tcW w:w="2880" w:type="dxa"/>
          </w:tcPr>
          <w:p w14:paraId="5F299149">
            <w:pP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0.5</w:t>
            </w:r>
            <w:r>
              <w:rPr>
                <w:rFonts w:hint="eastAsia" w:ascii="宋体" w:hAnsi="宋体" w:eastAsia="宋体" w:cs="宋体"/>
                <w:color w:val="auto"/>
              </w:rPr>
              <w:t>Hz</w:t>
            </w:r>
          </w:p>
        </w:tc>
        <w:tc>
          <w:tcPr>
            <w:tcW w:w="2880" w:type="dxa"/>
          </w:tcPr>
          <w:p w14:paraId="339188E8">
            <w:pPr>
              <w:rPr>
                <w:rFonts w:hint="eastAsia" w:ascii="宋体" w:hAnsi="宋体" w:eastAsia="宋体" w:cs="宋体"/>
                <w:color w:val="auto"/>
              </w:rPr>
            </w:pPr>
          </w:p>
        </w:tc>
      </w:tr>
      <w:tr w14:paraId="17145BB8">
        <w:tblPrEx>
          <w:tblCellMar>
            <w:top w:w="0" w:type="dxa"/>
            <w:left w:w="108" w:type="dxa"/>
            <w:bottom w:w="0" w:type="dxa"/>
            <w:right w:w="108" w:type="dxa"/>
          </w:tblCellMar>
        </w:tblPrEx>
        <w:tc>
          <w:tcPr>
            <w:tcW w:w="2880" w:type="dxa"/>
          </w:tcPr>
          <w:p w14:paraId="4148DED6">
            <w:pPr>
              <w:rPr>
                <w:rFonts w:hint="eastAsia" w:ascii="宋体" w:hAnsi="宋体" w:eastAsia="宋体" w:cs="宋体"/>
                <w:color w:val="auto"/>
              </w:rPr>
            </w:pPr>
            <w:r>
              <w:rPr>
                <w:rFonts w:hint="eastAsia" w:ascii="宋体" w:hAnsi="宋体" w:eastAsia="宋体" w:cs="宋体"/>
                <w:color w:val="auto"/>
              </w:rPr>
              <w:t>控制响应时间</w:t>
            </w:r>
          </w:p>
        </w:tc>
        <w:tc>
          <w:tcPr>
            <w:tcW w:w="2880" w:type="dxa"/>
          </w:tcPr>
          <w:p w14:paraId="24450CB6">
            <w:pP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s</w:t>
            </w:r>
          </w:p>
        </w:tc>
        <w:tc>
          <w:tcPr>
            <w:tcW w:w="2880" w:type="dxa"/>
          </w:tcPr>
          <w:p w14:paraId="7E87F84A">
            <w:pPr>
              <w:rPr>
                <w:rFonts w:hint="eastAsia" w:ascii="宋体" w:hAnsi="宋体" w:eastAsia="宋体" w:cs="宋体"/>
                <w:color w:val="auto"/>
              </w:rPr>
            </w:pPr>
          </w:p>
        </w:tc>
      </w:tr>
      <w:tr w14:paraId="32BA03FD">
        <w:tblPrEx>
          <w:tblCellMar>
            <w:top w:w="0" w:type="dxa"/>
            <w:left w:w="108" w:type="dxa"/>
            <w:bottom w:w="0" w:type="dxa"/>
            <w:right w:w="108" w:type="dxa"/>
          </w:tblCellMar>
        </w:tblPrEx>
        <w:tc>
          <w:tcPr>
            <w:tcW w:w="2880" w:type="dxa"/>
          </w:tcPr>
          <w:p w14:paraId="3A86061D">
            <w:pPr>
              <w:rPr>
                <w:rFonts w:hint="eastAsia" w:ascii="宋体" w:hAnsi="宋体" w:eastAsia="宋体" w:cs="宋体"/>
                <w:color w:val="auto"/>
              </w:rPr>
            </w:pPr>
            <w:r>
              <w:rPr>
                <w:rFonts w:hint="eastAsia" w:ascii="宋体" w:hAnsi="宋体" w:eastAsia="宋体" w:cs="宋体"/>
                <w:color w:val="auto"/>
              </w:rPr>
              <w:t>制冷功率</w:t>
            </w:r>
          </w:p>
        </w:tc>
        <w:tc>
          <w:tcPr>
            <w:tcW w:w="2880" w:type="dxa"/>
          </w:tcPr>
          <w:p w14:paraId="40EB48B4">
            <w:pP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10</w:t>
            </w:r>
            <w:r>
              <w:rPr>
                <w:rFonts w:hint="eastAsia" w:ascii="宋体" w:hAnsi="宋体" w:eastAsia="宋体" w:cs="宋体"/>
                <w:color w:val="auto"/>
              </w:rPr>
              <w:t>00W</w:t>
            </w:r>
          </w:p>
        </w:tc>
        <w:tc>
          <w:tcPr>
            <w:tcW w:w="2880" w:type="dxa"/>
          </w:tcPr>
          <w:p w14:paraId="66358C88">
            <w:pPr>
              <w:rPr>
                <w:rFonts w:hint="eastAsia" w:ascii="宋体" w:hAnsi="宋体" w:eastAsia="宋体" w:cs="宋体"/>
                <w:color w:val="auto"/>
              </w:rPr>
            </w:pPr>
          </w:p>
        </w:tc>
      </w:tr>
      <w:tr w14:paraId="5E38B417">
        <w:tblPrEx>
          <w:tblCellMar>
            <w:top w:w="0" w:type="dxa"/>
            <w:left w:w="108" w:type="dxa"/>
            <w:bottom w:w="0" w:type="dxa"/>
            <w:right w:w="108" w:type="dxa"/>
          </w:tblCellMar>
        </w:tblPrEx>
        <w:tc>
          <w:tcPr>
            <w:tcW w:w="2880" w:type="dxa"/>
          </w:tcPr>
          <w:p w14:paraId="1CCA82FC">
            <w:pPr>
              <w:rPr>
                <w:rFonts w:hint="eastAsia" w:ascii="宋体" w:hAnsi="宋体" w:eastAsia="宋体" w:cs="宋体"/>
                <w:color w:val="auto"/>
              </w:rPr>
            </w:pPr>
            <w:r>
              <w:rPr>
                <w:rFonts w:hint="eastAsia" w:ascii="宋体" w:hAnsi="宋体" w:eastAsia="宋体" w:cs="宋体"/>
                <w:color w:val="auto"/>
              </w:rPr>
              <w:t>环境温度</w:t>
            </w:r>
          </w:p>
        </w:tc>
        <w:tc>
          <w:tcPr>
            <w:tcW w:w="2880" w:type="dxa"/>
          </w:tcPr>
          <w:p w14:paraId="15CA00CA">
            <w:pPr>
              <w:rPr>
                <w:rFonts w:hint="eastAsia" w:ascii="宋体" w:hAnsi="宋体" w:eastAsia="宋体" w:cs="宋体"/>
                <w:color w:val="auto"/>
              </w:rPr>
            </w:pPr>
            <w:r>
              <w:rPr>
                <w:rFonts w:hint="eastAsia" w:ascii="宋体" w:hAnsi="宋体" w:eastAsia="宋体" w:cs="宋体"/>
                <w:color w:val="auto"/>
              </w:rPr>
              <w:t>-10℃～+55℃</w:t>
            </w:r>
          </w:p>
        </w:tc>
        <w:tc>
          <w:tcPr>
            <w:tcW w:w="2880" w:type="dxa"/>
          </w:tcPr>
          <w:p w14:paraId="5AA53EE8">
            <w:pPr>
              <w:rPr>
                <w:rFonts w:hint="eastAsia" w:ascii="宋体" w:hAnsi="宋体" w:eastAsia="宋体" w:cs="宋体"/>
                <w:color w:val="auto"/>
              </w:rPr>
            </w:pPr>
          </w:p>
        </w:tc>
      </w:tr>
      <w:tr w14:paraId="3EFD5301">
        <w:tblPrEx>
          <w:tblCellMar>
            <w:top w:w="0" w:type="dxa"/>
            <w:left w:w="108" w:type="dxa"/>
            <w:bottom w:w="0" w:type="dxa"/>
            <w:right w:w="108" w:type="dxa"/>
          </w:tblCellMar>
        </w:tblPrEx>
        <w:tc>
          <w:tcPr>
            <w:tcW w:w="2880" w:type="dxa"/>
          </w:tcPr>
          <w:p w14:paraId="64AB9AEE">
            <w:pPr>
              <w:rPr>
                <w:rFonts w:hint="eastAsia" w:ascii="宋体" w:hAnsi="宋体" w:eastAsia="宋体" w:cs="宋体"/>
                <w:color w:val="auto"/>
              </w:rPr>
            </w:pPr>
            <w:r>
              <w:rPr>
                <w:rFonts w:hint="eastAsia" w:ascii="宋体" w:hAnsi="宋体" w:eastAsia="宋体" w:cs="宋体"/>
                <w:color w:val="auto"/>
              </w:rPr>
              <w:t>通信方式</w:t>
            </w:r>
          </w:p>
        </w:tc>
        <w:tc>
          <w:tcPr>
            <w:tcW w:w="2880" w:type="dxa"/>
          </w:tcPr>
          <w:p w14:paraId="323A581B">
            <w:pPr>
              <w:rPr>
                <w:rFonts w:hint="eastAsia" w:ascii="宋体" w:hAnsi="宋体" w:eastAsia="宋体" w:cs="宋体"/>
                <w:color w:val="auto"/>
              </w:rPr>
            </w:pPr>
            <w:r>
              <w:rPr>
                <w:rFonts w:hint="eastAsia" w:ascii="宋体" w:hAnsi="宋体" w:eastAsia="宋体" w:cs="宋体"/>
                <w:color w:val="auto"/>
              </w:rPr>
              <w:t xml:space="preserve">RS485 </w:t>
            </w:r>
          </w:p>
        </w:tc>
        <w:tc>
          <w:tcPr>
            <w:tcW w:w="2880" w:type="dxa"/>
          </w:tcPr>
          <w:p w14:paraId="0A4E3A2E">
            <w:pPr>
              <w:rPr>
                <w:rFonts w:hint="eastAsia" w:ascii="宋体" w:hAnsi="宋体" w:eastAsia="宋体" w:cs="宋体"/>
                <w:color w:val="auto"/>
              </w:rPr>
            </w:pPr>
          </w:p>
        </w:tc>
      </w:tr>
      <w:tr w14:paraId="1F515A46">
        <w:tblPrEx>
          <w:tblCellMar>
            <w:top w:w="0" w:type="dxa"/>
            <w:left w:w="108" w:type="dxa"/>
            <w:bottom w:w="0" w:type="dxa"/>
            <w:right w:w="108" w:type="dxa"/>
          </w:tblCellMar>
        </w:tblPrEx>
        <w:tc>
          <w:tcPr>
            <w:tcW w:w="2880" w:type="dxa"/>
          </w:tcPr>
          <w:p w14:paraId="6928281F">
            <w:pPr>
              <w:rPr>
                <w:rFonts w:hint="eastAsia" w:ascii="宋体" w:hAnsi="宋体" w:eastAsia="宋体" w:cs="宋体"/>
                <w:color w:val="auto"/>
              </w:rPr>
            </w:pPr>
            <w:r>
              <w:rPr>
                <w:rFonts w:hint="eastAsia" w:ascii="宋体" w:hAnsi="宋体" w:eastAsia="宋体" w:cs="宋体"/>
                <w:color w:val="auto"/>
              </w:rPr>
              <w:t>平台移动方式</w:t>
            </w:r>
          </w:p>
        </w:tc>
        <w:tc>
          <w:tcPr>
            <w:tcW w:w="2880" w:type="dxa"/>
          </w:tcPr>
          <w:p w14:paraId="4952459B">
            <w:pPr>
              <w:rPr>
                <w:rFonts w:hint="eastAsia" w:ascii="宋体" w:hAnsi="宋体" w:eastAsia="宋体" w:cs="宋体"/>
                <w:color w:val="auto"/>
              </w:rPr>
            </w:pPr>
            <w:r>
              <w:rPr>
                <w:rFonts w:hint="eastAsia" w:ascii="宋体" w:hAnsi="宋体" w:eastAsia="宋体" w:cs="宋体"/>
                <w:color w:val="auto"/>
              </w:rPr>
              <w:t>手推 / 电动</w:t>
            </w:r>
          </w:p>
        </w:tc>
        <w:tc>
          <w:tcPr>
            <w:tcW w:w="2880" w:type="dxa"/>
          </w:tcPr>
          <w:p w14:paraId="247B05F2">
            <w:pPr>
              <w:rPr>
                <w:rFonts w:hint="eastAsia" w:ascii="宋体" w:hAnsi="宋体" w:eastAsia="宋体" w:cs="宋体"/>
                <w:color w:val="auto"/>
              </w:rPr>
            </w:pPr>
          </w:p>
        </w:tc>
      </w:tr>
      <w:tr w14:paraId="06A59FEB">
        <w:tblPrEx>
          <w:tblCellMar>
            <w:top w:w="0" w:type="dxa"/>
            <w:left w:w="108" w:type="dxa"/>
            <w:bottom w:w="0" w:type="dxa"/>
            <w:right w:w="108" w:type="dxa"/>
          </w:tblCellMar>
        </w:tblPrEx>
        <w:tc>
          <w:tcPr>
            <w:tcW w:w="2880" w:type="dxa"/>
          </w:tcPr>
          <w:p w14:paraId="58F596DB">
            <w:pPr>
              <w:rPr>
                <w:rFonts w:hint="eastAsia" w:ascii="宋体" w:hAnsi="宋体" w:eastAsia="宋体" w:cs="宋体"/>
                <w:color w:val="auto"/>
              </w:rPr>
            </w:pPr>
            <w:r>
              <w:rPr>
                <w:rFonts w:hint="eastAsia" w:ascii="宋体" w:hAnsi="宋体" w:eastAsia="宋体" w:cs="宋体"/>
                <w:color w:val="auto"/>
              </w:rPr>
              <w:t>电源</w:t>
            </w:r>
          </w:p>
        </w:tc>
        <w:tc>
          <w:tcPr>
            <w:tcW w:w="2880" w:type="dxa"/>
          </w:tcPr>
          <w:p w14:paraId="675A3D99">
            <w:pPr>
              <w:rPr>
                <w:rFonts w:hint="eastAsia" w:ascii="宋体" w:hAnsi="宋体" w:eastAsia="宋体" w:cs="宋体"/>
                <w:color w:val="auto"/>
              </w:rPr>
            </w:pPr>
            <w:r>
              <w:rPr>
                <w:rFonts w:hint="eastAsia" w:ascii="宋体" w:hAnsi="宋体" w:eastAsia="宋体" w:cs="宋体"/>
                <w:color w:val="auto"/>
              </w:rPr>
              <w:t>AC 220V ±10%，50Hz</w:t>
            </w:r>
          </w:p>
        </w:tc>
        <w:tc>
          <w:tcPr>
            <w:tcW w:w="2880" w:type="dxa"/>
          </w:tcPr>
          <w:p w14:paraId="6C8CAA2C">
            <w:pPr>
              <w:rPr>
                <w:rFonts w:hint="eastAsia" w:ascii="宋体" w:hAnsi="宋体" w:eastAsia="宋体" w:cs="宋体"/>
                <w:color w:val="auto"/>
              </w:rPr>
            </w:pPr>
          </w:p>
        </w:tc>
      </w:tr>
    </w:tbl>
    <w:p w14:paraId="787CA5EA">
      <w:pPr>
        <w:pStyle w:val="3"/>
        <w:rPr>
          <w:rFonts w:ascii="Times New Roman" w:hAnsi="Times New Roman"/>
          <w:szCs w:val="30"/>
        </w:rPr>
      </w:pPr>
      <w:bookmarkStart w:id="29" w:name="_Toc30363"/>
      <w:r>
        <w:rPr>
          <w:rFonts w:hint="eastAsia" w:ascii="Times New Roman" w:hAnsi="Times New Roman"/>
          <w:szCs w:val="30"/>
        </w:rPr>
        <w:t>6.项目管理</w:t>
      </w:r>
      <w:bookmarkEnd w:id="29"/>
    </w:p>
    <w:p w14:paraId="412C2CA5">
      <w:pPr>
        <w:pStyle w:val="4"/>
        <w:rPr>
          <w:szCs w:val="28"/>
        </w:rPr>
      </w:pPr>
      <w:bookmarkStart w:id="30" w:name="_Toc329878717"/>
      <w:bookmarkStart w:id="31" w:name="_Toc350852856"/>
      <w:bookmarkStart w:id="32" w:name="_Toc350950913"/>
      <w:bookmarkStart w:id="33" w:name="_Toc28012"/>
      <w:r>
        <w:rPr>
          <w:rFonts w:hint="eastAsia"/>
          <w:szCs w:val="28"/>
        </w:rPr>
        <w:t>6.1</w:t>
      </w:r>
      <w:r>
        <w:rPr>
          <w:szCs w:val="28"/>
        </w:rPr>
        <w:t>项目管理</w:t>
      </w:r>
      <w:bookmarkEnd w:id="30"/>
      <w:bookmarkEnd w:id="31"/>
      <w:bookmarkEnd w:id="32"/>
      <w:bookmarkEnd w:id="33"/>
    </w:p>
    <w:p w14:paraId="2A0FAF2F">
      <w:pPr>
        <w:ind w:firstLine="480" w:firstLineChars="200"/>
      </w:pPr>
      <w:bookmarkStart w:id="34" w:name="_Toc329878718"/>
      <w:bookmarkStart w:id="35" w:name="_Toc350852857"/>
      <w:bookmarkStart w:id="36" w:name="_Toc350950914"/>
      <w:r>
        <w:rPr>
          <w:rFonts w:hint="eastAsia"/>
        </w:rPr>
        <w:t>投标方</w:t>
      </w:r>
      <w:r>
        <w:t>设立项目负责人。项目负责人将全权负责与</w:t>
      </w:r>
      <w:r>
        <w:rPr>
          <w:rFonts w:hint="eastAsia"/>
        </w:rPr>
        <w:t>项目</w:t>
      </w:r>
      <w:r>
        <w:t>有关的全部事务，包括：</w:t>
      </w:r>
    </w:p>
    <w:p w14:paraId="40F3264D">
      <w:pPr>
        <w:ind w:firstLine="480" w:firstLineChars="200"/>
      </w:pPr>
      <w:r>
        <w:rPr>
          <w:rFonts w:hint="eastAsia"/>
        </w:rPr>
        <w:t>（1）</w:t>
      </w:r>
      <w:r>
        <w:t>负责项目的流程设计、过程控制及综合成果</w:t>
      </w:r>
      <w:r>
        <w:rPr>
          <w:rFonts w:hint="eastAsia"/>
        </w:rPr>
        <w:t>。</w:t>
      </w:r>
    </w:p>
    <w:p w14:paraId="691FAB1A">
      <w:pPr>
        <w:ind w:firstLine="480" w:firstLineChars="200"/>
      </w:pPr>
      <w:r>
        <w:rPr>
          <w:rFonts w:hint="eastAsia"/>
        </w:rPr>
        <w:t>（2）</w:t>
      </w:r>
      <w:r>
        <w:t>负责项目实施进度安排等事务协调</w:t>
      </w:r>
      <w:r>
        <w:rPr>
          <w:rFonts w:hint="eastAsia"/>
        </w:rPr>
        <w:t>。</w:t>
      </w:r>
    </w:p>
    <w:p w14:paraId="5CBB9B97">
      <w:pPr>
        <w:ind w:firstLine="480" w:firstLineChars="200"/>
      </w:pPr>
      <w:r>
        <w:rPr>
          <w:rFonts w:hint="eastAsia"/>
        </w:rPr>
        <w:t>（3）</w:t>
      </w:r>
      <w:r>
        <w:t>作为与双方联络的全权代表，负责各种联系，研究协调和项目验收等事务的安排与协调</w:t>
      </w:r>
      <w:r>
        <w:rPr>
          <w:rFonts w:hint="eastAsia"/>
        </w:rPr>
        <w:t>。</w:t>
      </w:r>
    </w:p>
    <w:p w14:paraId="59FFA419">
      <w:pPr>
        <w:ind w:firstLine="480" w:firstLineChars="200"/>
      </w:pPr>
      <w:r>
        <w:rPr>
          <w:rFonts w:hint="eastAsia"/>
        </w:rPr>
        <w:t>（4）</w:t>
      </w:r>
      <w:r>
        <w:t>按</w:t>
      </w:r>
      <w:r>
        <w:rPr>
          <w:rFonts w:hint="eastAsia"/>
        </w:rPr>
        <w:t>计划</w:t>
      </w:r>
      <w:r>
        <w:t>提交项目进度报告</w:t>
      </w:r>
      <w:r>
        <w:rPr>
          <w:rFonts w:hint="eastAsia"/>
        </w:rPr>
        <w:t>，并接受阶段性检查</w:t>
      </w:r>
      <w:r>
        <w:t>。</w:t>
      </w:r>
    </w:p>
    <w:p w14:paraId="2887CA37">
      <w:pPr>
        <w:ind w:firstLine="480" w:firstLineChars="200"/>
      </w:pPr>
      <w:r>
        <w:rPr>
          <w:rFonts w:hint="eastAsia"/>
        </w:rPr>
        <w:t>投标方应配备足够的项目组技术人员，技术人员将完成</w:t>
      </w:r>
      <w:r>
        <w:t>项目负责人</w:t>
      </w:r>
      <w:r>
        <w:rPr>
          <w:rFonts w:hint="eastAsia"/>
        </w:rPr>
        <w:t>交办</w:t>
      </w:r>
      <w:r>
        <w:t>的</w:t>
      </w:r>
      <w:r>
        <w:rPr>
          <w:rFonts w:hint="eastAsia"/>
        </w:rPr>
        <w:t>项目相关任务</w:t>
      </w:r>
      <w:r>
        <w:t>，包括：</w:t>
      </w:r>
    </w:p>
    <w:p w14:paraId="6B28F3DC">
      <w:pPr>
        <w:ind w:firstLine="480" w:firstLineChars="200"/>
      </w:pPr>
      <w:r>
        <w:rPr>
          <w:rFonts w:hint="eastAsia"/>
        </w:rPr>
        <w:t>（1）在</w:t>
      </w:r>
      <w:r>
        <w:t>项目负责</w:t>
      </w:r>
      <w:r>
        <w:rPr>
          <w:rFonts w:hint="eastAsia"/>
        </w:rPr>
        <w:t>人安排下，完成各阶段任务的实施。</w:t>
      </w:r>
    </w:p>
    <w:p w14:paraId="008A37D1">
      <w:pPr>
        <w:ind w:firstLine="480" w:firstLineChars="200"/>
      </w:pPr>
      <w:r>
        <w:rPr>
          <w:rFonts w:hint="eastAsia"/>
        </w:rPr>
        <w:t>（2）在项目实施过程中，按时向</w:t>
      </w:r>
      <w:r>
        <w:t>项目负责</w:t>
      </w:r>
      <w:r>
        <w:rPr>
          <w:rFonts w:hint="eastAsia"/>
        </w:rPr>
        <w:t>人反馈</w:t>
      </w:r>
      <w:r>
        <w:t>实施进度</w:t>
      </w:r>
      <w:r>
        <w:rPr>
          <w:rFonts w:hint="eastAsia"/>
        </w:rPr>
        <w:t>。</w:t>
      </w:r>
    </w:p>
    <w:p w14:paraId="62595AB8">
      <w:pPr>
        <w:ind w:firstLine="480" w:firstLineChars="200"/>
      </w:pPr>
      <w:r>
        <w:rPr>
          <w:rFonts w:hint="eastAsia"/>
        </w:rPr>
        <w:t>（3）遇有困难或项目执行与计划有偏差，及时向</w:t>
      </w:r>
      <w:r>
        <w:t>项目负责</w:t>
      </w:r>
      <w:r>
        <w:rPr>
          <w:rFonts w:hint="eastAsia"/>
        </w:rPr>
        <w:t>人汇报并主动提出解决方案。</w:t>
      </w:r>
    </w:p>
    <w:p w14:paraId="528E9766">
      <w:pPr>
        <w:ind w:firstLine="480" w:firstLineChars="200"/>
      </w:pPr>
      <w:r>
        <w:rPr>
          <w:rFonts w:hint="eastAsia"/>
        </w:rPr>
        <w:t>（4）及时向项目负责人</w:t>
      </w:r>
      <w:r>
        <w:t>提交项目</w:t>
      </w:r>
      <w:r>
        <w:rPr>
          <w:rFonts w:hint="eastAsia"/>
        </w:rPr>
        <w:t>执行情况和阶段性研究小结</w:t>
      </w:r>
      <w:r>
        <w:t>。</w:t>
      </w:r>
    </w:p>
    <w:p w14:paraId="4A5BBEB8">
      <w:pPr>
        <w:pStyle w:val="4"/>
        <w:rPr>
          <w:szCs w:val="28"/>
        </w:rPr>
      </w:pPr>
      <w:bookmarkStart w:id="37" w:name="_Toc30555"/>
      <w:r>
        <w:rPr>
          <w:rFonts w:hint="eastAsia"/>
          <w:szCs w:val="28"/>
        </w:rPr>
        <w:t>6.2质量保证</w:t>
      </w:r>
      <w:bookmarkEnd w:id="34"/>
      <w:bookmarkEnd w:id="35"/>
      <w:bookmarkEnd w:id="36"/>
      <w:bookmarkEnd w:id="37"/>
    </w:p>
    <w:p w14:paraId="76300CCF">
      <w:pPr>
        <w:ind w:firstLine="480" w:firstLineChars="200"/>
      </w:pPr>
      <w:r>
        <w:rPr>
          <w:rFonts w:hint="eastAsia"/>
        </w:rPr>
        <w:t xml:space="preserve">（1）正式签订合同后立即成立项目组，确定项目负责人和项目成员。 </w:t>
      </w:r>
    </w:p>
    <w:p w14:paraId="21B439FF">
      <w:pPr>
        <w:ind w:firstLine="480" w:firstLineChars="200"/>
      </w:pPr>
      <w:r>
        <w:rPr>
          <w:rFonts w:hint="eastAsia"/>
        </w:rPr>
        <w:t>（2）项目负责人合理安排工作，让项目组人员能全身心投入到项目的攻关中来。</w:t>
      </w:r>
    </w:p>
    <w:p w14:paraId="7BF18247">
      <w:pPr>
        <w:ind w:firstLine="480" w:firstLineChars="200"/>
      </w:pPr>
      <w:r>
        <w:rPr>
          <w:rFonts w:hint="eastAsia"/>
        </w:rPr>
        <w:t>（3）应按照项目管理要求开展项目实施，注重项目过程管理，定期召开项目讨论分析会，使项目能够按计划完成。</w:t>
      </w:r>
    </w:p>
    <w:p w14:paraId="77D301E1">
      <w:pPr>
        <w:ind w:firstLine="480" w:firstLineChars="200"/>
      </w:pPr>
      <w:r>
        <w:rPr>
          <w:rFonts w:hint="eastAsia"/>
        </w:rPr>
        <w:t>（4）项目实施过程中，应该对照合同要求，及时检查各项研究内容和预期指标的完成情况。</w:t>
      </w:r>
    </w:p>
    <w:p w14:paraId="47278812">
      <w:pPr>
        <w:ind w:firstLine="480" w:firstLineChars="200"/>
      </w:pPr>
      <w:r>
        <w:rPr>
          <w:rFonts w:hint="eastAsia"/>
        </w:rPr>
        <w:t>（5）项目应按照预算使用经费，符合财务和审计要求。</w:t>
      </w:r>
    </w:p>
    <w:p w14:paraId="35572253">
      <w:pPr>
        <w:pStyle w:val="4"/>
        <w:rPr>
          <w:szCs w:val="28"/>
        </w:rPr>
      </w:pPr>
      <w:bookmarkStart w:id="38" w:name="_Toc26457"/>
      <w:r>
        <w:rPr>
          <w:rFonts w:hint="eastAsia"/>
          <w:szCs w:val="28"/>
        </w:rPr>
        <w:t>6.3</w:t>
      </w:r>
      <w:r>
        <w:rPr>
          <w:szCs w:val="28"/>
        </w:rPr>
        <w:t>项目进度管理</w:t>
      </w:r>
      <w:bookmarkEnd w:id="38"/>
    </w:p>
    <w:tbl>
      <w:tblPr>
        <w:tblStyle w:val="18"/>
        <w:tblW w:w="8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3"/>
        <w:gridCol w:w="1274"/>
        <w:gridCol w:w="1243"/>
        <w:gridCol w:w="3935"/>
      </w:tblGrid>
      <w:tr w14:paraId="206D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noWrap w:val="0"/>
            <w:vAlign w:val="center"/>
          </w:tcPr>
          <w:p w14:paraId="5A204EA7">
            <w:pPr>
              <w:spacing w:line="360" w:lineRule="exact"/>
              <w:jc w:val="center"/>
            </w:pPr>
            <w:r>
              <w:t>任务名称</w:t>
            </w:r>
          </w:p>
        </w:tc>
        <w:tc>
          <w:tcPr>
            <w:tcW w:w="1274" w:type="dxa"/>
            <w:noWrap w:val="0"/>
            <w:vAlign w:val="center"/>
          </w:tcPr>
          <w:p w14:paraId="567889E0">
            <w:pPr>
              <w:spacing w:line="360" w:lineRule="exact"/>
              <w:jc w:val="center"/>
            </w:pPr>
            <w:r>
              <w:t>开始时间</w:t>
            </w:r>
          </w:p>
        </w:tc>
        <w:tc>
          <w:tcPr>
            <w:tcW w:w="1243" w:type="dxa"/>
            <w:noWrap w:val="0"/>
            <w:vAlign w:val="center"/>
          </w:tcPr>
          <w:p w14:paraId="7A63E81F">
            <w:pPr>
              <w:spacing w:line="360" w:lineRule="exact"/>
              <w:jc w:val="center"/>
            </w:pPr>
            <w:r>
              <w:t>完成时间</w:t>
            </w:r>
          </w:p>
        </w:tc>
        <w:tc>
          <w:tcPr>
            <w:tcW w:w="3935" w:type="dxa"/>
            <w:noWrap w:val="0"/>
            <w:vAlign w:val="center"/>
          </w:tcPr>
          <w:p w14:paraId="490CD126">
            <w:pPr>
              <w:spacing w:line="360" w:lineRule="exact"/>
              <w:ind w:left="240"/>
              <w:jc w:val="center"/>
            </w:pPr>
            <w:r>
              <w:t>主要内容及交付项</w:t>
            </w:r>
          </w:p>
        </w:tc>
      </w:tr>
      <w:tr w14:paraId="19DB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Merge w:val="restart"/>
            <w:noWrap w:val="0"/>
            <w:vAlign w:val="center"/>
          </w:tcPr>
          <w:p w14:paraId="05621CF6">
            <w:pPr>
              <w:spacing w:line="360" w:lineRule="exact"/>
              <w:rPr>
                <w:rFonts w:hint="eastAsia" w:eastAsia="宋体"/>
                <w:lang w:eastAsia="zh-CN"/>
              </w:rPr>
            </w:pPr>
            <w:r>
              <w:rPr>
                <w:rFonts w:hint="eastAsia"/>
                <w:lang w:eastAsia="zh-CN"/>
              </w:rPr>
              <w:t>输变设备发热缺陷控制及跟踪装置</w:t>
            </w:r>
          </w:p>
        </w:tc>
        <w:tc>
          <w:tcPr>
            <w:tcW w:w="1274" w:type="dxa"/>
            <w:noWrap w:val="0"/>
            <w:vAlign w:val="center"/>
          </w:tcPr>
          <w:p w14:paraId="6CCCDD6D">
            <w:pPr>
              <w:spacing w:line="360" w:lineRule="exact"/>
              <w:jc w:val="center"/>
            </w:pPr>
            <w:r>
              <w:rPr>
                <w:rFonts w:hint="eastAsia"/>
              </w:rPr>
              <w:t>合同签订日</w:t>
            </w:r>
          </w:p>
        </w:tc>
        <w:tc>
          <w:tcPr>
            <w:tcW w:w="1243" w:type="dxa"/>
            <w:noWrap w:val="0"/>
            <w:vAlign w:val="center"/>
          </w:tcPr>
          <w:p w14:paraId="7F4EEEE3">
            <w:pPr>
              <w:spacing w:line="360" w:lineRule="exact"/>
              <w:jc w:val="center"/>
            </w:pPr>
          </w:p>
        </w:tc>
        <w:tc>
          <w:tcPr>
            <w:tcW w:w="3935" w:type="dxa"/>
            <w:noWrap w:val="0"/>
            <w:vAlign w:val="center"/>
          </w:tcPr>
          <w:p w14:paraId="3EB7F745">
            <w:pPr>
              <w:spacing w:line="360" w:lineRule="exact"/>
            </w:pPr>
            <w:r>
              <w:rPr>
                <w:b/>
                <w:bCs/>
              </w:rPr>
              <w:t>主要内容</w:t>
            </w:r>
            <w:r>
              <w:rPr>
                <w:rFonts w:hint="eastAsia"/>
              </w:rPr>
              <w:t>：</w:t>
            </w:r>
          </w:p>
          <w:p w14:paraId="3CB3A23C">
            <w:pPr>
              <w:spacing w:line="360" w:lineRule="exact"/>
            </w:pPr>
            <w:r>
              <w:rPr>
                <w:rFonts w:hint="eastAsia"/>
              </w:rPr>
              <w:t>完成需求调研</w:t>
            </w:r>
          </w:p>
          <w:p w14:paraId="0D308E6F">
            <w:pPr>
              <w:spacing w:line="360" w:lineRule="exact"/>
            </w:pPr>
            <w:r>
              <w:rPr>
                <w:b/>
                <w:bCs/>
              </w:rPr>
              <w:t>交付项</w:t>
            </w:r>
            <w:r>
              <w:rPr>
                <w:rFonts w:hint="eastAsia"/>
              </w:rPr>
              <w:t>：</w:t>
            </w:r>
          </w:p>
          <w:p w14:paraId="2348ED1A">
            <w:pPr>
              <w:spacing w:line="360" w:lineRule="exact"/>
            </w:pPr>
            <w:r>
              <w:t>1</w:t>
            </w:r>
            <w:r>
              <w:rPr>
                <w:rFonts w:hint="eastAsia"/>
              </w:rPr>
              <w:t>、需求规格说明书</w:t>
            </w:r>
          </w:p>
        </w:tc>
      </w:tr>
      <w:tr w14:paraId="7700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Merge w:val="continue"/>
            <w:noWrap w:val="0"/>
            <w:vAlign w:val="center"/>
          </w:tcPr>
          <w:p w14:paraId="513FF64A">
            <w:pPr>
              <w:spacing w:line="360" w:lineRule="exact"/>
            </w:pPr>
          </w:p>
        </w:tc>
        <w:tc>
          <w:tcPr>
            <w:tcW w:w="1274" w:type="dxa"/>
            <w:noWrap w:val="0"/>
            <w:vAlign w:val="center"/>
          </w:tcPr>
          <w:p w14:paraId="73DBC138">
            <w:pPr>
              <w:spacing w:line="360" w:lineRule="exact"/>
              <w:jc w:val="center"/>
            </w:pPr>
          </w:p>
        </w:tc>
        <w:tc>
          <w:tcPr>
            <w:tcW w:w="1243" w:type="dxa"/>
            <w:noWrap w:val="0"/>
            <w:vAlign w:val="center"/>
          </w:tcPr>
          <w:p w14:paraId="6A738476">
            <w:pPr>
              <w:spacing w:line="360" w:lineRule="exact"/>
              <w:jc w:val="center"/>
            </w:pPr>
          </w:p>
        </w:tc>
        <w:tc>
          <w:tcPr>
            <w:tcW w:w="3935" w:type="dxa"/>
            <w:noWrap w:val="0"/>
            <w:vAlign w:val="center"/>
          </w:tcPr>
          <w:p w14:paraId="6127C5F7">
            <w:pPr>
              <w:spacing w:line="360" w:lineRule="exact"/>
            </w:pPr>
            <w:r>
              <w:rPr>
                <w:b/>
                <w:bCs/>
              </w:rPr>
              <w:t>主要内容</w:t>
            </w:r>
            <w:r>
              <w:rPr>
                <w:rFonts w:hint="eastAsia"/>
              </w:rPr>
              <w:t>：</w:t>
            </w:r>
          </w:p>
          <w:p w14:paraId="2E5E4A7B">
            <w:pPr>
              <w:spacing w:line="360" w:lineRule="exact"/>
            </w:pPr>
            <w:r>
              <w:t>完成</w:t>
            </w:r>
            <w:r>
              <w:rPr>
                <w:rFonts w:hint="eastAsia"/>
              </w:rPr>
              <w:t>对</w:t>
            </w:r>
            <w:r>
              <w:rPr>
                <w:rFonts w:hint="eastAsia"/>
                <w:lang w:eastAsia="zh-CN"/>
              </w:rPr>
              <w:t>输变设备发热缺陷控制及跟踪装置</w:t>
            </w:r>
            <w:r>
              <w:rPr>
                <w:rFonts w:hint="eastAsia"/>
              </w:rPr>
              <w:t>；完成对可靠性改进措施的建议</w:t>
            </w:r>
          </w:p>
          <w:p w14:paraId="07E8BE1B">
            <w:pPr>
              <w:spacing w:line="360" w:lineRule="exact"/>
            </w:pPr>
            <w:r>
              <w:rPr>
                <w:b/>
                <w:bCs/>
              </w:rPr>
              <w:t>交付项</w:t>
            </w:r>
            <w:r>
              <w:rPr>
                <w:rFonts w:hint="eastAsia"/>
              </w:rPr>
              <w:t>：</w:t>
            </w:r>
          </w:p>
          <w:p w14:paraId="69982BEC">
            <w:pPr>
              <w:pStyle w:val="30"/>
              <w:numPr>
                <w:ilvl w:val="0"/>
                <w:numId w:val="1"/>
              </w:numPr>
              <w:spacing w:line="360" w:lineRule="exact"/>
              <w:ind w:firstLineChars="0"/>
            </w:pPr>
            <w:r>
              <w:rPr>
                <w:rFonts w:hint="eastAsia"/>
                <w:lang w:val="en-US" w:eastAsia="zh-CN"/>
              </w:rPr>
              <w:t>第三方</w:t>
            </w:r>
            <w:r>
              <w:t>测试报告</w:t>
            </w:r>
          </w:p>
        </w:tc>
      </w:tr>
      <w:tr w14:paraId="3CE4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Merge w:val="continue"/>
            <w:noWrap w:val="0"/>
            <w:vAlign w:val="center"/>
          </w:tcPr>
          <w:p w14:paraId="05F080EA">
            <w:pPr>
              <w:adjustRightInd w:val="0"/>
              <w:spacing w:line="360" w:lineRule="exact"/>
              <w:rPr>
                <w:rFonts w:eastAsia="仿宋_GB2312"/>
              </w:rPr>
            </w:pPr>
          </w:p>
        </w:tc>
        <w:tc>
          <w:tcPr>
            <w:tcW w:w="1274" w:type="dxa"/>
            <w:noWrap w:val="0"/>
            <w:vAlign w:val="center"/>
          </w:tcPr>
          <w:p w14:paraId="2A3DF101">
            <w:pPr>
              <w:spacing w:line="360" w:lineRule="exact"/>
              <w:jc w:val="center"/>
            </w:pPr>
          </w:p>
        </w:tc>
        <w:tc>
          <w:tcPr>
            <w:tcW w:w="1243" w:type="dxa"/>
            <w:noWrap w:val="0"/>
            <w:vAlign w:val="center"/>
          </w:tcPr>
          <w:p w14:paraId="03AB4B8F">
            <w:pPr>
              <w:spacing w:line="360" w:lineRule="exact"/>
              <w:jc w:val="center"/>
            </w:pPr>
          </w:p>
        </w:tc>
        <w:tc>
          <w:tcPr>
            <w:tcW w:w="3935" w:type="dxa"/>
            <w:noWrap w:val="0"/>
            <w:vAlign w:val="center"/>
          </w:tcPr>
          <w:p w14:paraId="34ECDBD3">
            <w:pPr>
              <w:spacing w:line="360" w:lineRule="exact"/>
            </w:pPr>
            <w:r>
              <w:rPr>
                <w:b/>
                <w:bCs/>
              </w:rPr>
              <w:t>主要内容</w:t>
            </w:r>
            <w:r>
              <w:rPr>
                <w:rFonts w:hint="eastAsia"/>
              </w:rPr>
              <w:t>：</w:t>
            </w:r>
          </w:p>
          <w:p w14:paraId="61B7D50D">
            <w:pPr>
              <w:spacing w:line="360" w:lineRule="exact"/>
            </w:pPr>
            <w:r>
              <w:rPr>
                <w:rFonts w:hint="eastAsia"/>
              </w:rPr>
              <w:t>1、</w:t>
            </w:r>
            <w:r>
              <w:rPr>
                <w:rFonts w:hint="eastAsia"/>
                <w:lang w:val="en-US" w:eastAsia="zh-CN"/>
              </w:rPr>
              <w:t>装置</w:t>
            </w:r>
            <w:r>
              <w:rPr>
                <w:rFonts w:hint="eastAsia"/>
              </w:rPr>
              <w:t>试运行</w:t>
            </w:r>
          </w:p>
          <w:p w14:paraId="794DCC2D">
            <w:pPr>
              <w:spacing w:line="360" w:lineRule="exact"/>
            </w:pPr>
            <w:r>
              <w:rPr>
                <w:rFonts w:hint="eastAsia"/>
              </w:rPr>
              <w:t>2、项目验收</w:t>
            </w:r>
          </w:p>
          <w:p w14:paraId="6FF91326">
            <w:pPr>
              <w:spacing w:line="360" w:lineRule="exact"/>
            </w:pPr>
            <w:r>
              <w:rPr>
                <w:b/>
                <w:bCs/>
              </w:rPr>
              <w:t>交付项</w:t>
            </w:r>
            <w:r>
              <w:rPr>
                <w:rFonts w:hint="eastAsia"/>
              </w:rPr>
              <w:t>：</w:t>
            </w:r>
          </w:p>
          <w:p w14:paraId="233E6599">
            <w:pPr>
              <w:spacing w:line="360" w:lineRule="exact"/>
            </w:pPr>
            <w:r>
              <w:rPr>
                <w:rFonts w:hint="eastAsia"/>
              </w:rPr>
              <w:t>1、</w:t>
            </w:r>
            <w:r>
              <w:rPr>
                <w:rFonts w:hint="eastAsia"/>
                <w:lang w:val="en-US" w:eastAsia="zh-CN"/>
              </w:rPr>
              <w:t>装置</w:t>
            </w:r>
            <w:r>
              <w:rPr>
                <w:rFonts w:hint="eastAsia"/>
              </w:rPr>
              <w:t>试运行分析报告</w:t>
            </w:r>
          </w:p>
          <w:p w14:paraId="081416C0">
            <w:pPr>
              <w:spacing w:line="360" w:lineRule="exact"/>
            </w:pPr>
            <w:r>
              <w:rPr>
                <w:rFonts w:hint="eastAsia"/>
              </w:rPr>
              <w:t>2、项目验收报告</w:t>
            </w:r>
          </w:p>
        </w:tc>
      </w:tr>
    </w:tbl>
    <w:p w14:paraId="572E68A2">
      <w:pPr>
        <w:pStyle w:val="3"/>
        <w:rPr>
          <w:rFonts w:ascii="Times New Roman" w:hAnsi="Times New Roman"/>
          <w:szCs w:val="30"/>
        </w:rPr>
      </w:pPr>
      <w:bookmarkStart w:id="39" w:name="_Toc351722594"/>
      <w:bookmarkStart w:id="40" w:name="_Toc351566769"/>
      <w:bookmarkStart w:id="41" w:name="_Toc9003"/>
      <w:r>
        <w:rPr>
          <w:rFonts w:hint="eastAsia" w:ascii="Times New Roman" w:hAnsi="Times New Roman"/>
          <w:szCs w:val="30"/>
        </w:rPr>
        <w:t>7.技术服务</w:t>
      </w:r>
      <w:bookmarkEnd w:id="39"/>
      <w:bookmarkEnd w:id="40"/>
      <w:bookmarkEnd w:id="41"/>
    </w:p>
    <w:p w14:paraId="4C0441C1">
      <w:pPr>
        <w:snapToGrid w:val="0"/>
        <w:ind w:firstLine="480" w:firstLineChars="200"/>
      </w:pPr>
      <w:r>
        <w:rPr>
          <w:rFonts w:hint="eastAsia"/>
        </w:rPr>
        <w:t>（1）投标人配合开展适输变设备发热缺陷控制及跟踪装置的研发设计与建设工作；</w:t>
      </w:r>
    </w:p>
    <w:p w14:paraId="55A73C03">
      <w:pPr>
        <w:snapToGrid w:val="0"/>
        <w:ind w:firstLine="480" w:firstLineChars="200"/>
        <w:rPr>
          <w:rFonts w:hint="eastAsia"/>
        </w:rPr>
      </w:pPr>
      <w:r>
        <w:rPr>
          <w:rFonts w:hint="eastAsia"/>
        </w:rPr>
        <w:t>（2）投标人向招标人提供产品资料、使用说明书和试运行报告。</w:t>
      </w:r>
    </w:p>
    <w:p w14:paraId="3E6A7A3A">
      <w:pPr>
        <w:snapToGrid w:val="0"/>
        <w:ind w:firstLine="480" w:firstLineChars="200"/>
      </w:pPr>
      <w:r>
        <w:rPr>
          <w:rFonts w:hint="eastAsia"/>
        </w:rPr>
        <w:t>（3）</w:t>
      </w:r>
      <w:r>
        <w:t>投标人</w:t>
      </w:r>
      <w:r>
        <w:rPr>
          <w:rFonts w:hint="eastAsia"/>
        </w:rPr>
        <w:t>负责</w:t>
      </w:r>
      <w:r>
        <w:t>完成</w:t>
      </w:r>
      <w:r>
        <w:rPr>
          <w:rFonts w:hint="eastAsia"/>
        </w:rPr>
        <w:t>部署及关键技术的交底工作，并开展的维护和培训工作；</w:t>
      </w:r>
    </w:p>
    <w:p w14:paraId="343D9885">
      <w:pPr>
        <w:snapToGrid w:val="0"/>
        <w:ind w:firstLine="480" w:firstLineChars="200"/>
      </w:pPr>
      <w:r>
        <w:rPr>
          <w:rFonts w:hint="eastAsia"/>
        </w:rPr>
        <w:t>（4）</w:t>
      </w:r>
      <w:r>
        <w:t>投标人</w:t>
      </w:r>
      <w:r>
        <w:rPr>
          <w:rFonts w:hint="eastAsia"/>
        </w:rPr>
        <w:t>须配合项目结算工作并承担相关费用。</w:t>
      </w:r>
    </w:p>
    <w:p w14:paraId="68D1216B">
      <w:pPr>
        <w:pStyle w:val="3"/>
        <w:rPr>
          <w:rFonts w:ascii="Times New Roman" w:hAnsi="Times New Roman"/>
          <w:szCs w:val="30"/>
        </w:rPr>
      </w:pPr>
      <w:bookmarkStart w:id="42" w:name="_Toc27838"/>
      <w:r>
        <w:rPr>
          <w:rFonts w:hint="eastAsia" w:ascii="Times New Roman" w:hAnsi="Times New Roman"/>
          <w:szCs w:val="30"/>
        </w:rPr>
        <w:t>8.验收</w:t>
      </w:r>
      <w:bookmarkEnd w:id="42"/>
    </w:p>
    <w:p w14:paraId="6C02C5A6">
      <w:pPr>
        <w:snapToGrid w:val="0"/>
        <w:ind w:firstLine="480" w:firstLineChars="200"/>
      </w:pPr>
      <w:r>
        <w:rPr>
          <w:rFonts w:hint="eastAsia"/>
        </w:rPr>
        <w:t>项目完成后，由甲方组织专家组对项目进行验收。</w:t>
      </w:r>
    </w:p>
    <w:p w14:paraId="24711808">
      <w:pPr>
        <w:pStyle w:val="16"/>
        <w:ind w:left="480"/>
        <w:rPr>
          <w:rFonts w:hint="eastAsia"/>
        </w:rPr>
      </w:pPr>
      <w:r>
        <w:rPr>
          <w:rFonts w:hint="eastAsia"/>
        </w:rPr>
        <w:t>8.1、到货验收：检查设备数量、外观及基础功能。</w:t>
      </w:r>
    </w:p>
    <w:p w14:paraId="4367F236">
      <w:pPr>
        <w:pStyle w:val="16"/>
        <w:ind w:left="480"/>
        <w:rPr>
          <w:rFonts w:hint="eastAsia"/>
        </w:rPr>
      </w:pPr>
      <w:r>
        <w:rPr>
          <w:rFonts w:hint="eastAsia"/>
        </w:rPr>
        <w:t>8.2、性能验收：按技术参数表逐项测试，确保指标达标。</w:t>
      </w:r>
    </w:p>
    <w:p w14:paraId="12703998">
      <w:pPr>
        <w:pStyle w:val="16"/>
        <w:ind w:left="480"/>
        <w:rPr>
          <w:rFonts w:hint="eastAsia"/>
        </w:rPr>
      </w:pPr>
      <w:r>
        <w:rPr>
          <w:rFonts w:hint="eastAsia"/>
        </w:rPr>
        <w:t>8.3、场景验证：在电力巡检、远程协作等实际场景中连续运行≥72小时无故障。</w:t>
      </w:r>
    </w:p>
    <w:p w14:paraId="69A4D004">
      <w:pPr>
        <w:pStyle w:val="3"/>
        <w:outlineLvl w:val="1"/>
        <w:rPr>
          <w:rFonts w:hint="eastAsia" w:ascii="Times New Roman" w:hAnsi="Times New Roman"/>
          <w:szCs w:val="30"/>
        </w:rPr>
      </w:pPr>
      <w:bookmarkStart w:id="43" w:name="_Toc30623"/>
      <w:r>
        <w:rPr>
          <w:rFonts w:hint="eastAsia" w:ascii="Times New Roman" w:hAnsi="Times New Roman"/>
          <w:szCs w:val="30"/>
          <w:lang w:val="en-US" w:eastAsia="zh-CN"/>
        </w:rPr>
        <w:t>9.</w:t>
      </w:r>
      <w:r>
        <w:rPr>
          <w:rFonts w:hint="eastAsia" w:ascii="Times New Roman" w:hAnsi="Times New Roman"/>
          <w:szCs w:val="30"/>
        </w:rPr>
        <w:t>安全与防护要求</w:t>
      </w:r>
      <w:bookmarkEnd w:id="43"/>
    </w:p>
    <w:p w14:paraId="535BE1E4">
      <w:pPr>
        <w:pStyle w:val="16"/>
        <w:ind w:left="480"/>
        <w:rPr>
          <w:rFonts w:hint="eastAsia"/>
        </w:rPr>
      </w:pPr>
      <w:r>
        <w:rPr>
          <w:rFonts w:hint="eastAsia"/>
          <w:lang w:val="en-US" w:eastAsia="zh-CN"/>
        </w:rPr>
        <w:t>9.</w:t>
      </w:r>
      <w:r>
        <w:rPr>
          <w:rFonts w:hint="eastAsia"/>
        </w:rPr>
        <w:t>1</w:t>
      </w:r>
      <w:r>
        <w:rPr>
          <w:rFonts w:hint="eastAsia"/>
          <w:lang w:eastAsia="zh-CN"/>
        </w:rPr>
        <w:t>、</w:t>
      </w:r>
      <w:r>
        <w:rPr>
          <w:rFonts w:hint="eastAsia"/>
        </w:rPr>
        <w:t>装置应具备过温、过流、短路保护功能；</w:t>
      </w:r>
      <w:r>
        <w:rPr>
          <w:rFonts w:hint="eastAsia"/>
        </w:rPr>
        <w:br w:type="textWrapping"/>
      </w:r>
      <w:r>
        <w:rPr>
          <w:rFonts w:hint="eastAsia"/>
          <w:lang w:val="en-US" w:eastAsia="zh-CN"/>
        </w:rPr>
        <w:t>92</w:t>
      </w:r>
      <w:r>
        <w:rPr>
          <w:rFonts w:hint="eastAsia"/>
          <w:lang w:eastAsia="zh-CN"/>
        </w:rPr>
        <w:t>、</w:t>
      </w:r>
      <w:r>
        <w:rPr>
          <w:rFonts w:hint="eastAsia"/>
        </w:rPr>
        <w:t>红外测温探头防护等级不低于IP65；</w:t>
      </w:r>
      <w:r>
        <w:rPr>
          <w:rFonts w:hint="eastAsia"/>
        </w:rPr>
        <w:br w:type="textWrapping"/>
      </w:r>
      <w:r>
        <w:rPr>
          <w:rFonts w:hint="eastAsia"/>
          <w:lang w:val="en-US" w:eastAsia="zh-CN"/>
        </w:rPr>
        <w:t>9.3</w:t>
      </w:r>
      <w:r>
        <w:rPr>
          <w:rFonts w:hint="eastAsia"/>
          <w:lang w:eastAsia="zh-CN"/>
        </w:rPr>
        <w:t>、</w:t>
      </w:r>
      <w:r>
        <w:rPr>
          <w:rFonts w:hint="eastAsia"/>
        </w:rPr>
        <w:t>电气部分绝缘电阻≥10MΩ；</w:t>
      </w:r>
      <w:r>
        <w:rPr>
          <w:rFonts w:hint="eastAsia"/>
        </w:rPr>
        <w:br w:type="textWrapping"/>
      </w:r>
      <w:r>
        <w:rPr>
          <w:rFonts w:hint="eastAsia"/>
          <w:lang w:val="en-US" w:eastAsia="zh-CN"/>
        </w:rPr>
        <w:t>9.4</w:t>
      </w:r>
      <w:r>
        <w:rPr>
          <w:rFonts w:hint="eastAsia"/>
          <w:lang w:eastAsia="zh-CN"/>
        </w:rPr>
        <w:t>、</w:t>
      </w:r>
      <w:r>
        <w:rPr>
          <w:rFonts w:hint="eastAsia"/>
        </w:rPr>
        <w:t>平台底部应具备防滑与防倾倒措施。</w:t>
      </w:r>
    </w:p>
    <w:p w14:paraId="29DEF2D2">
      <w:pPr>
        <w:pStyle w:val="3"/>
        <w:outlineLvl w:val="1"/>
        <w:rPr>
          <w:rFonts w:hint="eastAsia" w:ascii="Times New Roman" w:hAnsi="Times New Roman"/>
          <w:szCs w:val="30"/>
        </w:rPr>
      </w:pPr>
      <w:bookmarkStart w:id="44" w:name="_Toc17442"/>
      <w:bookmarkStart w:id="45" w:name="_GoBack"/>
      <w:bookmarkEnd w:id="45"/>
      <w:r>
        <w:rPr>
          <w:rFonts w:hint="eastAsia" w:ascii="Times New Roman" w:hAnsi="Times New Roman"/>
          <w:szCs w:val="30"/>
          <w:lang w:val="en-US" w:eastAsia="zh-CN"/>
        </w:rPr>
        <w:t>10.</w:t>
      </w:r>
      <w:r>
        <w:rPr>
          <w:rFonts w:hint="eastAsia" w:ascii="Times New Roman" w:hAnsi="Times New Roman"/>
          <w:szCs w:val="30"/>
        </w:rPr>
        <w:t>安装与维护要求</w:t>
      </w:r>
      <w:bookmarkEnd w:id="44"/>
    </w:p>
    <w:p w14:paraId="0B9195E8">
      <w:pPr>
        <w:pStyle w:val="16"/>
        <w:ind w:left="480"/>
        <w:rPr>
          <w:rFonts w:hint="eastAsia"/>
        </w:rPr>
      </w:pPr>
      <w:r>
        <w:rPr>
          <w:rFonts w:hint="eastAsia"/>
          <w:lang w:val="en-US" w:eastAsia="zh-CN"/>
        </w:rPr>
        <w:t>10.1、</w:t>
      </w:r>
      <w:r>
        <w:rPr>
          <w:rFonts w:hint="eastAsia"/>
        </w:rPr>
        <w:t>红外探头应正对监测目标，测距不超过10米；</w:t>
      </w:r>
      <w:r>
        <w:rPr>
          <w:rFonts w:hint="eastAsia"/>
        </w:rPr>
        <w:br w:type="textWrapping"/>
      </w:r>
      <w:r>
        <w:rPr>
          <w:rFonts w:hint="eastAsia"/>
          <w:lang w:val="en-US" w:eastAsia="zh-CN"/>
        </w:rPr>
        <w:t>10.2、</w:t>
      </w:r>
      <w:r>
        <w:rPr>
          <w:rFonts w:hint="eastAsia"/>
        </w:rPr>
        <w:t>定期清洁透镜，防止灰尘影响测温精度；</w:t>
      </w:r>
      <w:r>
        <w:rPr>
          <w:rFonts w:hint="eastAsia"/>
        </w:rPr>
        <w:br w:type="textWrapping"/>
      </w:r>
      <w:r>
        <w:rPr>
          <w:rFonts w:hint="eastAsia"/>
          <w:lang w:val="en-US" w:eastAsia="zh-CN"/>
        </w:rPr>
        <w:t>103、</w:t>
      </w:r>
      <w:r>
        <w:rPr>
          <w:rFonts w:hint="eastAsia"/>
        </w:rPr>
        <w:t>控制部分每6个月进行一次软件校准；</w:t>
      </w:r>
      <w:r>
        <w:rPr>
          <w:rFonts w:hint="eastAsia"/>
        </w:rPr>
        <w:br w:type="textWrapping"/>
      </w:r>
      <w:r>
        <w:rPr>
          <w:rFonts w:hint="eastAsia"/>
          <w:lang w:val="en-US" w:eastAsia="zh-CN"/>
        </w:rPr>
        <w:t>10.4、</w:t>
      </w:r>
      <w:r>
        <w:rPr>
          <w:rFonts w:hint="eastAsia"/>
        </w:rPr>
        <w:t>制冷单元每12个月检查冷媒与管路密封性。</w:t>
      </w:r>
    </w:p>
    <w:p w14:paraId="163B3D71"/>
    <w:sectPr>
      <w:footerReference r:id="rId7"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15C0">
    <w:pPr>
      <w:pStyle w:val="13"/>
      <w:ind w:firstLine="4590" w:firstLineChars="2550"/>
    </w:pPr>
    <w:r>
      <w:fldChar w:fldCharType="begin"/>
    </w:r>
    <w:r>
      <w:rPr>
        <w:rStyle w:val="20"/>
      </w:rPr>
      <w:instrText xml:space="preserve"> PAGE </w:instrText>
    </w:r>
    <w:r>
      <w:fldChar w:fldCharType="separate"/>
    </w:r>
    <w:r>
      <w:rPr>
        <w:rStyle w:val="20"/>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A9B05">
    <w:pPr>
      <w:pStyle w:val="13"/>
      <w:ind w:firstLine="4590" w:firstLineChars="2550"/>
    </w:pPr>
    <w:r>
      <w:fldChar w:fldCharType="begin"/>
    </w:r>
    <w:r>
      <w:rPr>
        <w:rStyle w:val="20"/>
      </w:rPr>
      <w:instrText xml:space="preserve"> PAGE </w:instrText>
    </w:r>
    <w:r>
      <w:fldChar w:fldCharType="separate"/>
    </w:r>
    <w:r>
      <w:rPr>
        <w:rStyle w:val="20"/>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5DBA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BD6C42"/>
    <w:multiLevelType w:val="multilevel"/>
    <w:tmpl w:val="7ABD6C4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wMWZlYmRlYzViMDc1NTZlMjNmNTI1NzA4NzJlNzQifQ=="/>
  </w:docVars>
  <w:rsids>
    <w:rsidRoot w:val="00102259"/>
    <w:rsid w:val="00067C68"/>
    <w:rsid w:val="00102259"/>
    <w:rsid w:val="00136959"/>
    <w:rsid w:val="00202299"/>
    <w:rsid w:val="00210DC3"/>
    <w:rsid w:val="002177A8"/>
    <w:rsid w:val="00222151"/>
    <w:rsid w:val="002250B5"/>
    <w:rsid w:val="00293BD1"/>
    <w:rsid w:val="00362E4B"/>
    <w:rsid w:val="003F7CA5"/>
    <w:rsid w:val="00423444"/>
    <w:rsid w:val="00423F02"/>
    <w:rsid w:val="00432039"/>
    <w:rsid w:val="00440498"/>
    <w:rsid w:val="00452FB7"/>
    <w:rsid w:val="004A6676"/>
    <w:rsid w:val="004D6A4C"/>
    <w:rsid w:val="005737D4"/>
    <w:rsid w:val="005A6480"/>
    <w:rsid w:val="00666DB4"/>
    <w:rsid w:val="00706A3E"/>
    <w:rsid w:val="00734093"/>
    <w:rsid w:val="00765438"/>
    <w:rsid w:val="00776FF5"/>
    <w:rsid w:val="0078267A"/>
    <w:rsid w:val="007A6B09"/>
    <w:rsid w:val="008C653C"/>
    <w:rsid w:val="00944F22"/>
    <w:rsid w:val="00967152"/>
    <w:rsid w:val="00974BE2"/>
    <w:rsid w:val="009910B9"/>
    <w:rsid w:val="009C519E"/>
    <w:rsid w:val="00A04F98"/>
    <w:rsid w:val="00AF274D"/>
    <w:rsid w:val="00B17D4F"/>
    <w:rsid w:val="00C02BD5"/>
    <w:rsid w:val="00C765A8"/>
    <w:rsid w:val="00CA0360"/>
    <w:rsid w:val="00CD44A6"/>
    <w:rsid w:val="00CE381F"/>
    <w:rsid w:val="00D90E86"/>
    <w:rsid w:val="00DA24E0"/>
    <w:rsid w:val="00E0108B"/>
    <w:rsid w:val="00E15C18"/>
    <w:rsid w:val="00E770A1"/>
    <w:rsid w:val="00E82C19"/>
    <w:rsid w:val="00E85B0F"/>
    <w:rsid w:val="00EB4D23"/>
    <w:rsid w:val="00F02E65"/>
    <w:rsid w:val="00FD24B3"/>
    <w:rsid w:val="010C7A21"/>
    <w:rsid w:val="011A3E9F"/>
    <w:rsid w:val="01347792"/>
    <w:rsid w:val="01385F77"/>
    <w:rsid w:val="01453C65"/>
    <w:rsid w:val="0150346F"/>
    <w:rsid w:val="0152142B"/>
    <w:rsid w:val="0153769E"/>
    <w:rsid w:val="01591853"/>
    <w:rsid w:val="015C37CC"/>
    <w:rsid w:val="01625685"/>
    <w:rsid w:val="01646C77"/>
    <w:rsid w:val="016D008A"/>
    <w:rsid w:val="017502FF"/>
    <w:rsid w:val="01C648B6"/>
    <w:rsid w:val="01C72735"/>
    <w:rsid w:val="01DE59A0"/>
    <w:rsid w:val="01E76552"/>
    <w:rsid w:val="01ED76FD"/>
    <w:rsid w:val="01F0065C"/>
    <w:rsid w:val="01F86F65"/>
    <w:rsid w:val="02181B19"/>
    <w:rsid w:val="02286DFC"/>
    <w:rsid w:val="022B67C2"/>
    <w:rsid w:val="022C4C8B"/>
    <w:rsid w:val="02303BED"/>
    <w:rsid w:val="023F18AC"/>
    <w:rsid w:val="025A1346"/>
    <w:rsid w:val="026246A9"/>
    <w:rsid w:val="026B64E3"/>
    <w:rsid w:val="027E42FE"/>
    <w:rsid w:val="028347C1"/>
    <w:rsid w:val="028E17E0"/>
    <w:rsid w:val="029E1C3D"/>
    <w:rsid w:val="02BD220B"/>
    <w:rsid w:val="02C857F0"/>
    <w:rsid w:val="02D11538"/>
    <w:rsid w:val="02F6025F"/>
    <w:rsid w:val="02FC1772"/>
    <w:rsid w:val="02FE662C"/>
    <w:rsid w:val="03061F9E"/>
    <w:rsid w:val="03083557"/>
    <w:rsid w:val="0312238D"/>
    <w:rsid w:val="031917A9"/>
    <w:rsid w:val="0329393F"/>
    <w:rsid w:val="03293FA8"/>
    <w:rsid w:val="032959E4"/>
    <w:rsid w:val="032A77DB"/>
    <w:rsid w:val="03306F67"/>
    <w:rsid w:val="033D52A0"/>
    <w:rsid w:val="033F044B"/>
    <w:rsid w:val="034364F2"/>
    <w:rsid w:val="03467653"/>
    <w:rsid w:val="034A1D37"/>
    <w:rsid w:val="0359709F"/>
    <w:rsid w:val="035B25C2"/>
    <w:rsid w:val="037C47C8"/>
    <w:rsid w:val="037D7498"/>
    <w:rsid w:val="03C22182"/>
    <w:rsid w:val="03CC7EC9"/>
    <w:rsid w:val="03D85DD8"/>
    <w:rsid w:val="03D935E2"/>
    <w:rsid w:val="03E465E1"/>
    <w:rsid w:val="03E560FB"/>
    <w:rsid w:val="03F265B5"/>
    <w:rsid w:val="03F35B5F"/>
    <w:rsid w:val="040A5538"/>
    <w:rsid w:val="040C5EE4"/>
    <w:rsid w:val="04197417"/>
    <w:rsid w:val="042A2E36"/>
    <w:rsid w:val="042E34E5"/>
    <w:rsid w:val="042E5315"/>
    <w:rsid w:val="044D3B55"/>
    <w:rsid w:val="04555460"/>
    <w:rsid w:val="0461650A"/>
    <w:rsid w:val="047A762C"/>
    <w:rsid w:val="048360EB"/>
    <w:rsid w:val="04A579C1"/>
    <w:rsid w:val="04B830A1"/>
    <w:rsid w:val="04C90D3B"/>
    <w:rsid w:val="04F45CB3"/>
    <w:rsid w:val="04FF277A"/>
    <w:rsid w:val="04FF6605"/>
    <w:rsid w:val="05041C09"/>
    <w:rsid w:val="051E4C1F"/>
    <w:rsid w:val="05371E9C"/>
    <w:rsid w:val="0550113B"/>
    <w:rsid w:val="05525C3C"/>
    <w:rsid w:val="05572288"/>
    <w:rsid w:val="055D5C42"/>
    <w:rsid w:val="05680483"/>
    <w:rsid w:val="059327CD"/>
    <w:rsid w:val="059B463E"/>
    <w:rsid w:val="059F08F3"/>
    <w:rsid w:val="05AE18BF"/>
    <w:rsid w:val="05B12B2F"/>
    <w:rsid w:val="05C76A0B"/>
    <w:rsid w:val="05CE5F1F"/>
    <w:rsid w:val="05D60116"/>
    <w:rsid w:val="05DD502E"/>
    <w:rsid w:val="05E2261C"/>
    <w:rsid w:val="05EF464F"/>
    <w:rsid w:val="060458C1"/>
    <w:rsid w:val="061151FB"/>
    <w:rsid w:val="062B25A5"/>
    <w:rsid w:val="062C34D5"/>
    <w:rsid w:val="06344960"/>
    <w:rsid w:val="064740F9"/>
    <w:rsid w:val="065257EB"/>
    <w:rsid w:val="0658728E"/>
    <w:rsid w:val="066068C1"/>
    <w:rsid w:val="06671F29"/>
    <w:rsid w:val="066874E6"/>
    <w:rsid w:val="066B7C75"/>
    <w:rsid w:val="066E5882"/>
    <w:rsid w:val="06892185"/>
    <w:rsid w:val="0692355D"/>
    <w:rsid w:val="06950540"/>
    <w:rsid w:val="06A14962"/>
    <w:rsid w:val="06AC0DF8"/>
    <w:rsid w:val="06BD2E3F"/>
    <w:rsid w:val="06C81561"/>
    <w:rsid w:val="06D231E3"/>
    <w:rsid w:val="06D774F8"/>
    <w:rsid w:val="06D93C55"/>
    <w:rsid w:val="06E942DC"/>
    <w:rsid w:val="06EB4780"/>
    <w:rsid w:val="06F304A5"/>
    <w:rsid w:val="070314AF"/>
    <w:rsid w:val="071E6F6B"/>
    <w:rsid w:val="072E7C5D"/>
    <w:rsid w:val="073662EF"/>
    <w:rsid w:val="073C6AF7"/>
    <w:rsid w:val="075D53E4"/>
    <w:rsid w:val="07614032"/>
    <w:rsid w:val="07732F4F"/>
    <w:rsid w:val="077B283A"/>
    <w:rsid w:val="078C5EFA"/>
    <w:rsid w:val="0794219F"/>
    <w:rsid w:val="07A1120C"/>
    <w:rsid w:val="07B154A8"/>
    <w:rsid w:val="07B56B53"/>
    <w:rsid w:val="07B8435D"/>
    <w:rsid w:val="07C123D9"/>
    <w:rsid w:val="07D54D6D"/>
    <w:rsid w:val="07D607F8"/>
    <w:rsid w:val="07DF2213"/>
    <w:rsid w:val="08086317"/>
    <w:rsid w:val="0810466C"/>
    <w:rsid w:val="082A6432"/>
    <w:rsid w:val="08564CB6"/>
    <w:rsid w:val="08665760"/>
    <w:rsid w:val="08755290"/>
    <w:rsid w:val="08770B8B"/>
    <w:rsid w:val="087A06A1"/>
    <w:rsid w:val="08843A1A"/>
    <w:rsid w:val="088815F6"/>
    <w:rsid w:val="088B3B6B"/>
    <w:rsid w:val="08947B1A"/>
    <w:rsid w:val="08B23F58"/>
    <w:rsid w:val="08BF5027"/>
    <w:rsid w:val="08C63C5E"/>
    <w:rsid w:val="08D70FD3"/>
    <w:rsid w:val="09125B75"/>
    <w:rsid w:val="09151B9F"/>
    <w:rsid w:val="09203365"/>
    <w:rsid w:val="093C3BAE"/>
    <w:rsid w:val="09503AD7"/>
    <w:rsid w:val="09536ACF"/>
    <w:rsid w:val="09553335"/>
    <w:rsid w:val="095A592B"/>
    <w:rsid w:val="0975370E"/>
    <w:rsid w:val="09862F05"/>
    <w:rsid w:val="09B267E8"/>
    <w:rsid w:val="09D8699E"/>
    <w:rsid w:val="09E23047"/>
    <w:rsid w:val="09EA0752"/>
    <w:rsid w:val="09F332CE"/>
    <w:rsid w:val="09FF115B"/>
    <w:rsid w:val="0A073D89"/>
    <w:rsid w:val="0A27220D"/>
    <w:rsid w:val="0A2A23BF"/>
    <w:rsid w:val="0A421CBB"/>
    <w:rsid w:val="0A59227E"/>
    <w:rsid w:val="0A5B2E9C"/>
    <w:rsid w:val="0A5C7D9A"/>
    <w:rsid w:val="0A805F37"/>
    <w:rsid w:val="0A951930"/>
    <w:rsid w:val="0AA8172E"/>
    <w:rsid w:val="0AB60852"/>
    <w:rsid w:val="0AB61A56"/>
    <w:rsid w:val="0AB7285C"/>
    <w:rsid w:val="0ABF53C5"/>
    <w:rsid w:val="0AD27828"/>
    <w:rsid w:val="0AE032D9"/>
    <w:rsid w:val="0B14455B"/>
    <w:rsid w:val="0B1537E3"/>
    <w:rsid w:val="0B24135D"/>
    <w:rsid w:val="0B2A20F2"/>
    <w:rsid w:val="0B3E6734"/>
    <w:rsid w:val="0B504452"/>
    <w:rsid w:val="0B5C6678"/>
    <w:rsid w:val="0B5F4842"/>
    <w:rsid w:val="0B7A07DA"/>
    <w:rsid w:val="0B7A65B2"/>
    <w:rsid w:val="0B8232F9"/>
    <w:rsid w:val="0B935B28"/>
    <w:rsid w:val="0BB742B2"/>
    <w:rsid w:val="0BBE46C4"/>
    <w:rsid w:val="0BD013E4"/>
    <w:rsid w:val="0BD32AF9"/>
    <w:rsid w:val="0BDF6AE4"/>
    <w:rsid w:val="0BE63477"/>
    <w:rsid w:val="0BF017D8"/>
    <w:rsid w:val="0BF33B27"/>
    <w:rsid w:val="0BF501C0"/>
    <w:rsid w:val="0BFD25EE"/>
    <w:rsid w:val="0C0B5960"/>
    <w:rsid w:val="0C18707F"/>
    <w:rsid w:val="0C5A45D2"/>
    <w:rsid w:val="0C6070CD"/>
    <w:rsid w:val="0C887D50"/>
    <w:rsid w:val="0C997EC6"/>
    <w:rsid w:val="0CAB1FAB"/>
    <w:rsid w:val="0CC1343E"/>
    <w:rsid w:val="0CCA7C92"/>
    <w:rsid w:val="0CD240FA"/>
    <w:rsid w:val="0CE1311D"/>
    <w:rsid w:val="0CE70324"/>
    <w:rsid w:val="0CE929F6"/>
    <w:rsid w:val="0CF43FC5"/>
    <w:rsid w:val="0CFA32AF"/>
    <w:rsid w:val="0CFC6C38"/>
    <w:rsid w:val="0D1144D6"/>
    <w:rsid w:val="0D4D59C6"/>
    <w:rsid w:val="0D6A28BC"/>
    <w:rsid w:val="0D755E73"/>
    <w:rsid w:val="0D8631C3"/>
    <w:rsid w:val="0D947BA7"/>
    <w:rsid w:val="0D9773BD"/>
    <w:rsid w:val="0D993B21"/>
    <w:rsid w:val="0DB46A48"/>
    <w:rsid w:val="0DD255E2"/>
    <w:rsid w:val="0DF553B8"/>
    <w:rsid w:val="0DFF39C2"/>
    <w:rsid w:val="0E0B1E74"/>
    <w:rsid w:val="0E1165F5"/>
    <w:rsid w:val="0E1C7170"/>
    <w:rsid w:val="0E252AED"/>
    <w:rsid w:val="0E283065"/>
    <w:rsid w:val="0E2A4D35"/>
    <w:rsid w:val="0E2B3989"/>
    <w:rsid w:val="0E3233F7"/>
    <w:rsid w:val="0E3C0BEA"/>
    <w:rsid w:val="0E405764"/>
    <w:rsid w:val="0E45312B"/>
    <w:rsid w:val="0E5C6752"/>
    <w:rsid w:val="0E6F31E5"/>
    <w:rsid w:val="0E6F3F77"/>
    <w:rsid w:val="0E923D66"/>
    <w:rsid w:val="0EA0194A"/>
    <w:rsid w:val="0EA76D55"/>
    <w:rsid w:val="0EB1613C"/>
    <w:rsid w:val="0EE76EED"/>
    <w:rsid w:val="0EEA1A0B"/>
    <w:rsid w:val="0EEA7B6F"/>
    <w:rsid w:val="0EEF1B35"/>
    <w:rsid w:val="0F056B47"/>
    <w:rsid w:val="0F0771FF"/>
    <w:rsid w:val="0F0C6C9E"/>
    <w:rsid w:val="0F160607"/>
    <w:rsid w:val="0F1924BD"/>
    <w:rsid w:val="0F3302E6"/>
    <w:rsid w:val="0F342D8A"/>
    <w:rsid w:val="0F512623"/>
    <w:rsid w:val="0F60786C"/>
    <w:rsid w:val="0F636971"/>
    <w:rsid w:val="0F6B2FC9"/>
    <w:rsid w:val="0F6F7CB2"/>
    <w:rsid w:val="0F737EA4"/>
    <w:rsid w:val="0F771C49"/>
    <w:rsid w:val="0F7B22D9"/>
    <w:rsid w:val="0F7C5BA4"/>
    <w:rsid w:val="0F8530F7"/>
    <w:rsid w:val="0F857154"/>
    <w:rsid w:val="0F92378B"/>
    <w:rsid w:val="0F9A35CB"/>
    <w:rsid w:val="0FAB7D34"/>
    <w:rsid w:val="0FC82543"/>
    <w:rsid w:val="0FCE0379"/>
    <w:rsid w:val="0FE26942"/>
    <w:rsid w:val="0FF12C74"/>
    <w:rsid w:val="100A1EAF"/>
    <w:rsid w:val="10174308"/>
    <w:rsid w:val="10184E90"/>
    <w:rsid w:val="102E262A"/>
    <w:rsid w:val="104847B2"/>
    <w:rsid w:val="10551598"/>
    <w:rsid w:val="106925C7"/>
    <w:rsid w:val="107F42D6"/>
    <w:rsid w:val="10824231"/>
    <w:rsid w:val="108A7894"/>
    <w:rsid w:val="10A63680"/>
    <w:rsid w:val="10AE39F7"/>
    <w:rsid w:val="10BF2DDD"/>
    <w:rsid w:val="10CB2E15"/>
    <w:rsid w:val="10E24D75"/>
    <w:rsid w:val="10FC1569"/>
    <w:rsid w:val="10FC4D59"/>
    <w:rsid w:val="112D4F23"/>
    <w:rsid w:val="114B364D"/>
    <w:rsid w:val="114D6086"/>
    <w:rsid w:val="115D240F"/>
    <w:rsid w:val="11731C81"/>
    <w:rsid w:val="117326E9"/>
    <w:rsid w:val="11760D2A"/>
    <w:rsid w:val="117E1CE2"/>
    <w:rsid w:val="11830603"/>
    <w:rsid w:val="118606C8"/>
    <w:rsid w:val="11956029"/>
    <w:rsid w:val="11994354"/>
    <w:rsid w:val="11B22F8E"/>
    <w:rsid w:val="11BE6231"/>
    <w:rsid w:val="11BE7F0F"/>
    <w:rsid w:val="11CD317E"/>
    <w:rsid w:val="11D2146C"/>
    <w:rsid w:val="11D26790"/>
    <w:rsid w:val="11EF3949"/>
    <w:rsid w:val="11F27BE8"/>
    <w:rsid w:val="11FE1179"/>
    <w:rsid w:val="12091931"/>
    <w:rsid w:val="1232328D"/>
    <w:rsid w:val="1256477F"/>
    <w:rsid w:val="12640B51"/>
    <w:rsid w:val="12692060"/>
    <w:rsid w:val="127229C1"/>
    <w:rsid w:val="12887BE7"/>
    <w:rsid w:val="128D1196"/>
    <w:rsid w:val="12930EB4"/>
    <w:rsid w:val="129A15D3"/>
    <w:rsid w:val="12A124D2"/>
    <w:rsid w:val="12A40ED2"/>
    <w:rsid w:val="12AD6AA4"/>
    <w:rsid w:val="12B17E51"/>
    <w:rsid w:val="12BA4755"/>
    <w:rsid w:val="12CA462B"/>
    <w:rsid w:val="12CB54CE"/>
    <w:rsid w:val="12DA5BB3"/>
    <w:rsid w:val="12EF5AE6"/>
    <w:rsid w:val="12F55082"/>
    <w:rsid w:val="12F65A9E"/>
    <w:rsid w:val="12F76139"/>
    <w:rsid w:val="13082F0D"/>
    <w:rsid w:val="130E61E4"/>
    <w:rsid w:val="13147741"/>
    <w:rsid w:val="1320541C"/>
    <w:rsid w:val="13230816"/>
    <w:rsid w:val="13234E41"/>
    <w:rsid w:val="13425AB2"/>
    <w:rsid w:val="134F36C6"/>
    <w:rsid w:val="13671A75"/>
    <w:rsid w:val="136D1104"/>
    <w:rsid w:val="137D3A0F"/>
    <w:rsid w:val="138A49B2"/>
    <w:rsid w:val="139A0661"/>
    <w:rsid w:val="13AB72AC"/>
    <w:rsid w:val="13B04D32"/>
    <w:rsid w:val="13B07E85"/>
    <w:rsid w:val="13B75E75"/>
    <w:rsid w:val="13B86003"/>
    <w:rsid w:val="13D73D87"/>
    <w:rsid w:val="13DD5978"/>
    <w:rsid w:val="13EA3307"/>
    <w:rsid w:val="13EF44BC"/>
    <w:rsid w:val="141E0DF4"/>
    <w:rsid w:val="14263E3F"/>
    <w:rsid w:val="144B2B3C"/>
    <w:rsid w:val="145C09C7"/>
    <w:rsid w:val="145E3104"/>
    <w:rsid w:val="14627C10"/>
    <w:rsid w:val="146777A2"/>
    <w:rsid w:val="14677A32"/>
    <w:rsid w:val="146E2101"/>
    <w:rsid w:val="147655C0"/>
    <w:rsid w:val="147812DE"/>
    <w:rsid w:val="14956C8B"/>
    <w:rsid w:val="149C753D"/>
    <w:rsid w:val="14A26856"/>
    <w:rsid w:val="14A27014"/>
    <w:rsid w:val="14C1484F"/>
    <w:rsid w:val="14C24CB7"/>
    <w:rsid w:val="14CA31EA"/>
    <w:rsid w:val="14D75D08"/>
    <w:rsid w:val="14E0456E"/>
    <w:rsid w:val="14E10263"/>
    <w:rsid w:val="14E231CD"/>
    <w:rsid w:val="14EA10D3"/>
    <w:rsid w:val="14F76825"/>
    <w:rsid w:val="14F91DAE"/>
    <w:rsid w:val="15045E5B"/>
    <w:rsid w:val="150F44CD"/>
    <w:rsid w:val="15101E01"/>
    <w:rsid w:val="151B67B0"/>
    <w:rsid w:val="152A0894"/>
    <w:rsid w:val="15385F1A"/>
    <w:rsid w:val="153A3C3A"/>
    <w:rsid w:val="1548097C"/>
    <w:rsid w:val="15552B0D"/>
    <w:rsid w:val="157B7B7C"/>
    <w:rsid w:val="157F4DA6"/>
    <w:rsid w:val="158152DB"/>
    <w:rsid w:val="15841427"/>
    <w:rsid w:val="1592165C"/>
    <w:rsid w:val="15953A00"/>
    <w:rsid w:val="159801B9"/>
    <w:rsid w:val="15B52B6F"/>
    <w:rsid w:val="15B84649"/>
    <w:rsid w:val="15C20FC7"/>
    <w:rsid w:val="15D45B6A"/>
    <w:rsid w:val="15D9652F"/>
    <w:rsid w:val="15ED696C"/>
    <w:rsid w:val="15FE369F"/>
    <w:rsid w:val="16042004"/>
    <w:rsid w:val="1614017C"/>
    <w:rsid w:val="16277086"/>
    <w:rsid w:val="162A766A"/>
    <w:rsid w:val="163270B9"/>
    <w:rsid w:val="16335E66"/>
    <w:rsid w:val="163B31D8"/>
    <w:rsid w:val="16407F51"/>
    <w:rsid w:val="16452BC8"/>
    <w:rsid w:val="164B33C5"/>
    <w:rsid w:val="165B0408"/>
    <w:rsid w:val="1663258D"/>
    <w:rsid w:val="16647F13"/>
    <w:rsid w:val="166773F6"/>
    <w:rsid w:val="166815BA"/>
    <w:rsid w:val="16983C27"/>
    <w:rsid w:val="16A01480"/>
    <w:rsid w:val="16A9071D"/>
    <w:rsid w:val="16AF0E28"/>
    <w:rsid w:val="16AF48FD"/>
    <w:rsid w:val="16B47CFB"/>
    <w:rsid w:val="16B801A9"/>
    <w:rsid w:val="16BD426C"/>
    <w:rsid w:val="16C96C1D"/>
    <w:rsid w:val="16CF4FDA"/>
    <w:rsid w:val="17051A04"/>
    <w:rsid w:val="17153218"/>
    <w:rsid w:val="1734772D"/>
    <w:rsid w:val="1736217F"/>
    <w:rsid w:val="173916BD"/>
    <w:rsid w:val="17730D2B"/>
    <w:rsid w:val="178459CA"/>
    <w:rsid w:val="1784717D"/>
    <w:rsid w:val="179258BB"/>
    <w:rsid w:val="179B0E87"/>
    <w:rsid w:val="17AA55A4"/>
    <w:rsid w:val="17AC2C93"/>
    <w:rsid w:val="17BF1A08"/>
    <w:rsid w:val="17C45539"/>
    <w:rsid w:val="17CA0DBC"/>
    <w:rsid w:val="17CD34FE"/>
    <w:rsid w:val="17D37C50"/>
    <w:rsid w:val="17E42E6D"/>
    <w:rsid w:val="17E45DAD"/>
    <w:rsid w:val="18045C39"/>
    <w:rsid w:val="18070F76"/>
    <w:rsid w:val="180F286D"/>
    <w:rsid w:val="1827548C"/>
    <w:rsid w:val="183155B8"/>
    <w:rsid w:val="18445F31"/>
    <w:rsid w:val="184537FF"/>
    <w:rsid w:val="18522D8D"/>
    <w:rsid w:val="185263EB"/>
    <w:rsid w:val="185A5072"/>
    <w:rsid w:val="186866F6"/>
    <w:rsid w:val="187567C9"/>
    <w:rsid w:val="187D77CD"/>
    <w:rsid w:val="18835C5E"/>
    <w:rsid w:val="188C3E10"/>
    <w:rsid w:val="18A31C25"/>
    <w:rsid w:val="18B76108"/>
    <w:rsid w:val="18C13C48"/>
    <w:rsid w:val="18DA26E8"/>
    <w:rsid w:val="18DD4728"/>
    <w:rsid w:val="18E17AAF"/>
    <w:rsid w:val="18F36B61"/>
    <w:rsid w:val="191D1603"/>
    <w:rsid w:val="1931295B"/>
    <w:rsid w:val="193C77CD"/>
    <w:rsid w:val="19422EA9"/>
    <w:rsid w:val="194B6C7C"/>
    <w:rsid w:val="195201E9"/>
    <w:rsid w:val="195803CC"/>
    <w:rsid w:val="19597870"/>
    <w:rsid w:val="1962279D"/>
    <w:rsid w:val="19853508"/>
    <w:rsid w:val="19A50D29"/>
    <w:rsid w:val="19D04707"/>
    <w:rsid w:val="19D5038A"/>
    <w:rsid w:val="19D519DB"/>
    <w:rsid w:val="1A0D7B45"/>
    <w:rsid w:val="1A2535F7"/>
    <w:rsid w:val="1A28171C"/>
    <w:rsid w:val="1A330673"/>
    <w:rsid w:val="1A4729F6"/>
    <w:rsid w:val="1A546E89"/>
    <w:rsid w:val="1A6742F0"/>
    <w:rsid w:val="1A7B15CC"/>
    <w:rsid w:val="1A9022EB"/>
    <w:rsid w:val="1A99724A"/>
    <w:rsid w:val="1ABB3DB5"/>
    <w:rsid w:val="1AD9647E"/>
    <w:rsid w:val="1AEA5402"/>
    <w:rsid w:val="1B0A07B2"/>
    <w:rsid w:val="1B1262CB"/>
    <w:rsid w:val="1B296CA1"/>
    <w:rsid w:val="1B2A1FA4"/>
    <w:rsid w:val="1B3834A2"/>
    <w:rsid w:val="1B3C535E"/>
    <w:rsid w:val="1B4144AE"/>
    <w:rsid w:val="1B5245E8"/>
    <w:rsid w:val="1B6454CF"/>
    <w:rsid w:val="1B776EC2"/>
    <w:rsid w:val="1B7F146C"/>
    <w:rsid w:val="1B804FFF"/>
    <w:rsid w:val="1B824982"/>
    <w:rsid w:val="1B8E5F9C"/>
    <w:rsid w:val="1B953CD2"/>
    <w:rsid w:val="1BAD042B"/>
    <w:rsid w:val="1BCA5A40"/>
    <w:rsid w:val="1BF50D8F"/>
    <w:rsid w:val="1C147EC5"/>
    <w:rsid w:val="1C1B1931"/>
    <w:rsid w:val="1C2B0FD8"/>
    <w:rsid w:val="1C3A0D9F"/>
    <w:rsid w:val="1C4923E9"/>
    <w:rsid w:val="1C942F00"/>
    <w:rsid w:val="1CA333E6"/>
    <w:rsid w:val="1CAF1A05"/>
    <w:rsid w:val="1CBD0F1F"/>
    <w:rsid w:val="1CC60007"/>
    <w:rsid w:val="1CD864AA"/>
    <w:rsid w:val="1CE74AD0"/>
    <w:rsid w:val="1CEA0E30"/>
    <w:rsid w:val="1CFA6E4C"/>
    <w:rsid w:val="1D01163B"/>
    <w:rsid w:val="1D021AD7"/>
    <w:rsid w:val="1D0C02DC"/>
    <w:rsid w:val="1D102164"/>
    <w:rsid w:val="1D117AC3"/>
    <w:rsid w:val="1D2A6FF2"/>
    <w:rsid w:val="1D49211F"/>
    <w:rsid w:val="1D4F3973"/>
    <w:rsid w:val="1D617A87"/>
    <w:rsid w:val="1D63541C"/>
    <w:rsid w:val="1D6D273F"/>
    <w:rsid w:val="1D6F6E77"/>
    <w:rsid w:val="1D831DC7"/>
    <w:rsid w:val="1D9E6EFF"/>
    <w:rsid w:val="1DA84B41"/>
    <w:rsid w:val="1DBA1EF4"/>
    <w:rsid w:val="1DCA33B4"/>
    <w:rsid w:val="1DD517A0"/>
    <w:rsid w:val="1DE67D45"/>
    <w:rsid w:val="1DF83E1B"/>
    <w:rsid w:val="1E0D47CF"/>
    <w:rsid w:val="1E430D35"/>
    <w:rsid w:val="1E47738B"/>
    <w:rsid w:val="1E4B437C"/>
    <w:rsid w:val="1E544F15"/>
    <w:rsid w:val="1E6C5B8F"/>
    <w:rsid w:val="1E7050B5"/>
    <w:rsid w:val="1E7330D0"/>
    <w:rsid w:val="1E751AE0"/>
    <w:rsid w:val="1E7F54E9"/>
    <w:rsid w:val="1E8C1219"/>
    <w:rsid w:val="1E8E1971"/>
    <w:rsid w:val="1E9B0E63"/>
    <w:rsid w:val="1E9D3514"/>
    <w:rsid w:val="1EAB7195"/>
    <w:rsid w:val="1EDE5921"/>
    <w:rsid w:val="1EEB300D"/>
    <w:rsid w:val="1EEF376C"/>
    <w:rsid w:val="1F0056BB"/>
    <w:rsid w:val="1F0F75B5"/>
    <w:rsid w:val="1F1341AE"/>
    <w:rsid w:val="1F5F3977"/>
    <w:rsid w:val="1F6F0AA6"/>
    <w:rsid w:val="1F822B71"/>
    <w:rsid w:val="1F8F223C"/>
    <w:rsid w:val="1F9D497A"/>
    <w:rsid w:val="1FAB4FA1"/>
    <w:rsid w:val="1FB022FD"/>
    <w:rsid w:val="1FB8463F"/>
    <w:rsid w:val="1FBC3705"/>
    <w:rsid w:val="1FC42A6C"/>
    <w:rsid w:val="1FDB241E"/>
    <w:rsid w:val="1FE46C42"/>
    <w:rsid w:val="1FEF40D2"/>
    <w:rsid w:val="1FF445BF"/>
    <w:rsid w:val="20024409"/>
    <w:rsid w:val="20180A97"/>
    <w:rsid w:val="20317FD9"/>
    <w:rsid w:val="203D555D"/>
    <w:rsid w:val="203F5996"/>
    <w:rsid w:val="20457004"/>
    <w:rsid w:val="2063587C"/>
    <w:rsid w:val="20806185"/>
    <w:rsid w:val="208E239C"/>
    <w:rsid w:val="20942B95"/>
    <w:rsid w:val="20964CEB"/>
    <w:rsid w:val="209F172E"/>
    <w:rsid w:val="20BB12DA"/>
    <w:rsid w:val="20BE5739"/>
    <w:rsid w:val="20C60C75"/>
    <w:rsid w:val="20C87B1A"/>
    <w:rsid w:val="20CA5E05"/>
    <w:rsid w:val="20CD2180"/>
    <w:rsid w:val="20D76AF1"/>
    <w:rsid w:val="210D50B2"/>
    <w:rsid w:val="21153DE8"/>
    <w:rsid w:val="212C7E8C"/>
    <w:rsid w:val="213F006C"/>
    <w:rsid w:val="21453EEC"/>
    <w:rsid w:val="216047D2"/>
    <w:rsid w:val="216219EC"/>
    <w:rsid w:val="216A4C9E"/>
    <w:rsid w:val="216B5566"/>
    <w:rsid w:val="2178230A"/>
    <w:rsid w:val="217C7C5C"/>
    <w:rsid w:val="218428A8"/>
    <w:rsid w:val="21904365"/>
    <w:rsid w:val="21C13C70"/>
    <w:rsid w:val="21D864E7"/>
    <w:rsid w:val="21DA4771"/>
    <w:rsid w:val="21FE1E55"/>
    <w:rsid w:val="22047A36"/>
    <w:rsid w:val="22070D32"/>
    <w:rsid w:val="22121BCA"/>
    <w:rsid w:val="22166AF0"/>
    <w:rsid w:val="22282645"/>
    <w:rsid w:val="22580D33"/>
    <w:rsid w:val="225C330F"/>
    <w:rsid w:val="226358BB"/>
    <w:rsid w:val="227C2B31"/>
    <w:rsid w:val="227F3224"/>
    <w:rsid w:val="228C6536"/>
    <w:rsid w:val="22925752"/>
    <w:rsid w:val="229E06D2"/>
    <w:rsid w:val="22A97736"/>
    <w:rsid w:val="22AB29E3"/>
    <w:rsid w:val="22B36A86"/>
    <w:rsid w:val="22C33AA6"/>
    <w:rsid w:val="22C8482F"/>
    <w:rsid w:val="22D108F6"/>
    <w:rsid w:val="22DE57BD"/>
    <w:rsid w:val="22F9178E"/>
    <w:rsid w:val="22FA0F38"/>
    <w:rsid w:val="232E225F"/>
    <w:rsid w:val="232F19D2"/>
    <w:rsid w:val="233F1EEF"/>
    <w:rsid w:val="23403E75"/>
    <w:rsid w:val="235D1847"/>
    <w:rsid w:val="236C6986"/>
    <w:rsid w:val="237244F3"/>
    <w:rsid w:val="237F17D9"/>
    <w:rsid w:val="237F32BF"/>
    <w:rsid w:val="238C7C35"/>
    <w:rsid w:val="23AE56B5"/>
    <w:rsid w:val="23BC3A43"/>
    <w:rsid w:val="23CB126F"/>
    <w:rsid w:val="23D60CAF"/>
    <w:rsid w:val="23D626C4"/>
    <w:rsid w:val="23E01BBE"/>
    <w:rsid w:val="23E04953"/>
    <w:rsid w:val="23E420C6"/>
    <w:rsid w:val="23EF13DC"/>
    <w:rsid w:val="242128A2"/>
    <w:rsid w:val="242502F3"/>
    <w:rsid w:val="24312159"/>
    <w:rsid w:val="24461B0E"/>
    <w:rsid w:val="2447730C"/>
    <w:rsid w:val="244C63C4"/>
    <w:rsid w:val="244F0B78"/>
    <w:rsid w:val="24545816"/>
    <w:rsid w:val="24557130"/>
    <w:rsid w:val="245E5FCC"/>
    <w:rsid w:val="247A51B2"/>
    <w:rsid w:val="247E000D"/>
    <w:rsid w:val="24885FC6"/>
    <w:rsid w:val="24917E45"/>
    <w:rsid w:val="2494688D"/>
    <w:rsid w:val="249D5AE6"/>
    <w:rsid w:val="24A925CE"/>
    <w:rsid w:val="24B05ECD"/>
    <w:rsid w:val="24B3276B"/>
    <w:rsid w:val="24BD298B"/>
    <w:rsid w:val="24C4477D"/>
    <w:rsid w:val="24CB51B2"/>
    <w:rsid w:val="24D711D6"/>
    <w:rsid w:val="24F15400"/>
    <w:rsid w:val="2500469A"/>
    <w:rsid w:val="250508B5"/>
    <w:rsid w:val="250B0C1E"/>
    <w:rsid w:val="25334FCF"/>
    <w:rsid w:val="255333E0"/>
    <w:rsid w:val="255C725B"/>
    <w:rsid w:val="25605207"/>
    <w:rsid w:val="25684F9C"/>
    <w:rsid w:val="256F7830"/>
    <w:rsid w:val="257C3E8D"/>
    <w:rsid w:val="257D1560"/>
    <w:rsid w:val="258671A2"/>
    <w:rsid w:val="258E2D5A"/>
    <w:rsid w:val="258E4890"/>
    <w:rsid w:val="2597278D"/>
    <w:rsid w:val="25A86EB8"/>
    <w:rsid w:val="25AC0D31"/>
    <w:rsid w:val="25D70175"/>
    <w:rsid w:val="25D87F38"/>
    <w:rsid w:val="25E32B88"/>
    <w:rsid w:val="25E511FE"/>
    <w:rsid w:val="25E70520"/>
    <w:rsid w:val="25E834D6"/>
    <w:rsid w:val="26110EFB"/>
    <w:rsid w:val="26190E67"/>
    <w:rsid w:val="261A5BC9"/>
    <w:rsid w:val="262152C4"/>
    <w:rsid w:val="262902C9"/>
    <w:rsid w:val="26373CD2"/>
    <w:rsid w:val="26400816"/>
    <w:rsid w:val="265B62F7"/>
    <w:rsid w:val="266354CF"/>
    <w:rsid w:val="267E2F65"/>
    <w:rsid w:val="26A165A7"/>
    <w:rsid w:val="26A9007A"/>
    <w:rsid w:val="26B633C5"/>
    <w:rsid w:val="26C50548"/>
    <w:rsid w:val="26C72E61"/>
    <w:rsid w:val="26D435A5"/>
    <w:rsid w:val="27092F2D"/>
    <w:rsid w:val="27121DBC"/>
    <w:rsid w:val="27160780"/>
    <w:rsid w:val="27282A6B"/>
    <w:rsid w:val="2728386D"/>
    <w:rsid w:val="273412AD"/>
    <w:rsid w:val="27524201"/>
    <w:rsid w:val="275E4AE0"/>
    <w:rsid w:val="27640D1A"/>
    <w:rsid w:val="276F486B"/>
    <w:rsid w:val="2782398F"/>
    <w:rsid w:val="278F02F0"/>
    <w:rsid w:val="27A2375B"/>
    <w:rsid w:val="27C27ED6"/>
    <w:rsid w:val="27CB5C76"/>
    <w:rsid w:val="27CD1869"/>
    <w:rsid w:val="27F71C51"/>
    <w:rsid w:val="280817BD"/>
    <w:rsid w:val="281A4040"/>
    <w:rsid w:val="2835131A"/>
    <w:rsid w:val="284E0902"/>
    <w:rsid w:val="2855544B"/>
    <w:rsid w:val="285625D7"/>
    <w:rsid w:val="285D15C5"/>
    <w:rsid w:val="286A6012"/>
    <w:rsid w:val="28795B05"/>
    <w:rsid w:val="28951F15"/>
    <w:rsid w:val="289B2721"/>
    <w:rsid w:val="28AA6E11"/>
    <w:rsid w:val="28B01039"/>
    <w:rsid w:val="28CD158D"/>
    <w:rsid w:val="28D43CDD"/>
    <w:rsid w:val="28E32312"/>
    <w:rsid w:val="290F3A9F"/>
    <w:rsid w:val="2916030A"/>
    <w:rsid w:val="292B1A65"/>
    <w:rsid w:val="29324FA4"/>
    <w:rsid w:val="293470DE"/>
    <w:rsid w:val="29370B67"/>
    <w:rsid w:val="294C5B6C"/>
    <w:rsid w:val="29554A72"/>
    <w:rsid w:val="295555B3"/>
    <w:rsid w:val="29563821"/>
    <w:rsid w:val="296B49A4"/>
    <w:rsid w:val="296C03C4"/>
    <w:rsid w:val="296C5016"/>
    <w:rsid w:val="29781362"/>
    <w:rsid w:val="299D23D9"/>
    <w:rsid w:val="29A6665A"/>
    <w:rsid w:val="29BE6E77"/>
    <w:rsid w:val="29C71441"/>
    <w:rsid w:val="29E61393"/>
    <w:rsid w:val="2A106B6E"/>
    <w:rsid w:val="2A167218"/>
    <w:rsid w:val="2A1E75F2"/>
    <w:rsid w:val="2A541F5A"/>
    <w:rsid w:val="2A760C9D"/>
    <w:rsid w:val="2A877663"/>
    <w:rsid w:val="2A9105FA"/>
    <w:rsid w:val="2A9728E8"/>
    <w:rsid w:val="2A9B741D"/>
    <w:rsid w:val="2A9D3838"/>
    <w:rsid w:val="2AA570CE"/>
    <w:rsid w:val="2AE80D5B"/>
    <w:rsid w:val="2AF4158D"/>
    <w:rsid w:val="2AF851A6"/>
    <w:rsid w:val="2AFC13BE"/>
    <w:rsid w:val="2B174446"/>
    <w:rsid w:val="2B21206B"/>
    <w:rsid w:val="2B2C45FC"/>
    <w:rsid w:val="2B301EEB"/>
    <w:rsid w:val="2B3B2B2C"/>
    <w:rsid w:val="2B485256"/>
    <w:rsid w:val="2B4B63CC"/>
    <w:rsid w:val="2B53193E"/>
    <w:rsid w:val="2B5E73C6"/>
    <w:rsid w:val="2B824F26"/>
    <w:rsid w:val="2B9B685E"/>
    <w:rsid w:val="2BB35DA5"/>
    <w:rsid w:val="2BB60C63"/>
    <w:rsid w:val="2BB77963"/>
    <w:rsid w:val="2BBA7EB1"/>
    <w:rsid w:val="2BC924A3"/>
    <w:rsid w:val="2BD74D5E"/>
    <w:rsid w:val="2BDB3695"/>
    <w:rsid w:val="2BE01DE7"/>
    <w:rsid w:val="2BE968EE"/>
    <w:rsid w:val="2BFF1E7A"/>
    <w:rsid w:val="2C0822D9"/>
    <w:rsid w:val="2C0B05E9"/>
    <w:rsid w:val="2C0E0C36"/>
    <w:rsid w:val="2C124544"/>
    <w:rsid w:val="2C385CCB"/>
    <w:rsid w:val="2C427697"/>
    <w:rsid w:val="2C505320"/>
    <w:rsid w:val="2C742FC5"/>
    <w:rsid w:val="2C8A0344"/>
    <w:rsid w:val="2CA86F0A"/>
    <w:rsid w:val="2CB1658D"/>
    <w:rsid w:val="2CBD3E13"/>
    <w:rsid w:val="2D001870"/>
    <w:rsid w:val="2D2130D1"/>
    <w:rsid w:val="2D22359A"/>
    <w:rsid w:val="2D23163C"/>
    <w:rsid w:val="2D297B69"/>
    <w:rsid w:val="2D3C3215"/>
    <w:rsid w:val="2D5A349E"/>
    <w:rsid w:val="2D7B4D78"/>
    <w:rsid w:val="2D9655F8"/>
    <w:rsid w:val="2DA450B1"/>
    <w:rsid w:val="2DA67845"/>
    <w:rsid w:val="2DCD628D"/>
    <w:rsid w:val="2DCE4CD1"/>
    <w:rsid w:val="2DEB251F"/>
    <w:rsid w:val="2DF0683D"/>
    <w:rsid w:val="2DF106D6"/>
    <w:rsid w:val="2DF40C6B"/>
    <w:rsid w:val="2DF518F9"/>
    <w:rsid w:val="2DFC68EF"/>
    <w:rsid w:val="2E026C44"/>
    <w:rsid w:val="2E19404C"/>
    <w:rsid w:val="2E29199E"/>
    <w:rsid w:val="2E336A94"/>
    <w:rsid w:val="2E344B30"/>
    <w:rsid w:val="2E401F87"/>
    <w:rsid w:val="2E485135"/>
    <w:rsid w:val="2E4F5D17"/>
    <w:rsid w:val="2E547146"/>
    <w:rsid w:val="2E5A685F"/>
    <w:rsid w:val="2E5E2193"/>
    <w:rsid w:val="2E94359C"/>
    <w:rsid w:val="2EA16991"/>
    <w:rsid w:val="2EAE1E55"/>
    <w:rsid w:val="2EB10FBD"/>
    <w:rsid w:val="2EC375D2"/>
    <w:rsid w:val="2EC870BB"/>
    <w:rsid w:val="2EE64707"/>
    <w:rsid w:val="2F00412C"/>
    <w:rsid w:val="2F08510F"/>
    <w:rsid w:val="2F157898"/>
    <w:rsid w:val="2F2F1F74"/>
    <w:rsid w:val="2F3D409F"/>
    <w:rsid w:val="2F436D8D"/>
    <w:rsid w:val="2F494386"/>
    <w:rsid w:val="2F5B7087"/>
    <w:rsid w:val="2F5C2F80"/>
    <w:rsid w:val="2F642E3F"/>
    <w:rsid w:val="2F804CA1"/>
    <w:rsid w:val="2F83469B"/>
    <w:rsid w:val="2F864841"/>
    <w:rsid w:val="2F8B372E"/>
    <w:rsid w:val="2F8F367C"/>
    <w:rsid w:val="2FA82425"/>
    <w:rsid w:val="2FA900AC"/>
    <w:rsid w:val="2FAB07CC"/>
    <w:rsid w:val="2FB6101C"/>
    <w:rsid w:val="2FBB54D4"/>
    <w:rsid w:val="2FD30D82"/>
    <w:rsid w:val="2FD3199C"/>
    <w:rsid w:val="2FDC3912"/>
    <w:rsid w:val="2FFF3884"/>
    <w:rsid w:val="30043D1D"/>
    <w:rsid w:val="30044A31"/>
    <w:rsid w:val="30251010"/>
    <w:rsid w:val="303553FE"/>
    <w:rsid w:val="303F2CC3"/>
    <w:rsid w:val="304422E7"/>
    <w:rsid w:val="305F0846"/>
    <w:rsid w:val="30611712"/>
    <w:rsid w:val="30653F46"/>
    <w:rsid w:val="306A2DB3"/>
    <w:rsid w:val="307C20D6"/>
    <w:rsid w:val="307E022D"/>
    <w:rsid w:val="30C85095"/>
    <w:rsid w:val="30DE5807"/>
    <w:rsid w:val="30E74873"/>
    <w:rsid w:val="30F069BC"/>
    <w:rsid w:val="31031AB8"/>
    <w:rsid w:val="31080962"/>
    <w:rsid w:val="311B7F96"/>
    <w:rsid w:val="312B50F6"/>
    <w:rsid w:val="313A503F"/>
    <w:rsid w:val="314B0B80"/>
    <w:rsid w:val="314C6708"/>
    <w:rsid w:val="31590F54"/>
    <w:rsid w:val="3161045D"/>
    <w:rsid w:val="317728E6"/>
    <w:rsid w:val="3179107F"/>
    <w:rsid w:val="31847A54"/>
    <w:rsid w:val="319005D7"/>
    <w:rsid w:val="31A71C57"/>
    <w:rsid w:val="31AB34F4"/>
    <w:rsid w:val="31BC0D31"/>
    <w:rsid w:val="31D550A1"/>
    <w:rsid w:val="31D87586"/>
    <w:rsid w:val="31DD701A"/>
    <w:rsid w:val="31E60F99"/>
    <w:rsid w:val="31F25D7E"/>
    <w:rsid w:val="31F42DE6"/>
    <w:rsid w:val="31FD2778"/>
    <w:rsid w:val="31FF1D8A"/>
    <w:rsid w:val="320C2409"/>
    <w:rsid w:val="320C4DEF"/>
    <w:rsid w:val="3217224F"/>
    <w:rsid w:val="32274E4B"/>
    <w:rsid w:val="322A6AEE"/>
    <w:rsid w:val="322D3774"/>
    <w:rsid w:val="324D6C2F"/>
    <w:rsid w:val="324E1B8E"/>
    <w:rsid w:val="32536678"/>
    <w:rsid w:val="326A7DD7"/>
    <w:rsid w:val="327D386A"/>
    <w:rsid w:val="32806692"/>
    <w:rsid w:val="32AD657B"/>
    <w:rsid w:val="32AE3936"/>
    <w:rsid w:val="32C21FDC"/>
    <w:rsid w:val="32C658BE"/>
    <w:rsid w:val="32DA0A76"/>
    <w:rsid w:val="32DB578F"/>
    <w:rsid w:val="32E6385E"/>
    <w:rsid w:val="32ED611D"/>
    <w:rsid w:val="331E098A"/>
    <w:rsid w:val="33242251"/>
    <w:rsid w:val="33466922"/>
    <w:rsid w:val="33634326"/>
    <w:rsid w:val="33655EC0"/>
    <w:rsid w:val="336638D7"/>
    <w:rsid w:val="33791DCE"/>
    <w:rsid w:val="337E39FF"/>
    <w:rsid w:val="33801B97"/>
    <w:rsid w:val="338D0DD7"/>
    <w:rsid w:val="339D4949"/>
    <w:rsid w:val="33B1496E"/>
    <w:rsid w:val="33CE79DD"/>
    <w:rsid w:val="33E56BE8"/>
    <w:rsid w:val="33E949E0"/>
    <w:rsid w:val="33FE1F20"/>
    <w:rsid w:val="3400551A"/>
    <w:rsid w:val="3402642E"/>
    <w:rsid w:val="34031C5C"/>
    <w:rsid w:val="34230BF5"/>
    <w:rsid w:val="342F18FE"/>
    <w:rsid w:val="343A23E0"/>
    <w:rsid w:val="344072C3"/>
    <w:rsid w:val="34427B83"/>
    <w:rsid w:val="345362DE"/>
    <w:rsid w:val="34623B70"/>
    <w:rsid w:val="347200BB"/>
    <w:rsid w:val="34A30ED8"/>
    <w:rsid w:val="34BA5F92"/>
    <w:rsid w:val="34C83E82"/>
    <w:rsid w:val="34DD4C6B"/>
    <w:rsid w:val="350B4F44"/>
    <w:rsid w:val="350C11EB"/>
    <w:rsid w:val="3525084B"/>
    <w:rsid w:val="352E79B8"/>
    <w:rsid w:val="35387A60"/>
    <w:rsid w:val="353E67C4"/>
    <w:rsid w:val="354F05D7"/>
    <w:rsid w:val="35530EED"/>
    <w:rsid w:val="35724B0B"/>
    <w:rsid w:val="357E6D9D"/>
    <w:rsid w:val="35842E93"/>
    <w:rsid w:val="35A2173B"/>
    <w:rsid w:val="35B221C1"/>
    <w:rsid w:val="35C22F19"/>
    <w:rsid w:val="35D854DC"/>
    <w:rsid w:val="35E00CF2"/>
    <w:rsid w:val="360939CC"/>
    <w:rsid w:val="36153C7F"/>
    <w:rsid w:val="36157A0C"/>
    <w:rsid w:val="36180214"/>
    <w:rsid w:val="3627104B"/>
    <w:rsid w:val="362B0BA1"/>
    <w:rsid w:val="36311267"/>
    <w:rsid w:val="363734AE"/>
    <w:rsid w:val="364D7C0A"/>
    <w:rsid w:val="36613ECC"/>
    <w:rsid w:val="3668640F"/>
    <w:rsid w:val="366D4898"/>
    <w:rsid w:val="367C6A83"/>
    <w:rsid w:val="368758B8"/>
    <w:rsid w:val="369532FE"/>
    <w:rsid w:val="36977D0A"/>
    <w:rsid w:val="36AA4705"/>
    <w:rsid w:val="36DC6F92"/>
    <w:rsid w:val="36E57520"/>
    <w:rsid w:val="37085377"/>
    <w:rsid w:val="371478CB"/>
    <w:rsid w:val="371541CD"/>
    <w:rsid w:val="37232689"/>
    <w:rsid w:val="37267FD9"/>
    <w:rsid w:val="37274E86"/>
    <w:rsid w:val="373F43D0"/>
    <w:rsid w:val="37420AB2"/>
    <w:rsid w:val="37694329"/>
    <w:rsid w:val="377363D2"/>
    <w:rsid w:val="377D22F7"/>
    <w:rsid w:val="37A47D42"/>
    <w:rsid w:val="37A933EB"/>
    <w:rsid w:val="37AB34B0"/>
    <w:rsid w:val="37BA2A1C"/>
    <w:rsid w:val="37C73931"/>
    <w:rsid w:val="37CA3C32"/>
    <w:rsid w:val="37CD48D7"/>
    <w:rsid w:val="37CE6E68"/>
    <w:rsid w:val="37D07D41"/>
    <w:rsid w:val="37E15A66"/>
    <w:rsid w:val="37E53157"/>
    <w:rsid w:val="37EF4B67"/>
    <w:rsid w:val="380155B8"/>
    <w:rsid w:val="38143B7D"/>
    <w:rsid w:val="382208DA"/>
    <w:rsid w:val="38250E73"/>
    <w:rsid w:val="38367F7F"/>
    <w:rsid w:val="383B62D2"/>
    <w:rsid w:val="383D5A4C"/>
    <w:rsid w:val="38537457"/>
    <w:rsid w:val="387270E9"/>
    <w:rsid w:val="38910E9B"/>
    <w:rsid w:val="38925A04"/>
    <w:rsid w:val="3894072F"/>
    <w:rsid w:val="389B69A4"/>
    <w:rsid w:val="38AC5B2E"/>
    <w:rsid w:val="38AE6FFD"/>
    <w:rsid w:val="38B81F88"/>
    <w:rsid w:val="38BA3C00"/>
    <w:rsid w:val="38CE702E"/>
    <w:rsid w:val="38DC26F3"/>
    <w:rsid w:val="38DE03D9"/>
    <w:rsid w:val="38EE473E"/>
    <w:rsid w:val="38F1250C"/>
    <w:rsid w:val="38F87154"/>
    <w:rsid w:val="39191D11"/>
    <w:rsid w:val="391A206B"/>
    <w:rsid w:val="391D4F4E"/>
    <w:rsid w:val="39411126"/>
    <w:rsid w:val="398B0EE1"/>
    <w:rsid w:val="398B5C62"/>
    <w:rsid w:val="39A313A6"/>
    <w:rsid w:val="39ED5680"/>
    <w:rsid w:val="39F15CCB"/>
    <w:rsid w:val="3A026816"/>
    <w:rsid w:val="3A0E5F3A"/>
    <w:rsid w:val="3A230453"/>
    <w:rsid w:val="3A2A7F5A"/>
    <w:rsid w:val="3A3E4118"/>
    <w:rsid w:val="3A402BA3"/>
    <w:rsid w:val="3A460D4B"/>
    <w:rsid w:val="3A4A5C96"/>
    <w:rsid w:val="3A553859"/>
    <w:rsid w:val="3A5D3E32"/>
    <w:rsid w:val="3A687C09"/>
    <w:rsid w:val="3A7E4917"/>
    <w:rsid w:val="3A9037F6"/>
    <w:rsid w:val="3A9252E9"/>
    <w:rsid w:val="3A956777"/>
    <w:rsid w:val="3A9A4301"/>
    <w:rsid w:val="3AA0179C"/>
    <w:rsid w:val="3AA20002"/>
    <w:rsid w:val="3AE01437"/>
    <w:rsid w:val="3AE03B55"/>
    <w:rsid w:val="3AE14B8F"/>
    <w:rsid w:val="3AF506DA"/>
    <w:rsid w:val="3AF90A73"/>
    <w:rsid w:val="3B095B8A"/>
    <w:rsid w:val="3B1B256F"/>
    <w:rsid w:val="3B1F149E"/>
    <w:rsid w:val="3B2F00D8"/>
    <w:rsid w:val="3B3727F8"/>
    <w:rsid w:val="3B400122"/>
    <w:rsid w:val="3B4130B0"/>
    <w:rsid w:val="3B8303F9"/>
    <w:rsid w:val="3B89134B"/>
    <w:rsid w:val="3B897AE7"/>
    <w:rsid w:val="3B8B16D1"/>
    <w:rsid w:val="3B922577"/>
    <w:rsid w:val="3B926FDD"/>
    <w:rsid w:val="3B93537E"/>
    <w:rsid w:val="3BA6097D"/>
    <w:rsid w:val="3BAE1758"/>
    <w:rsid w:val="3BB26EFA"/>
    <w:rsid w:val="3BB54E02"/>
    <w:rsid w:val="3BB61B6E"/>
    <w:rsid w:val="3BBB2D01"/>
    <w:rsid w:val="3BBB2E2A"/>
    <w:rsid w:val="3BBD726D"/>
    <w:rsid w:val="3BC75C3C"/>
    <w:rsid w:val="3BC920F6"/>
    <w:rsid w:val="3BD64AD0"/>
    <w:rsid w:val="3BEE2B40"/>
    <w:rsid w:val="3C081154"/>
    <w:rsid w:val="3C130C11"/>
    <w:rsid w:val="3C207F0F"/>
    <w:rsid w:val="3C2117E5"/>
    <w:rsid w:val="3C553037"/>
    <w:rsid w:val="3C580F7A"/>
    <w:rsid w:val="3C5C5CF7"/>
    <w:rsid w:val="3C6C2C7D"/>
    <w:rsid w:val="3C740923"/>
    <w:rsid w:val="3C7427FC"/>
    <w:rsid w:val="3C7F51CE"/>
    <w:rsid w:val="3C8C1529"/>
    <w:rsid w:val="3C9D7365"/>
    <w:rsid w:val="3CAB5851"/>
    <w:rsid w:val="3CD27A80"/>
    <w:rsid w:val="3CF96B9D"/>
    <w:rsid w:val="3D0812C3"/>
    <w:rsid w:val="3D136128"/>
    <w:rsid w:val="3D171068"/>
    <w:rsid w:val="3D1929FF"/>
    <w:rsid w:val="3D1D6B44"/>
    <w:rsid w:val="3D3025AD"/>
    <w:rsid w:val="3D3538CE"/>
    <w:rsid w:val="3D5507D7"/>
    <w:rsid w:val="3D6E7BBA"/>
    <w:rsid w:val="3D842E96"/>
    <w:rsid w:val="3DC2679C"/>
    <w:rsid w:val="3DCE2FFF"/>
    <w:rsid w:val="3DE82773"/>
    <w:rsid w:val="3DF0308B"/>
    <w:rsid w:val="3DFC536E"/>
    <w:rsid w:val="3DFC7C18"/>
    <w:rsid w:val="3E1140E6"/>
    <w:rsid w:val="3E215A21"/>
    <w:rsid w:val="3E3A61F4"/>
    <w:rsid w:val="3E4229F5"/>
    <w:rsid w:val="3E7E7B88"/>
    <w:rsid w:val="3E7F6514"/>
    <w:rsid w:val="3E82592E"/>
    <w:rsid w:val="3E911B3B"/>
    <w:rsid w:val="3E987913"/>
    <w:rsid w:val="3EC3648B"/>
    <w:rsid w:val="3EDE22CF"/>
    <w:rsid w:val="3EFE7D50"/>
    <w:rsid w:val="3F0A002B"/>
    <w:rsid w:val="3F1B1B78"/>
    <w:rsid w:val="3F1D0F78"/>
    <w:rsid w:val="3F205C48"/>
    <w:rsid w:val="3F265A51"/>
    <w:rsid w:val="3F39276C"/>
    <w:rsid w:val="3F3C7DC4"/>
    <w:rsid w:val="3F526AC0"/>
    <w:rsid w:val="3F59791E"/>
    <w:rsid w:val="3F782067"/>
    <w:rsid w:val="3F856E8C"/>
    <w:rsid w:val="3F91032A"/>
    <w:rsid w:val="3F983B5D"/>
    <w:rsid w:val="3F9D0448"/>
    <w:rsid w:val="3FBF7C79"/>
    <w:rsid w:val="3FDB5264"/>
    <w:rsid w:val="3FE6099D"/>
    <w:rsid w:val="3FF755AD"/>
    <w:rsid w:val="3FF87D84"/>
    <w:rsid w:val="4005705D"/>
    <w:rsid w:val="40067039"/>
    <w:rsid w:val="400B1E7E"/>
    <w:rsid w:val="401C36C6"/>
    <w:rsid w:val="40320C67"/>
    <w:rsid w:val="40344720"/>
    <w:rsid w:val="40507891"/>
    <w:rsid w:val="40850C92"/>
    <w:rsid w:val="408515AB"/>
    <w:rsid w:val="40AA0DA6"/>
    <w:rsid w:val="40AE5079"/>
    <w:rsid w:val="40B12E37"/>
    <w:rsid w:val="40BD52A1"/>
    <w:rsid w:val="40CA52C7"/>
    <w:rsid w:val="40CF2672"/>
    <w:rsid w:val="40D86836"/>
    <w:rsid w:val="40E92264"/>
    <w:rsid w:val="40EA3E3F"/>
    <w:rsid w:val="40ED24F7"/>
    <w:rsid w:val="40F23F70"/>
    <w:rsid w:val="40F61123"/>
    <w:rsid w:val="41092212"/>
    <w:rsid w:val="410A6E5A"/>
    <w:rsid w:val="411968DC"/>
    <w:rsid w:val="411C1E96"/>
    <w:rsid w:val="4129318A"/>
    <w:rsid w:val="4141606F"/>
    <w:rsid w:val="41503343"/>
    <w:rsid w:val="415443C1"/>
    <w:rsid w:val="416673FC"/>
    <w:rsid w:val="41682335"/>
    <w:rsid w:val="416C04D0"/>
    <w:rsid w:val="41733351"/>
    <w:rsid w:val="417B5D74"/>
    <w:rsid w:val="419B52CC"/>
    <w:rsid w:val="41A70571"/>
    <w:rsid w:val="41AE228D"/>
    <w:rsid w:val="41CC59E8"/>
    <w:rsid w:val="41D92D86"/>
    <w:rsid w:val="41DB620B"/>
    <w:rsid w:val="41E74B89"/>
    <w:rsid w:val="41ED4895"/>
    <w:rsid w:val="4206665D"/>
    <w:rsid w:val="420A335D"/>
    <w:rsid w:val="420C01D0"/>
    <w:rsid w:val="421E6754"/>
    <w:rsid w:val="422E4D3B"/>
    <w:rsid w:val="423057C8"/>
    <w:rsid w:val="423D07B3"/>
    <w:rsid w:val="423E40BC"/>
    <w:rsid w:val="42510AD6"/>
    <w:rsid w:val="426C131A"/>
    <w:rsid w:val="42762AA8"/>
    <w:rsid w:val="427A2175"/>
    <w:rsid w:val="428C6644"/>
    <w:rsid w:val="429C5387"/>
    <w:rsid w:val="42AF2998"/>
    <w:rsid w:val="42B51507"/>
    <w:rsid w:val="42DB35FF"/>
    <w:rsid w:val="42DB6D7C"/>
    <w:rsid w:val="42EF4C08"/>
    <w:rsid w:val="42F67FE2"/>
    <w:rsid w:val="42F743C9"/>
    <w:rsid w:val="42F8052A"/>
    <w:rsid w:val="42FE2308"/>
    <w:rsid w:val="430E23D7"/>
    <w:rsid w:val="43116A35"/>
    <w:rsid w:val="43210E08"/>
    <w:rsid w:val="4327354C"/>
    <w:rsid w:val="432E4611"/>
    <w:rsid w:val="43361228"/>
    <w:rsid w:val="433C5C45"/>
    <w:rsid w:val="433F0B8D"/>
    <w:rsid w:val="435A0505"/>
    <w:rsid w:val="435E1AC7"/>
    <w:rsid w:val="43857962"/>
    <w:rsid w:val="43960ABC"/>
    <w:rsid w:val="43B86A97"/>
    <w:rsid w:val="43BB7673"/>
    <w:rsid w:val="43C842B7"/>
    <w:rsid w:val="43E45E6E"/>
    <w:rsid w:val="43EC6271"/>
    <w:rsid w:val="43F55EFE"/>
    <w:rsid w:val="43F867BE"/>
    <w:rsid w:val="440005CA"/>
    <w:rsid w:val="440C6431"/>
    <w:rsid w:val="442415E4"/>
    <w:rsid w:val="4429336D"/>
    <w:rsid w:val="443A2CA9"/>
    <w:rsid w:val="44421D4D"/>
    <w:rsid w:val="4443344E"/>
    <w:rsid w:val="44437C3A"/>
    <w:rsid w:val="444439DE"/>
    <w:rsid w:val="444B74C2"/>
    <w:rsid w:val="445B7126"/>
    <w:rsid w:val="44612C4E"/>
    <w:rsid w:val="446B1A28"/>
    <w:rsid w:val="44716A9B"/>
    <w:rsid w:val="448F1991"/>
    <w:rsid w:val="44A1159D"/>
    <w:rsid w:val="44A95054"/>
    <w:rsid w:val="44AF4FD4"/>
    <w:rsid w:val="44B36638"/>
    <w:rsid w:val="44D616DD"/>
    <w:rsid w:val="44D8707D"/>
    <w:rsid w:val="44E15E0A"/>
    <w:rsid w:val="44F074F2"/>
    <w:rsid w:val="44F571B0"/>
    <w:rsid w:val="450A0F97"/>
    <w:rsid w:val="450E1D0C"/>
    <w:rsid w:val="45135ED2"/>
    <w:rsid w:val="454D170D"/>
    <w:rsid w:val="455024F6"/>
    <w:rsid w:val="4556056E"/>
    <w:rsid w:val="455E04CB"/>
    <w:rsid w:val="45656C10"/>
    <w:rsid w:val="457A178F"/>
    <w:rsid w:val="458319AB"/>
    <w:rsid w:val="45990053"/>
    <w:rsid w:val="45A6785C"/>
    <w:rsid w:val="45A959AB"/>
    <w:rsid w:val="45CC0BBA"/>
    <w:rsid w:val="45D1704D"/>
    <w:rsid w:val="45D27241"/>
    <w:rsid w:val="45F760A3"/>
    <w:rsid w:val="4605593D"/>
    <w:rsid w:val="46171C05"/>
    <w:rsid w:val="46200480"/>
    <w:rsid w:val="4636197B"/>
    <w:rsid w:val="464625F4"/>
    <w:rsid w:val="464C3957"/>
    <w:rsid w:val="467809D8"/>
    <w:rsid w:val="46954D1D"/>
    <w:rsid w:val="46954E4D"/>
    <w:rsid w:val="46BE08E3"/>
    <w:rsid w:val="46F647CE"/>
    <w:rsid w:val="46FF18C7"/>
    <w:rsid w:val="470174CE"/>
    <w:rsid w:val="47096675"/>
    <w:rsid w:val="4725312F"/>
    <w:rsid w:val="47325278"/>
    <w:rsid w:val="473656A3"/>
    <w:rsid w:val="473D7084"/>
    <w:rsid w:val="47441434"/>
    <w:rsid w:val="474A38B8"/>
    <w:rsid w:val="47586CAD"/>
    <w:rsid w:val="47611C77"/>
    <w:rsid w:val="47613220"/>
    <w:rsid w:val="47626C37"/>
    <w:rsid w:val="476310D9"/>
    <w:rsid w:val="476E6951"/>
    <w:rsid w:val="47723822"/>
    <w:rsid w:val="477D24AD"/>
    <w:rsid w:val="477F45B2"/>
    <w:rsid w:val="478E7529"/>
    <w:rsid w:val="47AC3B5B"/>
    <w:rsid w:val="47AD4333"/>
    <w:rsid w:val="47BA597B"/>
    <w:rsid w:val="47BF668A"/>
    <w:rsid w:val="47CF4F34"/>
    <w:rsid w:val="47DE2AC8"/>
    <w:rsid w:val="47DF2088"/>
    <w:rsid w:val="47E34BF5"/>
    <w:rsid w:val="48126C30"/>
    <w:rsid w:val="48134976"/>
    <w:rsid w:val="482F34C9"/>
    <w:rsid w:val="483253E6"/>
    <w:rsid w:val="483A4D77"/>
    <w:rsid w:val="484F0D15"/>
    <w:rsid w:val="48652B49"/>
    <w:rsid w:val="486B4004"/>
    <w:rsid w:val="48775F2B"/>
    <w:rsid w:val="48965C57"/>
    <w:rsid w:val="489B4369"/>
    <w:rsid w:val="48AD16AD"/>
    <w:rsid w:val="48AE0853"/>
    <w:rsid w:val="49011E60"/>
    <w:rsid w:val="49181173"/>
    <w:rsid w:val="49364E5B"/>
    <w:rsid w:val="493907F5"/>
    <w:rsid w:val="49452AD0"/>
    <w:rsid w:val="4958198E"/>
    <w:rsid w:val="49621C55"/>
    <w:rsid w:val="496C60D9"/>
    <w:rsid w:val="496D66CC"/>
    <w:rsid w:val="497A105F"/>
    <w:rsid w:val="49885F9E"/>
    <w:rsid w:val="49971411"/>
    <w:rsid w:val="49AB6DC5"/>
    <w:rsid w:val="49AE393B"/>
    <w:rsid w:val="49B15617"/>
    <w:rsid w:val="49FE69F5"/>
    <w:rsid w:val="4A005508"/>
    <w:rsid w:val="4A01657D"/>
    <w:rsid w:val="4A0C761A"/>
    <w:rsid w:val="4A103CF2"/>
    <w:rsid w:val="4A1A5E74"/>
    <w:rsid w:val="4A1B5E3A"/>
    <w:rsid w:val="4A2C65E5"/>
    <w:rsid w:val="4A31557C"/>
    <w:rsid w:val="4A351924"/>
    <w:rsid w:val="4A37073F"/>
    <w:rsid w:val="4A440A71"/>
    <w:rsid w:val="4A535503"/>
    <w:rsid w:val="4A6452C4"/>
    <w:rsid w:val="4A7414CF"/>
    <w:rsid w:val="4A8C620B"/>
    <w:rsid w:val="4A99133D"/>
    <w:rsid w:val="4AA7022A"/>
    <w:rsid w:val="4ABD0369"/>
    <w:rsid w:val="4ACE3BC4"/>
    <w:rsid w:val="4AE03152"/>
    <w:rsid w:val="4AED254B"/>
    <w:rsid w:val="4AF438E0"/>
    <w:rsid w:val="4AF5692F"/>
    <w:rsid w:val="4AF82DD0"/>
    <w:rsid w:val="4B080568"/>
    <w:rsid w:val="4B0E76B8"/>
    <w:rsid w:val="4B2260E4"/>
    <w:rsid w:val="4B3A4E4E"/>
    <w:rsid w:val="4B3C28DE"/>
    <w:rsid w:val="4B4B7624"/>
    <w:rsid w:val="4B4D688B"/>
    <w:rsid w:val="4B5052F9"/>
    <w:rsid w:val="4B5165DB"/>
    <w:rsid w:val="4B5334F1"/>
    <w:rsid w:val="4B6421A5"/>
    <w:rsid w:val="4B642FA1"/>
    <w:rsid w:val="4B664374"/>
    <w:rsid w:val="4B6C53B2"/>
    <w:rsid w:val="4B9A607A"/>
    <w:rsid w:val="4BF06EB8"/>
    <w:rsid w:val="4C005AA9"/>
    <w:rsid w:val="4C2A2F03"/>
    <w:rsid w:val="4C2C1650"/>
    <w:rsid w:val="4C331470"/>
    <w:rsid w:val="4C39130B"/>
    <w:rsid w:val="4C3B4F28"/>
    <w:rsid w:val="4C3F4636"/>
    <w:rsid w:val="4C433001"/>
    <w:rsid w:val="4C5C0B81"/>
    <w:rsid w:val="4C6C14EF"/>
    <w:rsid w:val="4C6C3266"/>
    <w:rsid w:val="4C717AFF"/>
    <w:rsid w:val="4CA15D49"/>
    <w:rsid w:val="4CA55F92"/>
    <w:rsid w:val="4CC37C8C"/>
    <w:rsid w:val="4CC54444"/>
    <w:rsid w:val="4CD33F1B"/>
    <w:rsid w:val="4CDB5D33"/>
    <w:rsid w:val="4CF65295"/>
    <w:rsid w:val="4D053712"/>
    <w:rsid w:val="4D231CD0"/>
    <w:rsid w:val="4D2D69A5"/>
    <w:rsid w:val="4D5674C3"/>
    <w:rsid w:val="4D645286"/>
    <w:rsid w:val="4D7A2A17"/>
    <w:rsid w:val="4D88370F"/>
    <w:rsid w:val="4D995051"/>
    <w:rsid w:val="4DA05980"/>
    <w:rsid w:val="4DA07510"/>
    <w:rsid w:val="4DCC0D15"/>
    <w:rsid w:val="4DEB0308"/>
    <w:rsid w:val="4E006227"/>
    <w:rsid w:val="4E0D5AC4"/>
    <w:rsid w:val="4E0D6E37"/>
    <w:rsid w:val="4E1117A6"/>
    <w:rsid w:val="4E1F0F86"/>
    <w:rsid w:val="4E202FC2"/>
    <w:rsid w:val="4E323C38"/>
    <w:rsid w:val="4E4F699A"/>
    <w:rsid w:val="4E5344EA"/>
    <w:rsid w:val="4E5514E7"/>
    <w:rsid w:val="4E5D6C73"/>
    <w:rsid w:val="4E6C1C4C"/>
    <w:rsid w:val="4E841372"/>
    <w:rsid w:val="4E89232B"/>
    <w:rsid w:val="4E90526C"/>
    <w:rsid w:val="4E9B7486"/>
    <w:rsid w:val="4E9E5DC6"/>
    <w:rsid w:val="4EB0052D"/>
    <w:rsid w:val="4EB3754D"/>
    <w:rsid w:val="4EB76CE4"/>
    <w:rsid w:val="4EC61559"/>
    <w:rsid w:val="4ED43AC2"/>
    <w:rsid w:val="4EF01403"/>
    <w:rsid w:val="4EF55A95"/>
    <w:rsid w:val="4EF92119"/>
    <w:rsid w:val="4EFA05EA"/>
    <w:rsid w:val="4EFE2021"/>
    <w:rsid w:val="4F02589C"/>
    <w:rsid w:val="4F1661CD"/>
    <w:rsid w:val="4F1A12E1"/>
    <w:rsid w:val="4F2F1D8A"/>
    <w:rsid w:val="4F366BB8"/>
    <w:rsid w:val="4F45463F"/>
    <w:rsid w:val="4F515635"/>
    <w:rsid w:val="4F51676A"/>
    <w:rsid w:val="4F5A7F24"/>
    <w:rsid w:val="4F5C3613"/>
    <w:rsid w:val="4F5D09AC"/>
    <w:rsid w:val="4F6E5415"/>
    <w:rsid w:val="4F997532"/>
    <w:rsid w:val="4F9C338D"/>
    <w:rsid w:val="4FB8710B"/>
    <w:rsid w:val="4FC5641C"/>
    <w:rsid w:val="4FC75455"/>
    <w:rsid w:val="4FD40E0C"/>
    <w:rsid w:val="4FDA17D8"/>
    <w:rsid w:val="4FDE133C"/>
    <w:rsid w:val="500176A8"/>
    <w:rsid w:val="503441E8"/>
    <w:rsid w:val="503D5E35"/>
    <w:rsid w:val="50424B44"/>
    <w:rsid w:val="504B2A40"/>
    <w:rsid w:val="50762B2F"/>
    <w:rsid w:val="50890B46"/>
    <w:rsid w:val="508A43D5"/>
    <w:rsid w:val="508E67CF"/>
    <w:rsid w:val="50962896"/>
    <w:rsid w:val="50B72D1D"/>
    <w:rsid w:val="50B87A7B"/>
    <w:rsid w:val="50BC14BE"/>
    <w:rsid w:val="50BC5F44"/>
    <w:rsid w:val="50DA50BD"/>
    <w:rsid w:val="50E41F43"/>
    <w:rsid w:val="50FB644B"/>
    <w:rsid w:val="51111B75"/>
    <w:rsid w:val="5125662D"/>
    <w:rsid w:val="5155171C"/>
    <w:rsid w:val="515C2FE9"/>
    <w:rsid w:val="516A72C1"/>
    <w:rsid w:val="516B2DE8"/>
    <w:rsid w:val="517823C1"/>
    <w:rsid w:val="517B2B66"/>
    <w:rsid w:val="519F3430"/>
    <w:rsid w:val="51C653EE"/>
    <w:rsid w:val="51C914AE"/>
    <w:rsid w:val="51D16960"/>
    <w:rsid w:val="51D711B1"/>
    <w:rsid w:val="51E853E6"/>
    <w:rsid w:val="51E93E9A"/>
    <w:rsid w:val="52032BE8"/>
    <w:rsid w:val="52080F94"/>
    <w:rsid w:val="521F57E5"/>
    <w:rsid w:val="5239116F"/>
    <w:rsid w:val="523A7B46"/>
    <w:rsid w:val="525635E5"/>
    <w:rsid w:val="526824CC"/>
    <w:rsid w:val="527E069B"/>
    <w:rsid w:val="528C013C"/>
    <w:rsid w:val="52992A11"/>
    <w:rsid w:val="529D3ED7"/>
    <w:rsid w:val="52AB0CB7"/>
    <w:rsid w:val="52C0765B"/>
    <w:rsid w:val="52CA58E1"/>
    <w:rsid w:val="52DA435E"/>
    <w:rsid w:val="52DA6179"/>
    <w:rsid w:val="530915DD"/>
    <w:rsid w:val="53174E7B"/>
    <w:rsid w:val="531B6B47"/>
    <w:rsid w:val="53404B47"/>
    <w:rsid w:val="53430AF4"/>
    <w:rsid w:val="53533BA7"/>
    <w:rsid w:val="535C37DC"/>
    <w:rsid w:val="537223AD"/>
    <w:rsid w:val="53860120"/>
    <w:rsid w:val="538D761B"/>
    <w:rsid w:val="539233F2"/>
    <w:rsid w:val="539A78E6"/>
    <w:rsid w:val="539F3D55"/>
    <w:rsid w:val="53A4332D"/>
    <w:rsid w:val="53AF7196"/>
    <w:rsid w:val="53C74FFD"/>
    <w:rsid w:val="53C877DE"/>
    <w:rsid w:val="53D23F3C"/>
    <w:rsid w:val="53DD14FE"/>
    <w:rsid w:val="53EC4888"/>
    <w:rsid w:val="53EC53F9"/>
    <w:rsid w:val="53F74449"/>
    <w:rsid w:val="53FB3CB6"/>
    <w:rsid w:val="540929DF"/>
    <w:rsid w:val="542E14FC"/>
    <w:rsid w:val="543B393B"/>
    <w:rsid w:val="543B698A"/>
    <w:rsid w:val="544244EE"/>
    <w:rsid w:val="54463DB4"/>
    <w:rsid w:val="5447186F"/>
    <w:rsid w:val="544E47D4"/>
    <w:rsid w:val="5450132E"/>
    <w:rsid w:val="5455372B"/>
    <w:rsid w:val="54670370"/>
    <w:rsid w:val="547A456F"/>
    <w:rsid w:val="547B2910"/>
    <w:rsid w:val="547C03E5"/>
    <w:rsid w:val="548D3740"/>
    <w:rsid w:val="54942F5B"/>
    <w:rsid w:val="54954993"/>
    <w:rsid w:val="54AB2915"/>
    <w:rsid w:val="54BA5D03"/>
    <w:rsid w:val="54D76C61"/>
    <w:rsid w:val="54E87854"/>
    <w:rsid w:val="54EC0D1A"/>
    <w:rsid w:val="54EE4885"/>
    <w:rsid w:val="54F40AD4"/>
    <w:rsid w:val="55050A9D"/>
    <w:rsid w:val="551C414D"/>
    <w:rsid w:val="5535489A"/>
    <w:rsid w:val="553E06FD"/>
    <w:rsid w:val="55747963"/>
    <w:rsid w:val="55985683"/>
    <w:rsid w:val="559E1724"/>
    <w:rsid w:val="55BC5C58"/>
    <w:rsid w:val="55BD2086"/>
    <w:rsid w:val="55C31839"/>
    <w:rsid w:val="55C50AE7"/>
    <w:rsid w:val="55E5752A"/>
    <w:rsid w:val="55E71A9B"/>
    <w:rsid w:val="55EC1100"/>
    <w:rsid w:val="55F15A67"/>
    <w:rsid w:val="55F66976"/>
    <w:rsid w:val="56021A75"/>
    <w:rsid w:val="56104B3E"/>
    <w:rsid w:val="56171D27"/>
    <w:rsid w:val="56266B3A"/>
    <w:rsid w:val="562E7CFD"/>
    <w:rsid w:val="562F75DA"/>
    <w:rsid w:val="563447B1"/>
    <w:rsid w:val="56600615"/>
    <w:rsid w:val="56616DED"/>
    <w:rsid w:val="5669114B"/>
    <w:rsid w:val="56A81994"/>
    <w:rsid w:val="56BD646F"/>
    <w:rsid w:val="56BF3BB9"/>
    <w:rsid w:val="56C55ECE"/>
    <w:rsid w:val="56C967D4"/>
    <w:rsid w:val="56CD5412"/>
    <w:rsid w:val="56EB21EF"/>
    <w:rsid w:val="56ED293E"/>
    <w:rsid w:val="56EE1C99"/>
    <w:rsid w:val="571E30D6"/>
    <w:rsid w:val="572162B0"/>
    <w:rsid w:val="57224F51"/>
    <w:rsid w:val="57250E3F"/>
    <w:rsid w:val="572C0471"/>
    <w:rsid w:val="572E106A"/>
    <w:rsid w:val="573B3400"/>
    <w:rsid w:val="574073F5"/>
    <w:rsid w:val="57455489"/>
    <w:rsid w:val="57515428"/>
    <w:rsid w:val="5759742A"/>
    <w:rsid w:val="577F23B7"/>
    <w:rsid w:val="57AC5B51"/>
    <w:rsid w:val="57BA3A08"/>
    <w:rsid w:val="57BE4AFC"/>
    <w:rsid w:val="57D17AD0"/>
    <w:rsid w:val="57D7660D"/>
    <w:rsid w:val="57EE2D63"/>
    <w:rsid w:val="581832FA"/>
    <w:rsid w:val="581D2715"/>
    <w:rsid w:val="58240DD5"/>
    <w:rsid w:val="58302FE8"/>
    <w:rsid w:val="583F0645"/>
    <w:rsid w:val="58700B78"/>
    <w:rsid w:val="587531F8"/>
    <w:rsid w:val="5884617B"/>
    <w:rsid w:val="588E341C"/>
    <w:rsid w:val="58A25D74"/>
    <w:rsid w:val="58C95654"/>
    <w:rsid w:val="58D8235E"/>
    <w:rsid w:val="58E41C40"/>
    <w:rsid w:val="58F06358"/>
    <w:rsid w:val="58F17E00"/>
    <w:rsid w:val="58F20336"/>
    <w:rsid w:val="590F3A1D"/>
    <w:rsid w:val="592C708A"/>
    <w:rsid w:val="593D38A2"/>
    <w:rsid w:val="593E3911"/>
    <w:rsid w:val="594A3132"/>
    <w:rsid w:val="595115E1"/>
    <w:rsid w:val="59540207"/>
    <w:rsid w:val="59637821"/>
    <w:rsid w:val="598B4C36"/>
    <w:rsid w:val="599157B8"/>
    <w:rsid w:val="59E4738D"/>
    <w:rsid w:val="5A045EAF"/>
    <w:rsid w:val="5A08332A"/>
    <w:rsid w:val="5A103617"/>
    <w:rsid w:val="5A152B06"/>
    <w:rsid w:val="5A1B5332"/>
    <w:rsid w:val="5A250E62"/>
    <w:rsid w:val="5A362A0B"/>
    <w:rsid w:val="5A584B4A"/>
    <w:rsid w:val="5A5A425D"/>
    <w:rsid w:val="5A601188"/>
    <w:rsid w:val="5A8264EB"/>
    <w:rsid w:val="5A9A5A87"/>
    <w:rsid w:val="5A9F78F5"/>
    <w:rsid w:val="5AA93AD5"/>
    <w:rsid w:val="5ABF7E79"/>
    <w:rsid w:val="5AC85E08"/>
    <w:rsid w:val="5ADD6468"/>
    <w:rsid w:val="5B0A26EC"/>
    <w:rsid w:val="5B20281A"/>
    <w:rsid w:val="5B2745DE"/>
    <w:rsid w:val="5B4C3EC2"/>
    <w:rsid w:val="5B5F4D20"/>
    <w:rsid w:val="5B850354"/>
    <w:rsid w:val="5BA543BD"/>
    <w:rsid w:val="5BA6115A"/>
    <w:rsid w:val="5BAD2495"/>
    <w:rsid w:val="5BB62C9C"/>
    <w:rsid w:val="5BBC008C"/>
    <w:rsid w:val="5BBF07E7"/>
    <w:rsid w:val="5BBF6FA2"/>
    <w:rsid w:val="5BC807CE"/>
    <w:rsid w:val="5BDB6E94"/>
    <w:rsid w:val="5BF235B6"/>
    <w:rsid w:val="5C000B9F"/>
    <w:rsid w:val="5C004908"/>
    <w:rsid w:val="5C01642E"/>
    <w:rsid w:val="5C1F276B"/>
    <w:rsid w:val="5C2E58FB"/>
    <w:rsid w:val="5C35299A"/>
    <w:rsid w:val="5C420C3E"/>
    <w:rsid w:val="5C525ED3"/>
    <w:rsid w:val="5C532F8D"/>
    <w:rsid w:val="5C6914C6"/>
    <w:rsid w:val="5C7C38F1"/>
    <w:rsid w:val="5C827221"/>
    <w:rsid w:val="5C9A5A66"/>
    <w:rsid w:val="5C9E0839"/>
    <w:rsid w:val="5CA34405"/>
    <w:rsid w:val="5CB73661"/>
    <w:rsid w:val="5CBF7D08"/>
    <w:rsid w:val="5CC464A3"/>
    <w:rsid w:val="5CE35E9B"/>
    <w:rsid w:val="5CE35F5B"/>
    <w:rsid w:val="5D015D69"/>
    <w:rsid w:val="5D095066"/>
    <w:rsid w:val="5D273155"/>
    <w:rsid w:val="5D3E39C6"/>
    <w:rsid w:val="5D4703B2"/>
    <w:rsid w:val="5D4D1D98"/>
    <w:rsid w:val="5D643F66"/>
    <w:rsid w:val="5D6C3155"/>
    <w:rsid w:val="5DA46C38"/>
    <w:rsid w:val="5DA82FF3"/>
    <w:rsid w:val="5DAF3EA6"/>
    <w:rsid w:val="5DD71CD4"/>
    <w:rsid w:val="5DD93B89"/>
    <w:rsid w:val="5DE05F46"/>
    <w:rsid w:val="5DE97D8C"/>
    <w:rsid w:val="5DEC1481"/>
    <w:rsid w:val="5E0377B3"/>
    <w:rsid w:val="5E122591"/>
    <w:rsid w:val="5E180062"/>
    <w:rsid w:val="5E2275C4"/>
    <w:rsid w:val="5E2F0E9A"/>
    <w:rsid w:val="5E37536A"/>
    <w:rsid w:val="5E4A4CD5"/>
    <w:rsid w:val="5E4E26ED"/>
    <w:rsid w:val="5E574113"/>
    <w:rsid w:val="5E6C77FE"/>
    <w:rsid w:val="5E886330"/>
    <w:rsid w:val="5EE73F41"/>
    <w:rsid w:val="5EFF6716"/>
    <w:rsid w:val="5F075132"/>
    <w:rsid w:val="5F104406"/>
    <w:rsid w:val="5F2853B9"/>
    <w:rsid w:val="5F3E7361"/>
    <w:rsid w:val="5F534915"/>
    <w:rsid w:val="5F55002C"/>
    <w:rsid w:val="5F814190"/>
    <w:rsid w:val="5F8461D2"/>
    <w:rsid w:val="5F920F7F"/>
    <w:rsid w:val="5FC664B3"/>
    <w:rsid w:val="5FC92F51"/>
    <w:rsid w:val="5FD53B40"/>
    <w:rsid w:val="5FE96ABD"/>
    <w:rsid w:val="6039043B"/>
    <w:rsid w:val="605A6CF1"/>
    <w:rsid w:val="606B78B3"/>
    <w:rsid w:val="607564DB"/>
    <w:rsid w:val="607A2A4E"/>
    <w:rsid w:val="6092250C"/>
    <w:rsid w:val="609C173A"/>
    <w:rsid w:val="60D65774"/>
    <w:rsid w:val="60DB651E"/>
    <w:rsid w:val="60E96D67"/>
    <w:rsid w:val="60F37381"/>
    <w:rsid w:val="60F55D0E"/>
    <w:rsid w:val="61026E79"/>
    <w:rsid w:val="610801E8"/>
    <w:rsid w:val="61135EE3"/>
    <w:rsid w:val="6114649C"/>
    <w:rsid w:val="611D172C"/>
    <w:rsid w:val="611D36E2"/>
    <w:rsid w:val="61214C27"/>
    <w:rsid w:val="61271050"/>
    <w:rsid w:val="61337211"/>
    <w:rsid w:val="613C6FD8"/>
    <w:rsid w:val="6148123C"/>
    <w:rsid w:val="615B1E56"/>
    <w:rsid w:val="615B50CD"/>
    <w:rsid w:val="61606165"/>
    <w:rsid w:val="616E029E"/>
    <w:rsid w:val="617C2B7D"/>
    <w:rsid w:val="61805350"/>
    <w:rsid w:val="61920E63"/>
    <w:rsid w:val="61A5070B"/>
    <w:rsid w:val="61A827EA"/>
    <w:rsid w:val="61C23FA1"/>
    <w:rsid w:val="61D141DD"/>
    <w:rsid w:val="62030862"/>
    <w:rsid w:val="621538F4"/>
    <w:rsid w:val="621B7E92"/>
    <w:rsid w:val="621D3344"/>
    <w:rsid w:val="62213629"/>
    <w:rsid w:val="622D16F9"/>
    <w:rsid w:val="62383B1C"/>
    <w:rsid w:val="62390454"/>
    <w:rsid w:val="623A7F59"/>
    <w:rsid w:val="623C020C"/>
    <w:rsid w:val="624E220B"/>
    <w:rsid w:val="62590136"/>
    <w:rsid w:val="625A0C3D"/>
    <w:rsid w:val="62646A91"/>
    <w:rsid w:val="626A63B3"/>
    <w:rsid w:val="62A978B6"/>
    <w:rsid w:val="62AD1C3E"/>
    <w:rsid w:val="62D5587C"/>
    <w:rsid w:val="62DD7AF8"/>
    <w:rsid w:val="62DE6C31"/>
    <w:rsid w:val="62F11866"/>
    <w:rsid w:val="62F42A46"/>
    <w:rsid w:val="62FA34F5"/>
    <w:rsid w:val="6309236B"/>
    <w:rsid w:val="630E135A"/>
    <w:rsid w:val="63142778"/>
    <w:rsid w:val="632D7BDA"/>
    <w:rsid w:val="63363D7E"/>
    <w:rsid w:val="63385665"/>
    <w:rsid w:val="634278E1"/>
    <w:rsid w:val="63475BEA"/>
    <w:rsid w:val="634A4BE8"/>
    <w:rsid w:val="635036D2"/>
    <w:rsid w:val="63520BFA"/>
    <w:rsid w:val="636E4A27"/>
    <w:rsid w:val="63853238"/>
    <w:rsid w:val="63882F56"/>
    <w:rsid w:val="63B35928"/>
    <w:rsid w:val="63BA1AEC"/>
    <w:rsid w:val="63BF5470"/>
    <w:rsid w:val="63CA0992"/>
    <w:rsid w:val="63D31139"/>
    <w:rsid w:val="63D36240"/>
    <w:rsid w:val="63DD7F6B"/>
    <w:rsid w:val="63E71566"/>
    <w:rsid w:val="63FD5AC4"/>
    <w:rsid w:val="6406232F"/>
    <w:rsid w:val="64096B86"/>
    <w:rsid w:val="64213232"/>
    <w:rsid w:val="64290470"/>
    <w:rsid w:val="643233D2"/>
    <w:rsid w:val="64505450"/>
    <w:rsid w:val="64676F7B"/>
    <w:rsid w:val="646E16AF"/>
    <w:rsid w:val="647E3CBD"/>
    <w:rsid w:val="648300E9"/>
    <w:rsid w:val="64AD4E01"/>
    <w:rsid w:val="64B0394F"/>
    <w:rsid w:val="64C42362"/>
    <w:rsid w:val="64CB2DD3"/>
    <w:rsid w:val="64D369D1"/>
    <w:rsid w:val="64E8098B"/>
    <w:rsid w:val="64E82221"/>
    <w:rsid w:val="650711E9"/>
    <w:rsid w:val="6528694D"/>
    <w:rsid w:val="655609EB"/>
    <w:rsid w:val="65770DD5"/>
    <w:rsid w:val="658F4926"/>
    <w:rsid w:val="65987120"/>
    <w:rsid w:val="65A21FF5"/>
    <w:rsid w:val="65CB1D16"/>
    <w:rsid w:val="65D2718F"/>
    <w:rsid w:val="65D71A4C"/>
    <w:rsid w:val="65E128EF"/>
    <w:rsid w:val="65F6082F"/>
    <w:rsid w:val="65F90AA8"/>
    <w:rsid w:val="65FD1139"/>
    <w:rsid w:val="65FD361E"/>
    <w:rsid w:val="66016819"/>
    <w:rsid w:val="660263E2"/>
    <w:rsid w:val="660F79FF"/>
    <w:rsid w:val="661000FC"/>
    <w:rsid w:val="661B643F"/>
    <w:rsid w:val="661D73CC"/>
    <w:rsid w:val="66300800"/>
    <w:rsid w:val="66315A61"/>
    <w:rsid w:val="6632131C"/>
    <w:rsid w:val="664A4AA9"/>
    <w:rsid w:val="66533E71"/>
    <w:rsid w:val="665552BC"/>
    <w:rsid w:val="66652678"/>
    <w:rsid w:val="667A6F90"/>
    <w:rsid w:val="66890982"/>
    <w:rsid w:val="66B50A76"/>
    <w:rsid w:val="66BA2A38"/>
    <w:rsid w:val="66D47345"/>
    <w:rsid w:val="66DB2D9F"/>
    <w:rsid w:val="66EC21EA"/>
    <w:rsid w:val="66F213C1"/>
    <w:rsid w:val="671505D7"/>
    <w:rsid w:val="67277638"/>
    <w:rsid w:val="67401FBE"/>
    <w:rsid w:val="674F0127"/>
    <w:rsid w:val="67594587"/>
    <w:rsid w:val="67990EEC"/>
    <w:rsid w:val="67A3759A"/>
    <w:rsid w:val="67AE7792"/>
    <w:rsid w:val="67B262E3"/>
    <w:rsid w:val="67CA01D9"/>
    <w:rsid w:val="67CA6EA7"/>
    <w:rsid w:val="67E03D6B"/>
    <w:rsid w:val="67F66E71"/>
    <w:rsid w:val="67F85495"/>
    <w:rsid w:val="681E748C"/>
    <w:rsid w:val="68210D3C"/>
    <w:rsid w:val="682F0A62"/>
    <w:rsid w:val="68381620"/>
    <w:rsid w:val="686855C6"/>
    <w:rsid w:val="687A523B"/>
    <w:rsid w:val="687E5498"/>
    <w:rsid w:val="68831B5C"/>
    <w:rsid w:val="68A8602E"/>
    <w:rsid w:val="68AA794F"/>
    <w:rsid w:val="68C10CB7"/>
    <w:rsid w:val="68C262E2"/>
    <w:rsid w:val="68CF4417"/>
    <w:rsid w:val="68EF6827"/>
    <w:rsid w:val="68F0182C"/>
    <w:rsid w:val="68F7519E"/>
    <w:rsid w:val="68FB2B09"/>
    <w:rsid w:val="68FD46EA"/>
    <w:rsid w:val="69165084"/>
    <w:rsid w:val="691F71A4"/>
    <w:rsid w:val="692745DC"/>
    <w:rsid w:val="694D64D2"/>
    <w:rsid w:val="697577E0"/>
    <w:rsid w:val="6988120B"/>
    <w:rsid w:val="69C60C26"/>
    <w:rsid w:val="69D751A9"/>
    <w:rsid w:val="69DA2E49"/>
    <w:rsid w:val="69E22996"/>
    <w:rsid w:val="69E72628"/>
    <w:rsid w:val="6A080940"/>
    <w:rsid w:val="6A0C5CD3"/>
    <w:rsid w:val="6A296ED3"/>
    <w:rsid w:val="6A2B583A"/>
    <w:rsid w:val="6A407E8B"/>
    <w:rsid w:val="6A4C2A83"/>
    <w:rsid w:val="6A523936"/>
    <w:rsid w:val="6A560C33"/>
    <w:rsid w:val="6A9A47CC"/>
    <w:rsid w:val="6A9B59AC"/>
    <w:rsid w:val="6AAF2442"/>
    <w:rsid w:val="6AB1652E"/>
    <w:rsid w:val="6AC576EA"/>
    <w:rsid w:val="6AD07675"/>
    <w:rsid w:val="6ADE7234"/>
    <w:rsid w:val="6AE20C56"/>
    <w:rsid w:val="6AF50366"/>
    <w:rsid w:val="6AF96D78"/>
    <w:rsid w:val="6B057166"/>
    <w:rsid w:val="6B0A159B"/>
    <w:rsid w:val="6B1507BC"/>
    <w:rsid w:val="6B162974"/>
    <w:rsid w:val="6B197497"/>
    <w:rsid w:val="6B262CC1"/>
    <w:rsid w:val="6B2D6546"/>
    <w:rsid w:val="6B59583A"/>
    <w:rsid w:val="6B5B3510"/>
    <w:rsid w:val="6B862381"/>
    <w:rsid w:val="6B873179"/>
    <w:rsid w:val="6B8F6BD7"/>
    <w:rsid w:val="6B921D52"/>
    <w:rsid w:val="6B990F68"/>
    <w:rsid w:val="6B992F90"/>
    <w:rsid w:val="6BA50F87"/>
    <w:rsid w:val="6BD51833"/>
    <w:rsid w:val="6BE14FFF"/>
    <w:rsid w:val="6BED637E"/>
    <w:rsid w:val="6BEF2092"/>
    <w:rsid w:val="6C004321"/>
    <w:rsid w:val="6C27501F"/>
    <w:rsid w:val="6C2B6F96"/>
    <w:rsid w:val="6C3C7A24"/>
    <w:rsid w:val="6C3D5BF2"/>
    <w:rsid w:val="6C472283"/>
    <w:rsid w:val="6C6916ED"/>
    <w:rsid w:val="6C6B463F"/>
    <w:rsid w:val="6C6E43A9"/>
    <w:rsid w:val="6C7B7C4F"/>
    <w:rsid w:val="6C7F67A3"/>
    <w:rsid w:val="6C9169FA"/>
    <w:rsid w:val="6C9C214C"/>
    <w:rsid w:val="6CA41DA9"/>
    <w:rsid w:val="6CA777BA"/>
    <w:rsid w:val="6CA90048"/>
    <w:rsid w:val="6CC870AE"/>
    <w:rsid w:val="6CD551A1"/>
    <w:rsid w:val="6CE7616B"/>
    <w:rsid w:val="6D04570D"/>
    <w:rsid w:val="6D047F31"/>
    <w:rsid w:val="6D3316A3"/>
    <w:rsid w:val="6D33283F"/>
    <w:rsid w:val="6D341599"/>
    <w:rsid w:val="6D342B79"/>
    <w:rsid w:val="6D49175B"/>
    <w:rsid w:val="6D4C0D9B"/>
    <w:rsid w:val="6D615FB4"/>
    <w:rsid w:val="6D905C49"/>
    <w:rsid w:val="6D994C10"/>
    <w:rsid w:val="6D9D182F"/>
    <w:rsid w:val="6DA23E52"/>
    <w:rsid w:val="6DAD20CB"/>
    <w:rsid w:val="6DD5479F"/>
    <w:rsid w:val="6DE61DA6"/>
    <w:rsid w:val="6DFF6C46"/>
    <w:rsid w:val="6E014FAF"/>
    <w:rsid w:val="6E215688"/>
    <w:rsid w:val="6E2D56C4"/>
    <w:rsid w:val="6E3D1812"/>
    <w:rsid w:val="6E4924EB"/>
    <w:rsid w:val="6E60185A"/>
    <w:rsid w:val="6E71220B"/>
    <w:rsid w:val="6E802961"/>
    <w:rsid w:val="6E8073C8"/>
    <w:rsid w:val="6E8E799D"/>
    <w:rsid w:val="6E9E2756"/>
    <w:rsid w:val="6EA3752F"/>
    <w:rsid w:val="6EB026B4"/>
    <w:rsid w:val="6EB639FA"/>
    <w:rsid w:val="6EE06F86"/>
    <w:rsid w:val="6EE6413D"/>
    <w:rsid w:val="6EE870E3"/>
    <w:rsid w:val="6EEB3429"/>
    <w:rsid w:val="6EF74A28"/>
    <w:rsid w:val="6EFD33B5"/>
    <w:rsid w:val="6F004D36"/>
    <w:rsid w:val="6F2A13CD"/>
    <w:rsid w:val="6F4D1589"/>
    <w:rsid w:val="6F5A691D"/>
    <w:rsid w:val="6F5B4628"/>
    <w:rsid w:val="6F5F10C9"/>
    <w:rsid w:val="6F686FA4"/>
    <w:rsid w:val="6F687B71"/>
    <w:rsid w:val="6F6D755B"/>
    <w:rsid w:val="6F6E4314"/>
    <w:rsid w:val="6F7F26D0"/>
    <w:rsid w:val="6F876AA6"/>
    <w:rsid w:val="6F943A90"/>
    <w:rsid w:val="6FA81D34"/>
    <w:rsid w:val="6FAE420C"/>
    <w:rsid w:val="6FB4614E"/>
    <w:rsid w:val="6FB743AF"/>
    <w:rsid w:val="6FBB6935"/>
    <w:rsid w:val="6FCC3762"/>
    <w:rsid w:val="6FD6446F"/>
    <w:rsid w:val="6FD87B05"/>
    <w:rsid w:val="6FDE1AF2"/>
    <w:rsid w:val="6FE8779C"/>
    <w:rsid w:val="6FEF4E69"/>
    <w:rsid w:val="6FF20353"/>
    <w:rsid w:val="6FF9023C"/>
    <w:rsid w:val="7009204D"/>
    <w:rsid w:val="70252C9A"/>
    <w:rsid w:val="702B196E"/>
    <w:rsid w:val="703630F7"/>
    <w:rsid w:val="703D2A51"/>
    <w:rsid w:val="70625BF3"/>
    <w:rsid w:val="70714DD5"/>
    <w:rsid w:val="707D351D"/>
    <w:rsid w:val="70983212"/>
    <w:rsid w:val="709C0127"/>
    <w:rsid w:val="70B41C5E"/>
    <w:rsid w:val="70CC4EC6"/>
    <w:rsid w:val="70EE5BC0"/>
    <w:rsid w:val="70F56C3E"/>
    <w:rsid w:val="71022CF2"/>
    <w:rsid w:val="710A7F0D"/>
    <w:rsid w:val="710B13FA"/>
    <w:rsid w:val="71142AFF"/>
    <w:rsid w:val="714E42B1"/>
    <w:rsid w:val="71515F7C"/>
    <w:rsid w:val="7168279C"/>
    <w:rsid w:val="71704A91"/>
    <w:rsid w:val="71773686"/>
    <w:rsid w:val="717A0E73"/>
    <w:rsid w:val="718F0258"/>
    <w:rsid w:val="719213D5"/>
    <w:rsid w:val="7194548D"/>
    <w:rsid w:val="71CA1D0A"/>
    <w:rsid w:val="71E26E6B"/>
    <w:rsid w:val="71E67A15"/>
    <w:rsid w:val="71F64A32"/>
    <w:rsid w:val="72064BD9"/>
    <w:rsid w:val="72095D29"/>
    <w:rsid w:val="720A1C55"/>
    <w:rsid w:val="720A7DE1"/>
    <w:rsid w:val="721225E8"/>
    <w:rsid w:val="721860E9"/>
    <w:rsid w:val="72270C2F"/>
    <w:rsid w:val="723A49B1"/>
    <w:rsid w:val="725075D9"/>
    <w:rsid w:val="7272230E"/>
    <w:rsid w:val="72816F1D"/>
    <w:rsid w:val="728B0298"/>
    <w:rsid w:val="7295098F"/>
    <w:rsid w:val="72A35B7D"/>
    <w:rsid w:val="72AB2121"/>
    <w:rsid w:val="72AF0A2D"/>
    <w:rsid w:val="72B82E7B"/>
    <w:rsid w:val="72BF2489"/>
    <w:rsid w:val="72C13DF1"/>
    <w:rsid w:val="72DD13D0"/>
    <w:rsid w:val="72E34527"/>
    <w:rsid w:val="72E71B37"/>
    <w:rsid w:val="72ED7E6E"/>
    <w:rsid w:val="73145CD1"/>
    <w:rsid w:val="73154BA8"/>
    <w:rsid w:val="73234108"/>
    <w:rsid w:val="732C36B1"/>
    <w:rsid w:val="73477E65"/>
    <w:rsid w:val="736213E0"/>
    <w:rsid w:val="736438DE"/>
    <w:rsid w:val="736B0D6D"/>
    <w:rsid w:val="736E0856"/>
    <w:rsid w:val="736E1E5A"/>
    <w:rsid w:val="739120C8"/>
    <w:rsid w:val="7394187E"/>
    <w:rsid w:val="73992DDE"/>
    <w:rsid w:val="739E69B2"/>
    <w:rsid w:val="73C9497B"/>
    <w:rsid w:val="73CA150E"/>
    <w:rsid w:val="73CD2058"/>
    <w:rsid w:val="73E81CC7"/>
    <w:rsid w:val="73EB4328"/>
    <w:rsid w:val="73EC118D"/>
    <w:rsid w:val="73ED319A"/>
    <w:rsid w:val="73F037CC"/>
    <w:rsid w:val="73F300BA"/>
    <w:rsid w:val="73FE2CB5"/>
    <w:rsid w:val="740022F7"/>
    <w:rsid w:val="74025027"/>
    <w:rsid w:val="741A7FE0"/>
    <w:rsid w:val="742034F6"/>
    <w:rsid w:val="743051CC"/>
    <w:rsid w:val="74475291"/>
    <w:rsid w:val="744A4225"/>
    <w:rsid w:val="744D0F35"/>
    <w:rsid w:val="74564161"/>
    <w:rsid w:val="745B2622"/>
    <w:rsid w:val="746076E5"/>
    <w:rsid w:val="747C7481"/>
    <w:rsid w:val="748F4212"/>
    <w:rsid w:val="749C2F2B"/>
    <w:rsid w:val="749D2C44"/>
    <w:rsid w:val="74A55C67"/>
    <w:rsid w:val="74AE3BEE"/>
    <w:rsid w:val="74DE3C65"/>
    <w:rsid w:val="74E02FA5"/>
    <w:rsid w:val="74E970D9"/>
    <w:rsid w:val="75046593"/>
    <w:rsid w:val="75067F1C"/>
    <w:rsid w:val="753E2F7C"/>
    <w:rsid w:val="755A0403"/>
    <w:rsid w:val="755E0F33"/>
    <w:rsid w:val="756616EF"/>
    <w:rsid w:val="75741B38"/>
    <w:rsid w:val="757670DE"/>
    <w:rsid w:val="757A0F03"/>
    <w:rsid w:val="75866CC4"/>
    <w:rsid w:val="75866D41"/>
    <w:rsid w:val="75905F8B"/>
    <w:rsid w:val="759A6698"/>
    <w:rsid w:val="75BA0EF0"/>
    <w:rsid w:val="75CA3793"/>
    <w:rsid w:val="75CC6F84"/>
    <w:rsid w:val="75FA108B"/>
    <w:rsid w:val="76004588"/>
    <w:rsid w:val="762913A8"/>
    <w:rsid w:val="76332A42"/>
    <w:rsid w:val="76354196"/>
    <w:rsid w:val="7641520C"/>
    <w:rsid w:val="764A2945"/>
    <w:rsid w:val="765554AC"/>
    <w:rsid w:val="7655556B"/>
    <w:rsid w:val="76733B24"/>
    <w:rsid w:val="76784BB2"/>
    <w:rsid w:val="7679450A"/>
    <w:rsid w:val="767B5A7D"/>
    <w:rsid w:val="76800512"/>
    <w:rsid w:val="768C58B5"/>
    <w:rsid w:val="76933879"/>
    <w:rsid w:val="7697213C"/>
    <w:rsid w:val="769C31C8"/>
    <w:rsid w:val="76A43F57"/>
    <w:rsid w:val="76AD2574"/>
    <w:rsid w:val="76AE43A2"/>
    <w:rsid w:val="76E27737"/>
    <w:rsid w:val="76F71A64"/>
    <w:rsid w:val="76FD778D"/>
    <w:rsid w:val="77126B51"/>
    <w:rsid w:val="774E4295"/>
    <w:rsid w:val="77615FA1"/>
    <w:rsid w:val="777F05FA"/>
    <w:rsid w:val="778701FB"/>
    <w:rsid w:val="77955F0C"/>
    <w:rsid w:val="779B03FC"/>
    <w:rsid w:val="77A2426F"/>
    <w:rsid w:val="77A85C05"/>
    <w:rsid w:val="77B20E00"/>
    <w:rsid w:val="77C5163C"/>
    <w:rsid w:val="77C55155"/>
    <w:rsid w:val="77C7577C"/>
    <w:rsid w:val="77CA6E0C"/>
    <w:rsid w:val="77DC0949"/>
    <w:rsid w:val="77E0035C"/>
    <w:rsid w:val="77E507D4"/>
    <w:rsid w:val="77E67CF2"/>
    <w:rsid w:val="77EE4D30"/>
    <w:rsid w:val="77F44F76"/>
    <w:rsid w:val="77F77D40"/>
    <w:rsid w:val="78002079"/>
    <w:rsid w:val="78110EF3"/>
    <w:rsid w:val="781B2E47"/>
    <w:rsid w:val="7820176E"/>
    <w:rsid w:val="78232555"/>
    <w:rsid w:val="78454BE1"/>
    <w:rsid w:val="784860A3"/>
    <w:rsid w:val="784E585B"/>
    <w:rsid w:val="786E68E6"/>
    <w:rsid w:val="786E6B70"/>
    <w:rsid w:val="787F2765"/>
    <w:rsid w:val="787F5DFB"/>
    <w:rsid w:val="78832853"/>
    <w:rsid w:val="788A4B05"/>
    <w:rsid w:val="7893290D"/>
    <w:rsid w:val="78970E50"/>
    <w:rsid w:val="78997FFC"/>
    <w:rsid w:val="789F3E3E"/>
    <w:rsid w:val="78A23B23"/>
    <w:rsid w:val="78AD6B09"/>
    <w:rsid w:val="78BC03EE"/>
    <w:rsid w:val="78CD38A0"/>
    <w:rsid w:val="78DA4C28"/>
    <w:rsid w:val="78E175BA"/>
    <w:rsid w:val="78F25374"/>
    <w:rsid w:val="790C544D"/>
    <w:rsid w:val="790D18F1"/>
    <w:rsid w:val="791242A3"/>
    <w:rsid w:val="79485EE0"/>
    <w:rsid w:val="79550AAF"/>
    <w:rsid w:val="795D0D5C"/>
    <w:rsid w:val="795F341B"/>
    <w:rsid w:val="79A10AF4"/>
    <w:rsid w:val="79A61389"/>
    <w:rsid w:val="79A71C0E"/>
    <w:rsid w:val="79AD1EF4"/>
    <w:rsid w:val="79BC4A5F"/>
    <w:rsid w:val="79D20B0F"/>
    <w:rsid w:val="79D942D6"/>
    <w:rsid w:val="79EE6D9C"/>
    <w:rsid w:val="79FB6BFF"/>
    <w:rsid w:val="7A105491"/>
    <w:rsid w:val="7A4D24E3"/>
    <w:rsid w:val="7A4F4549"/>
    <w:rsid w:val="7A5536A9"/>
    <w:rsid w:val="7A7B550B"/>
    <w:rsid w:val="7A8A793A"/>
    <w:rsid w:val="7A9D1055"/>
    <w:rsid w:val="7AA725D2"/>
    <w:rsid w:val="7AB1050A"/>
    <w:rsid w:val="7ABF1E26"/>
    <w:rsid w:val="7AC83942"/>
    <w:rsid w:val="7AE16C0C"/>
    <w:rsid w:val="7B085185"/>
    <w:rsid w:val="7B265C8D"/>
    <w:rsid w:val="7B2F63EC"/>
    <w:rsid w:val="7B4E3F05"/>
    <w:rsid w:val="7B514D05"/>
    <w:rsid w:val="7B5A47D1"/>
    <w:rsid w:val="7B6033A1"/>
    <w:rsid w:val="7B617F74"/>
    <w:rsid w:val="7B64068B"/>
    <w:rsid w:val="7B690513"/>
    <w:rsid w:val="7B697457"/>
    <w:rsid w:val="7B784086"/>
    <w:rsid w:val="7B7F0E5F"/>
    <w:rsid w:val="7BBB6DB6"/>
    <w:rsid w:val="7BC03714"/>
    <w:rsid w:val="7BC4276F"/>
    <w:rsid w:val="7BC65F54"/>
    <w:rsid w:val="7BC83349"/>
    <w:rsid w:val="7BC8444E"/>
    <w:rsid w:val="7BDB4337"/>
    <w:rsid w:val="7C0B532B"/>
    <w:rsid w:val="7C0C3456"/>
    <w:rsid w:val="7C125160"/>
    <w:rsid w:val="7C1A3096"/>
    <w:rsid w:val="7C405707"/>
    <w:rsid w:val="7C411B49"/>
    <w:rsid w:val="7C4C0587"/>
    <w:rsid w:val="7C5A5709"/>
    <w:rsid w:val="7C690A42"/>
    <w:rsid w:val="7CA24103"/>
    <w:rsid w:val="7CC8589A"/>
    <w:rsid w:val="7CDD0A87"/>
    <w:rsid w:val="7CFB3E83"/>
    <w:rsid w:val="7D0B58F5"/>
    <w:rsid w:val="7D102693"/>
    <w:rsid w:val="7D1E317D"/>
    <w:rsid w:val="7D2B657C"/>
    <w:rsid w:val="7D360EBB"/>
    <w:rsid w:val="7D6B2F20"/>
    <w:rsid w:val="7D6C3C80"/>
    <w:rsid w:val="7D781C85"/>
    <w:rsid w:val="7D9A5839"/>
    <w:rsid w:val="7DAC2A0C"/>
    <w:rsid w:val="7DAD6195"/>
    <w:rsid w:val="7DB40B50"/>
    <w:rsid w:val="7DBC7BB6"/>
    <w:rsid w:val="7DCD408C"/>
    <w:rsid w:val="7DD2222D"/>
    <w:rsid w:val="7DFE0C73"/>
    <w:rsid w:val="7E09418F"/>
    <w:rsid w:val="7E3E3B74"/>
    <w:rsid w:val="7E474D63"/>
    <w:rsid w:val="7E565951"/>
    <w:rsid w:val="7E5C2A17"/>
    <w:rsid w:val="7E7149A3"/>
    <w:rsid w:val="7E9679D7"/>
    <w:rsid w:val="7E9936F1"/>
    <w:rsid w:val="7EB50913"/>
    <w:rsid w:val="7EEF6AC5"/>
    <w:rsid w:val="7EF85D6B"/>
    <w:rsid w:val="7EFD7201"/>
    <w:rsid w:val="7F0D2624"/>
    <w:rsid w:val="7F24789E"/>
    <w:rsid w:val="7F2669C5"/>
    <w:rsid w:val="7F3A629B"/>
    <w:rsid w:val="7F490EDB"/>
    <w:rsid w:val="7F5E4C36"/>
    <w:rsid w:val="7F72482E"/>
    <w:rsid w:val="7F75045F"/>
    <w:rsid w:val="7F8B3C0F"/>
    <w:rsid w:val="7F924262"/>
    <w:rsid w:val="7FB70268"/>
    <w:rsid w:val="7FB77AE3"/>
    <w:rsid w:val="7FB81BE7"/>
    <w:rsid w:val="7FBD57E6"/>
    <w:rsid w:val="7FBF5AD7"/>
    <w:rsid w:val="7FCD2B43"/>
    <w:rsid w:val="7FD9123B"/>
    <w:rsid w:val="7FD96566"/>
    <w:rsid w:val="7FE52C25"/>
    <w:rsid w:val="7FEE11DA"/>
    <w:rsid w:val="7FF01E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qFormat/>
    <w:uiPriority w:val="0"/>
    <w:pPr>
      <w:keepNext/>
      <w:keepLines/>
      <w:spacing w:before="160" w:after="160"/>
      <w:contextualSpacing/>
      <w:outlineLvl w:val="1"/>
    </w:pPr>
    <w:rPr>
      <w:rFonts w:ascii="楷体_GB2312" w:hAnsi="Arial"/>
      <w:b/>
      <w:sz w:val="32"/>
      <w:szCs w:val="20"/>
    </w:rPr>
  </w:style>
  <w:style w:type="paragraph" w:styleId="4">
    <w:name w:val="heading 3"/>
    <w:basedOn w:val="1"/>
    <w:next w:val="1"/>
    <w:qFormat/>
    <w:uiPriority w:val="0"/>
    <w:pPr>
      <w:keepNext/>
      <w:keepLines/>
      <w:spacing w:before="120" w:after="120"/>
      <w:contextualSpacing/>
      <w:outlineLvl w:val="2"/>
    </w:pPr>
    <w:rPr>
      <w:b/>
      <w:bCs/>
      <w:sz w:val="30"/>
      <w:szCs w:val="32"/>
    </w:rPr>
  </w:style>
  <w:style w:type="character" w:default="1" w:styleId="19">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link w:val="23"/>
    <w:unhideWhenUsed/>
    <w:qFormat/>
    <w:uiPriority w:val="0"/>
    <w:rPr>
      <w:rFonts w:ascii="宋体"/>
      <w:sz w:val="18"/>
      <w:szCs w:val="18"/>
    </w:rPr>
  </w:style>
  <w:style w:type="paragraph" w:styleId="7">
    <w:name w:val="annotation text"/>
    <w:basedOn w:val="1"/>
    <w:link w:val="24"/>
    <w:qFormat/>
    <w:uiPriority w:val="0"/>
    <w:pPr>
      <w:jc w:val="left"/>
    </w:pPr>
  </w:style>
  <w:style w:type="paragraph" w:styleId="8">
    <w:name w:val="Body Text"/>
    <w:basedOn w:val="9"/>
    <w:next w:val="9"/>
    <w:qFormat/>
    <w:uiPriority w:val="0"/>
    <w:pPr>
      <w:adjustRightInd w:val="0"/>
      <w:spacing w:after="120" w:line="560" w:lineRule="exact"/>
      <w:textAlignment w:val="baseline"/>
    </w:pPr>
    <w:rPr>
      <w:rFonts w:ascii="Times New Roman" w:hAnsi="Times New Roman" w:eastAsia="仿宋_GB2312" w:cs="Times New Roman"/>
      <w:kern w:val="0"/>
      <w:sz w:val="30"/>
      <w:szCs w:val="20"/>
    </w:r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toc 3"/>
    <w:basedOn w:val="1"/>
    <w:next w:val="1"/>
    <w:qFormat/>
    <w:uiPriority w:val="39"/>
    <w:pPr>
      <w:ind w:left="840" w:leftChars="400"/>
    </w:pPr>
  </w:style>
  <w:style w:type="paragraph" w:styleId="11">
    <w:name w:val="Plain Text"/>
    <w:basedOn w:val="1"/>
    <w:link w:val="25"/>
    <w:qFormat/>
    <w:uiPriority w:val="0"/>
    <w:pPr>
      <w:spacing w:line="240" w:lineRule="auto"/>
    </w:pPr>
    <w:rPr>
      <w:rFonts w:ascii="宋体" w:hAnsi="Courier New"/>
      <w:sz w:val="21"/>
      <w:szCs w:val="20"/>
    </w:rPr>
  </w:style>
  <w:style w:type="paragraph" w:styleId="12">
    <w:name w:val="Balloon Text"/>
    <w:basedOn w:val="1"/>
    <w:link w:val="26"/>
    <w:qFormat/>
    <w:uiPriority w:val="0"/>
    <w:pPr>
      <w:spacing w:line="240" w:lineRule="auto"/>
    </w:pPr>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toc 2"/>
    <w:basedOn w:val="1"/>
    <w:next w:val="1"/>
    <w:qFormat/>
    <w:uiPriority w:val="39"/>
    <w:pPr>
      <w:ind w:left="420" w:leftChars="200"/>
    </w:pPr>
  </w:style>
  <w:style w:type="paragraph" w:styleId="17">
    <w:name w:val="annotation subject"/>
    <w:basedOn w:val="7"/>
    <w:next w:val="7"/>
    <w:link w:val="27"/>
    <w:qFormat/>
    <w:uiPriority w:val="0"/>
    <w:rPr>
      <w:b/>
      <w:bCs/>
    </w:rPr>
  </w:style>
  <w:style w:type="character" w:styleId="20">
    <w:name w:val="page number"/>
    <w:basedOn w:val="19"/>
    <w:qFormat/>
    <w:uiPriority w:val="0"/>
    <w:rPr>
      <w:rFonts w:ascii="Times New Roman" w:hAnsi="Times New Roman" w:eastAsia="宋体" w:cs="Times New Roman"/>
    </w:rPr>
  </w:style>
  <w:style w:type="character" w:styleId="21">
    <w:name w:val="Hyperlink"/>
    <w:qFormat/>
    <w:uiPriority w:val="99"/>
    <w:rPr>
      <w:rFonts w:ascii="Times New Roman" w:hAnsi="Times New Roman" w:eastAsia="宋体" w:cs="Times New Roman"/>
      <w:color w:val="0000FF"/>
      <w:u w:val="single"/>
    </w:rPr>
  </w:style>
  <w:style w:type="character" w:styleId="22">
    <w:name w:val="annotation reference"/>
    <w:qFormat/>
    <w:uiPriority w:val="0"/>
    <w:rPr>
      <w:rFonts w:ascii="Times New Roman" w:hAnsi="Times New Roman" w:eastAsia="宋体" w:cs="Times New Roman"/>
      <w:sz w:val="21"/>
      <w:szCs w:val="21"/>
    </w:rPr>
  </w:style>
  <w:style w:type="character" w:customStyle="1" w:styleId="23">
    <w:name w:val="文档结构图 字符"/>
    <w:link w:val="6"/>
    <w:semiHidden/>
    <w:qFormat/>
    <w:uiPriority w:val="0"/>
    <w:rPr>
      <w:rFonts w:ascii="宋体" w:hAnsi="Times New Roman"/>
      <w:kern w:val="2"/>
      <w:sz w:val="18"/>
      <w:szCs w:val="18"/>
    </w:rPr>
  </w:style>
  <w:style w:type="character" w:customStyle="1" w:styleId="24">
    <w:name w:val="批注文字 字符"/>
    <w:link w:val="7"/>
    <w:qFormat/>
    <w:uiPriority w:val="0"/>
    <w:rPr>
      <w:rFonts w:ascii="Times New Roman" w:hAnsi="Times New Roman" w:eastAsia="宋体" w:cs="Times New Roman"/>
    </w:rPr>
  </w:style>
  <w:style w:type="character" w:customStyle="1" w:styleId="25">
    <w:name w:val="纯文本 字符"/>
    <w:link w:val="11"/>
    <w:qFormat/>
    <w:uiPriority w:val="0"/>
    <w:rPr>
      <w:rFonts w:ascii="宋体" w:hAnsi="Courier New" w:eastAsia="宋体" w:cs="Times New Roman"/>
      <w:sz w:val="21"/>
      <w:szCs w:val="20"/>
    </w:rPr>
  </w:style>
  <w:style w:type="character" w:customStyle="1" w:styleId="26">
    <w:name w:val="批注框文本 字符"/>
    <w:link w:val="12"/>
    <w:qFormat/>
    <w:uiPriority w:val="0"/>
    <w:rPr>
      <w:rFonts w:ascii="Times New Roman" w:hAnsi="Times New Roman" w:eastAsia="宋体" w:cs="Times New Roman"/>
      <w:sz w:val="18"/>
      <w:szCs w:val="18"/>
    </w:rPr>
  </w:style>
  <w:style w:type="character" w:customStyle="1" w:styleId="27">
    <w:name w:val="批注主题 字符"/>
    <w:link w:val="17"/>
    <w:qFormat/>
    <w:uiPriority w:val="0"/>
    <w:rPr>
      <w:b/>
      <w:bCs/>
    </w:rPr>
  </w:style>
  <w:style w:type="character" w:customStyle="1" w:styleId="28">
    <w:name w:val="F正文 Char"/>
    <w:link w:val="29"/>
    <w:qFormat/>
    <w:uiPriority w:val="0"/>
    <w:rPr>
      <w:rFonts w:ascii="Times New Roman" w:hAnsi="Times New Roman" w:eastAsia="宋体" w:cs="Times New Roman"/>
      <w:szCs w:val="28"/>
    </w:rPr>
  </w:style>
  <w:style w:type="paragraph" w:customStyle="1" w:styleId="29">
    <w:name w:val="F正文"/>
    <w:basedOn w:val="1"/>
    <w:link w:val="28"/>
    <w:qFormat/>
    <w:uiPriority w:val="0"/>
    <w:pPr>
      <w:adjustRightInd w:val="0"/>
      <w:snapToGrid w:val="0"/>
      <w:spacing w:line="300" w:lineRule="auto"/>
      <w:ind w:firstLine="200" w:firstLineChars="200"/>
    </w:pPr>
    <w:rPr>
      <w:kern w:val="0"/>
      <w:sz w:val="20"/>
      <w:szCs w:val="28"/>
    </w:rPr>
  </w:style>
  <w:style w:type="paragraph" w:customStyle="1" w:styleId="30">
    <w:name w:val="列表段落2"/>
    <w:basedOn w:val="1"/>
    <w:qFormat/>
    <w:uiPriority w:val="99"/>
    <w:pPr>
      <w:ind w:firstLine="420" w:firstLineChars="200"/>
    </w:pPr>
  </w:style>
  <w:style w:type="paragraph" w:customStyle="1" w:styleId="31">
    <w:name w:val="mine"/>
    <w:basedOn w:val="11"/>
    <w:qFormat/>
    <w:uiPriority w:val="0"/>
    <w:rPr>
      <w:rFonts w:hAnsi="宋体"/>
    </w:rPr>
  </w:style>
  <w:style w:type="paragraph" w:customStyle="1" w:styleId="32">
    <w:name w:val="B"/>
    <w:basedOn w:val="1"/>
    <w:qFormat/>
    <w:uiPriority w:val="0"/>
    <w:pPr>
      <w:tabs>
        <w:tab w:val="center" w:pos="4706"/>
        <w:tab w:val="right" w:pos="9044"/>
      </w:tabs>
      <w:topLinePunct/>
      <w:spacing w:before="160" w:after="60" w:line="312" w:lineRule="exact"/>
      <w:jc w:val="center"/>
    </w:pPr>
    <w:rPr>
      <w:rFonts w:ascii="E-F1" w:eastAsia="黑体"/>
      <w:sz w:val="21"/>
      <w:szCs w:val="21"/>
    </w:rPr>
  </w:style>
  <w:style w:type="paragraph" w:customStyle="1" w:styleId="33">
    <w:name w:val="列表段落1"/>
    <w:basedOn w:val="1"/>
    <w:qFormat/>
    <w:uiPriority w:val="99"/>
    <w:pPr>
      <w:ind w:firstLine="420" w:firstLineChars="200"/>
    </w:pPr>
  </w:style>
  <w:style w:type="paragraph" w:customStyle="1" w:styleId="34">
    <w:name w:val="_Style 1"/>
    <w:basedOn w:val="1"/>
    <w:qFormat/>
    <w:uiPriority w:val="34"/>
    <w:pPr>
      <w:ind w:firstLine="420" w:firstLineChars="200"/>
    </w:pPr>
  </w:style>
  <w:style w:type="character" w:customStyle="1" w:styleId="35">
    <w:name w:val="NormalCharacter"/>
    <w:qFormat/>
    <w:uiPriority w:val="0"/>
  </w:style>
  <w:style w:type="paragraph" w:customStyle="1" w:styleId="36">
    <w:name w:val="UserStyle_26"/>
    <w:basedOn w:val="1"/>
    <w:qFormat/>
    <w:uiPriority w:val="0"/>
    <w:pPr>
      <w:widowControl/>
      <w:spacing w:line="240" w:lineRule="auto"/>
      <w:jc w:val="center"/>
      <w:textAlignment w:val="baseline"/>
    </w:pPr>
    <w:rPr>
      <w:rFonts w:cs="Times New Roman"/>
      <w:sz w:val="18"/>
      <w:szCs w:val="20"/>
    </w:rPr>
  </w:style>
  <w:style w:type="paragraph" w:customStyle="1" w:styleId="37">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SJTU</Company>
  <Pages>8</Pages>
  <Words>3035</Words>
  <Characters>3165</Characters>
  <Lines>34</Lines>
  <Paragraphs>9</Paragraphs>
  <TotalTime>1</TotalTime>
  <ScaleCrop>false</ScaleCrop>
  <LinksUpToDate>false</LinksUpToDate>
  <CharactersWithSpaces>3213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2018-02-08T06:07:00Z</dcterms:created>
  <dc:creator>justbecause1381504498</dc:creator>
  <cp:lastModifiedBy>WPS_1750648777</cp:lastModifiedBy>
  <dcterms:modified xsi:type="dcterms:W3CDTF">2025-10-23T07:13:07Z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7D7E51EB345D4A99AFE690593892C0AC_13</vt:lpwstr>
  </property>
  <property fmtid="{D5CDD505-2E9C-101B-9397-08002B2CF9AE}" pid="4" name="KSOTemplateDocerSaveRecord">
    <vt:lpwstr>eyJoZGlkIjoiYzQ2NTI3ODVjYmNhN2E4N2NiMzJmYmNlYzAzZmJmMzUiLCJ1c2VySWQiOiIxNzEyMTg2NDUzIn0=</vt:lpwstr>
  </property>
</Properties>
</file>