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312" w:afterLines="100" w:line="360" w:lineRule="auto"/>
        <w:jc w:val="both"/>
        <w:rPr>
          <w:rFonts w:hint="default" w:ascii="宋体" w:hAnsi="宋体" w:eastAsia="宋体"/>
          <w:b/>
          <w:bCs/>
          <w:kern w:val="0"/>
          <w:sz w:val="28"/>
          <w:szCs w:val="28"/>
          <w:lang w:val="en-US" w:eastAsia="zh-CN"/>
        </w:rPr>
      </w:pPr>
      <w:r>
        <w:rPr>
          <w:rFonts w:hint="eastAsia" w:ascii="宋体" w:hAnsi="宋体"/>
          <w:b/>
          <w:bCs/>
          <w:kern w:val="0"/>
          <w:sz w:val="28"/>
          <w:szCs w:val="28"/>
          <w:lang w:val="en-US" w:eastAsia="zh-CN"/>
        </w:rPr>
        <w:t>合同附件</w:t>
      </w:r>
    </w:p>
    <w:p>
      <w:pPr>
        <w:autoSpaceDE w:val="0"/>
        <w:autoSpaceDN w:val="0"/>
        <w:adjustRightInd w:val="0"/>
        <w:spacing w:after="312" w:afterLines="100" w:line="360" w:lineRule="auto"/>
        <w:jc w:val="center"/>
        <w:rPr>
          <w:rFonts w:hint="eastAsia" w:ascii="黑体" w:hAnsi="黑体" w:eastAsia="黑体" w:cs="黑体"/>
          <w:b/>
          <w:bCs/>
          <w:kern w:val="0"/>
          <w:sz w:val="36"/>
          <w:szCs w:val="36"/>
          <w:lang w:eastAsia="zh-CN"/>
        </w:rPr>
      </w:pPr>
      <w:r>
        <w:rPr>
          <w:rFonts w:hint="eastAsia" w:ascii="黑体" w:hAnsi="黑体" w:eastAsia="黑体" w:cs="黑体"/>
          <w:b/>
          <w:bCs/>
          <w:kern w:val="0"/>
          <w:sz w:val="36"/>
          <w:szCs w:val="36"/>
        </w:rPr>
        <w:t>保障农民工工资</w:t>
      </w:r>
      <w:r>
        <w:rPr>
          <w:rFonts w:hint="eastAsia" w:ascii="黑体" w:hAnsi="黑体" w:eastAsia="黑体" w:cs="黑体"/>
          <w:b/>
          <w:bCs/>
          <w:kern w:val="0"/>
          <w:sz w:val="36"/>
          <w:szCs w:val="36"/>
          <w:lang w:eastAsia="zh-CN"/>
        </w:rPr>
        <w:t>协议</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rPr>
        <w:t xml:space="preserve">甲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方：</w:t>
      </w:r>
      <w:permStart w:id="0" w:edGrp="everyone"/>
      <w:r>
        <w:rPr>
          <w:rFonts w:hint="eastAsia" w:asciiTheme="minorEastAsia" w:hAnsiTheme="minorEastAsia" w:eastAsiaTheme="minorEastAsia" w:cstheme="minorEastAsia"/>
          <w:sz w:val="24"/>
          <w:szCs w:val="24"/>
          <w:u w:val="none"/>
        </w:rPr>
        <w:t xml:space="preserve"> </w:t>
      </w:r>
      <w:r>
        <w:rPr>
          <w:rFonts w:hint="eastAsia" w:ascii="宋体" w:hAnsi="宋体"/>
          <w:color w:val="auto"/>
          <w:sz w:val="28"/>
          <w:szCs w:val="28"/>
          <w:highlight w:val="none"/>
          <w:u w:val="single"/>
          <w:shd w:val="clear" w:color="auto" w:fill="auto"/>
          <w:lang w:val="en-US" w:eastAsia="zh-CN"/>
        </w:rPr>
        <w:t>南方电网调峰调频发电有限公司运行分公司</w:t>
      </w:r>
    </w:p>
    <w:permEnd w:id="0"/>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napToGrid w:val="0"/>
          <w:color w:val="auto"/>
          <w:sz w:val="24"/>
          <w:szCs w:val="24"/>
          <w:highlight w:val="none"/>
          <w:shd w:val="clear" w:color="auto" w:fill="auto"/>
        </w:rPr>
      </w:pPr>
      <w:r>
        <w:rPr>
          <w:rFonts w:hint="eastAsia" w:asciiTheme="minorEastAsia" w:hAnsiTheme="minorEastAsia" w:eastAsiaTheme="minorEastAsia" w:cstheme="minorEastAsia"/>
          <w:sz w:val="24"/>
          <w:szCs w:val="24"/>
        </w:rPr>
        <w:t xml:space="preserve">乙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方：</w:t>
      </w:r>
      <w:permStart w:id="1" w:edGrp="everyone"/>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ermEnd w:id="1"/>
    </w:p>
    <w:p>
      <w:pPr>
        <w:keepNext w:val="0"/>
        <w:keepLines w:val="0"/>
        <w:pageBreakBefore w:val="0"/>
        <w:widowControl w:val="0"/>
        <w:kinsoku/>
        <w:wordWrap/>
        <w:overflowPunct/>
        <w:topLinePunct w:val="0"/>
        <w:autoSpaceDE w:val="0"/>
        <w:autoSpaceDN w:val="0"/>
        <w:adjustRightInd w:val="0"/>
        <w:snapToGrid/>
        <w:spacing w:line="400" w:lineRule="exact"/>
        <w:ind w:left="0" w:leftChars="0" w:firstLine="480" w:firstLineChars="200"/>
        <w:jc w:val="left"/>
        <w:rPr>
          <w:rFonts w:hint="eastAsia" w:asciiTheme="minorEastAsia" w:hAnsiTheme="minorEastAsia" w:eastAsiaTheme="minorEastAsia" w:cstheme="minorEastAsia"/>
          <w:snapToGrid w:val="0"/>
          <w:color w:val="auto"/>
          <w:sz w:val="24"/>
          <w:szCs w:val="24"/>
          <w:highlight w:val="none"/>
          <w:u w:val="single"/>
          <w:shd w:val="clear" w:color="auto" w:fill="auto"/>
        </w:rPr>
      </w:pPr>
      <w:r>
        <w:rPr>
          <w:rFonts w:hint="eastAsia" w:asciiTheme="minorEastAsia" w:hAnsiTheme="minorEastAsia" w:eastAsiaTheme="minorEastAsia" w:cstheme="minorEastAsia"/>
          <w:snapToGrid w:val="0"/>
          <w:color w:val="auto"/>
          <w:sz w:val="24"/>
          <w:szCs w:val="24"/>
          <w:highlight w:val="none"/>
          <w:shd w:val="clear" w:color="auto" w:fill="auto"/>
          <w:lang w:val="en-US" w:eastAsia="zh-CN"/>
        </w:rPr>
        <w:t>为建立规范有序的劳务作业人员管理机制，贯彻落实国家关于劳务作业人员工资支付管理的有关规定，确保依法有效利用社会资源，维持农民工队伍的稳定，切实保障农民工的合法权益，根据《中华人民共和国劳动合同法》、《中华人民共和国建筑法》、《保障农民工工资支付条例》（国务院令第724号）、《工程建设领域农民工工资专用账户管理暂行办法》（人社部发〔2021〕53）、《工程建设领域农民工工资保证金规定》（人社部发〔2021〕65号）</w:t>
      </w:r>
      <w:r>
        <w:rPr>
          <w:rFonts w:hint="eastAsia" w:asciiTheme="minorEastAsia" w:hAnsiTheme="minorEastAsia" w:eastAsiaTheme="minorEastAsia" w:cstheme="minorEastAsia"/>
          <w:snapToGrid w:val="0"/>
          <w:color w:val="auto"/>
          <w:sz w:val="24"/>
          <w:szCs w:val="24"/>
          <w:highlight w:val="none"/>
          <w:shd w:val="clear" w:color="auto" w:fill="auto"/>
        </w:rPr>
        <w:t>等国家相关法律法规及施工合同谈判会议纪要的要求，结合</w:t>
      </w:r>
      <w:r>
        <w:rPr>
          <w:rFonts w:hint="eastAsia" w:asciiTheme="minorEastAsia" w:hAnsiTheme="minorEastAsia" w:eastAsiaTheme="minorEastAsia" w:cstheme="minorEastAsia"/>
          <w:snapToGrid w:val="0"/>
          <w:color w:val="auto"/>
          <w:sz w:val="24"/>
          <w:szCs w:val="24"/>
          <w:highlight w:val="none"/>
          <w:shd w:val="clear" w:color="auto" w:fill="auto"/>
          <w:lang w:val="en-US" w:eastAsia="zh-CN"/>
        </w:rPr>
        <w:t>《修试公司2025-2028年度检修项目承包及设备运维服务合同）》</w:t>
      </w:r>
      <w:r>
        <w:rPr>
          <w:rFonts w:hint="eastAsia" w:asciiTheme="minorEastAsia" w:hAnsiTheme="minorEastAsia" w:eastAsiaTheme="minorEastAsia" w:cstheme="minorEastAsia"/>
          <w:snapToGrid w:val="0"/>
          <w:color w:val="auto"/>
          <w:sz w:val="24"/>
          <w:szCs w:val="24"/>
          <w:highlight w:val="none"/>
          <w:shd w:val="clear" w:color="auto" w:fill="auto"/>
        </w:rPr>
        <w:t>实际情况，经甲乙双方友好协商，就保障民工工资正常发放达成以下协议：</w:t>
      </w:r>
    </w:p>
    <w:p>
      <w:pPr>
        <w:pStyle w:val="5"/>
        <w:keepNext w:val="0"/>
        <w:keepLines w:val="0"/>
        <w:pageBreakBefore w:val="0"/>
        <w:widowControl w:val="0"/>
        <w:kinsoku/>
        <w:wordWrap/>
        <w:overflowPunct/>
        <w:topLinePunct w:val="0"/>
        <w:bidi/>
        <w:snapToGrid/>
        <w:spacing w:before="0" w:line="400" w:lineRule="exact"/>
        <w:ind w:left="0" w:leftChars="0" w:right="0" w:rightChars="0" w:firstLine="482" w:firstLineChars="200"/>
        <w:jc w:val="center"/>
        <w:rPr>
          <w:rFonts w:hint="eastAsia" w:asciiTheme="minorEastAsia" w:hAnsiTheme="minorEastAsia" w:eastAsiaTheme="minorEastAsia" w:cstheme="minorEastAsia"/>
          <w:b/>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双方的义务</w:t>
      </w:r>
    </w:p>
    <w:p>
      <w:pPr>
        <w:pStyle w:val="5"/>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一、双方应本着高效务实的原则，自觉按照合同和工程结算制度进行合同款项的支付结算，保证工程款的及时到位、到帐及农民工工资的正常发放。</w:t>
      </w:r>
    </w:p>
    <w:p>
      <w:pPr>
        <w:pStyle w:val="5"/>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二、双方要按照“谁拖欠、谁负责、总包负总责”的原则，建立农民工工资监督机制，按期开展关于现场农民工工资发放的调查、回访及有关宣传教育工作，加强对分包队伍农民工工资发放的监督工作。</w:t>
      </w:r>
    </w:p>
    <w:p>
      <w:pPr>
        <w:pStyle w:val="5"/>
        <w:keepNext w:val="0"/>
        <w:keepLines w:val="0"/>
        <w:pageBreakBefore w:val="0"/>
        <w:widowControl w:val="0"/>
        <w:kinsoku/>
        <w:wordWrap/>
        <w:overflowPunct/>
        <w:topLinePunct w:val="0"/>
        <w:bidi/>
        <w:snapToGrid/>
        <w:spacing w:before="0" w:line="400" w:lineRule="exact"/>
        <w:ind w:left="0" w:leftChars="0" w:right="0" w:rightChars="0" w:firstLine="482" w:firstLineChars="200"/>
        <w:jc w:val="center"/>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甲方的权利和义务</w:t>
      </w:r>
    </w:p>
    <w:p>
      <w:pPr>
        <w:pStyle w:val="5"/>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三、甲方有权通过现场询问、电话访问等方式对乙方及其分包单位农民工工资发放情况进行检查复核，接受有关农民工工资发放的合理投诉与举报，对此乙方必须予以全方位的配合和协助。发现问题后，甲方有权指导乙方进行改正，对此，乙方必须接受。</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四、在本协议生效后，甲方将在应付给乙方的进度款中扣留</w:t>
      </w:r>
      <w:permStart w:id="2" w:edGrp="everyone"/>
      <w:r>
        <w:rPr>
          <w:rFonts w:hint="eastAsia" w:asciiTheme="minorEastAsia" w:hAnsiTheme="minorEastAsia" w:cstheme="minorEastAsia"/>
          <w:color w:val="auto"/>
          <w:sz w:val="24"/>
          <w:szCs w:val="24"/>
          <w:highlight w:val="none"/>
          <w:u w:val="single"/>
          <w:shd w:val="clear" w:color="auto" w:fill="auto"/>
          <w:lang w:val="en-US" w:eastAsia="zh-CN"/>
        </w:rPr>
        <w:t>合同暂定价款</w:t>
      </w:r>
      <w:bookmarkStart w:id="0" w:name="_GoBack"/>
      <w:bookmarkEnd w:id="0"/>
      <w:r>
        <w:rPr>
          <w:rFonts w:hint="eastAsia" w:asciiTheme="minorEastAsia" w:hAnsiTheme="minorEastAsia" w:eastAsiaTheme="minorEastAsia" w:cstheme="minorEastAsia"/>
          <w:color w:val="auto"/>
          <w:sz w:val="24"/>
          <w:szCs w:val="24"/>
          <w:highlight w:val="none"/>
          <w:u w:val="single"/>
          <w:shd w:val="clear" w:color="auto" w:fill="auto"/>
        </w:rPr>
        <w:t>的</w:t>
      </w:r>
      <w:r>
        <w:rPr>
          <w:rFonts w:hint="eastAsia" w:asciiTheme="minorEastAsia" w:hAnsiTheme="minorEastAsia" w:cstheme="minorEastAsia"/>
          <w:color w:val="auto"/>
          <w:sz w:val="24"/>
          <w:szCs w:val="24"/>
          <w:highlight w:val="none"/>
          <w:u w:val="single"/>
          <w:shd w:val="clear" w:color="auto" w:fill="auto"/>
          <w:lang w:val="en-US" w:eastAsia="zh-CN"/>
        </w:rPr>
        <w:t>2</w:t>
      </w:r>
      <w:r>
        <w:rPr>
          <w:rFonts w:hint="eastAsia" w:asciiTheme="minorEastAsia" w:hAnsiTheme="minorEastAsia" w:eastAsiaTheme="minorEastAsia" w:cstheme="minorEastAsia"/>
          <w:color w:val="auto"/>
          <w:sz w:val="24"/>
          <w:szCs w:val="24"/>
          <w:highlight w:val="none"/>
          <w:u w:val="single"/>
          <w:shd w:val="clear" w:color="auto" w:fill="auto"/>
        </w:rPr>
        <w:t>%</w:t>
      </w:r>
      <w:permEnd w:id="2"/>
      <w:r>
        <w:rPr>
          <w:rFonts w:hint="eastAsia" w:asciiTheme="minorEastAsia" w:hAnsiTheme="minorEastAsia" w:eastAsiaTheme="minorEastAsia" w:cstheme="minorEastAsia"/>
          <w:color w:val="auto"/>
          <w:sz w:val="24"/>
          <w:szCs w:val="24"/>
          <w:highlight w:val="none"/>
          <w:shd w:val="clear" w:color="auto" w:fill="auto"/>
        </w:rPr>
        <w:t>作为农民工工资保障金。若原合同在本</w:t>
      </w:r>
      <w:r>
        <w:rPr>
          <w:rFonts w:hint="eastAsia" w:asciiTheme="minorEastAsia" w:hAnsiTheme="minorEastAsia" w:cstheme="minorEastAsia"/>
          <w:color w:val="auto"/>
          <w:sz w:val="24"/>
          <w:szCs w:val="24"/>
          <w:highlight w:val="none"/>
          <w:shd w:val="clear" w:color="auto" w:fill="auto"/>
          <w:lang w:eastAsia="zh-CN"/>
        </w:rPr>
        <w:t>协议</w:t>
      </w:r>
      <w:r>
        <w:rPr>
          <w:rFonts w:hint="eastAsia" w:asciiTheme="minorEastAsia" w:hAnsiTheme="minorEastAsia" w:eastAsiaTheme="minorEastAsia" w:cstheme="minorEastAsia"/>
          <w:color w:val="auto"/>
          <w:sz w:val="24"/>
          <w:szCs w:val="24"/>
          <w:highlight w:val="none"/>
          <w:shd w:val="clear" w:color="auto" w:fill="auto"/>
        </w:rPr>
        <w:t>签订后半年内完工，则农民工工资保障金将于合同完工时无息返还；反之，则</w:t>
      </w:r>
      <w:permStart w:id="3" w:edGrp="everyone"/>
      <w:r>
        <w:rPr>
          <w:rFonts w:hint="eastAsia" w:asciiTheme="minorEastAsia" w:hAnsiTheme="minorEastAsia" w:eastAsiaTheme="minorEastAsia" w:cstheme="minorEastAsia"/>
          <w:color w:val="auto"/>
          <w:sz w:val="24"/>
          <w:szCs w:val="24"/>
          <w:highlight w:val="none"/>
          <w:u w:val="single"/>
          <w:shd w:val="clear" w:color="auto" w:fill="auto"/>
        </w:rPr>
        <w:t>每</w:t>
      </w:r>
      <w:r>
        <w:rPr>
          <w:rFonts w:hint="eastAsia" w:asciiTheme="minorEastAsia" w:hAnsiTheme="minorEastAsia" w:cstheme="minorEastAsia"/>
          <w:color w:val="auto"/>
          <w:sz w:val="24"/>
          <w:szCs w:val="24"/>
          <w:highlight w:val="none"/>
          <w:u w:val="single"/>
          <w:shd w:val="clear" w:color="auto" w:fill="auto"/>
          <w:lang w:val="en-US" w:eastAsia="zh-CN"/>
        </w:rPr>
        <w:t>半</w:t>
      </w:r>
      <w:r>
        <w:rPr>
          <w:rFonts w:hint="eastAsia" w:asciiTheme="minorEastAsia" w:hAnsiTheme="minorEastAsia" w:eastAsiaTheme="minorEastAsia" w:cstheme="minorEastAsia"/>
          <w:color w:val="auto"/>
          <w:sz w:val="24"/>
          <w:szCs w:val="24"/>
          <w:highlight w:val="none"/>
          <w:u w:val="single"/>
          <w:shd w:val="clear" w:color="auto" w:fill="auto"/>
        </w:rPr>
        <w:t>年</w:t>
      </w:r>
      <w:permEnd w:id="3"/>
      <w:r>
        <w:rPr>
          <w:rFonts w:hint="eastAsia" w:asciiTheme="minorEastAsia" w:hAnsiTheme="minorEastAsia" w:eastAsiaTheme="minorEastAsia" w:cstheme="minorEastAsia"/>
          <w:color w:val="auto"/>
          <w:sz w:val="24"/>
          <w:szCs w:val="24"/>
          <w:highlight w:val="none"/>
          <w:shd w:val="clear" w:color="auto" w:fill="auto"/>
        </w:rPr>
        <w:t>返还一次农民工工资保障金。若工程所在地的地方人力资源和社会保障行政部门制定了关于农民工工资保证金的具体规定，且乙方按规定存储了农民工工资保证金或开立了银行保函的，则无需在进度款中扣留农民工工资保证金。</w:t>
      </w:r>
    </w:p>
    <w:p>
      <w:pPr>
        <w:pStyle w:val="5"/>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五、甲方将按照国家有关保障农民工工资支付条例规定，按照合同约定及时拨付工程款，并将人工费用及时足额拨付至农民工工资专用账户，加强对乙方按时足额支付农民工工资的监督。</w:t>
      </w:r>
    </w:p>
    <w:p>
      <w:pPr>
        <w:pStyle w:val="5"/>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六、由于甲方未按合同约定按时支付乙方工程款项，致使乙方所承包项目发生拖欠农民工工资现象的，乙方在提供有效证明资料后，有权要求甲方先行垫付被拖欠的农民工工资。同时，因此造成的损失，甲方应据实予以赔偿并承担有关责任。</w:t>
      </w:r>
    </w:p>
    <w:p>
      <w:pPr>
        <w:pStyle w:val="5"/>
        <w:keepNext w:val="0"/>
        <w:keepLines w:val="0"/>
        <w:pageBreakBefore w:val="0"/>
        <w:widowControl w:val="0"/>
        <w:kinsoku/>
        <w:wordWrap/>
        <w:overflowPunct/>
        <w:topLinePunct w:val="0"/>
        <w:bidi/>
        <w:snapToGrid/>
        <w:spacing w:before="0" w:line="400" w:lineRule="exact"/>
        <w:ind w:left="0" w:leftChars="0" w:right="0" w:rightChars="0" w:firstLine="482" w:firstLineChars="200"/>
        <w:jc w:val="center"/>
        <w:rPr>
          <w:rFonts w:hint="eastAsia" w:asciiTheme="minorEastAsia" w:hAnsiTheme="minorEastAsia" w:eastAsiaTheme="minorEastAsia" w:cstheme="minorEastAsia"/>
          <w:b/>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乙方的权利与义务</w:t>
      </w:r>
    </w:p>
    <w:p>
      <w:pPr>
        <w:pStyle w:val="5"/>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七、乙方应与经审批同意的合格的分包单位签订分包合同，在分包合同中对农民工劳动合同签订、农民工工作内容、农民工工资支付、农民工工资保障及劳动合同终止等进行约定，分包合同虽已报监理、业主同意，但不能因此而免除乙方应承担的责任。</w:t>
      </w:r>
    </w:p>
    <w:p>
      <w:pPr>
        <w:pStyle w:val="5"/>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八、乙方应对分包单位农民工工资的支付进行监督，督促其依法支付农民工工资。在分包单位进场后，乙方应要求分包单位建立用工花名册及工资支付表，如实记录支付单位、支付时间、支付对象、支付数额等工资支付情况；同时，乙方应自发地定期检查分包单位农民工工资发放事宜。</w:t>
      </w:r>
    </w:p>
    <w:p>
      <w:pPr>
        <w:pStyle w:val="5"/>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九、乙方及其分包单位应当确保工资支付到农民工本人，严禁发放给“包工头”或其他不具备用工主体资格的组织和个人。乙方应开设满足工程所在地政府监管要求的农民工工资专用账户并报甲方备案。农民工工资应通过总承包单位开设的农民工工资专用账户支付，委托单位应与银行签订委托代发工资协议，受委托银行应当按时将农民工工资拨到其个人账户，农民工持卡或存折支取工资。</w:t>
      </w:r>
    </w:p>
    <w:p>
      <w:pPr>
        <w:pStyle w:val="5"/>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十、乙方应及时办理与分包单位之间的工程款结算，及时支付分包工程款，在安排项目资金时，优先考虑农民工工资，同时应做好农民工工资发放有关文件资料的收集存档工作。分包结算前，乙方须要求分包单位在农民工工资支付完成且农民工查收确认后由农民工本人在工资单上签名，经农民工确认签领的工资表加盖分包单位公章后提供复印件给乙方作为分包结算的依据。</w:t>
      </w:r>
    </w:p>
    <w:p>
      <w:pPr>
        <w:pStyle w:val="5"/>
        <w:keepNext w:val="0"/>
        <w:keepLines w:val="0"/>
        <w:pageBreakBefore w:val="0"/>
        <w:widowControl w:val="0"/>
        <w:kinsoku/>
        <w:wordWrap/>
        <w:overflowPunct/>
        <w:topLinePunct w:val="0"/>
        <w:bidi/>
        <w:snapToGrid/>
        <w:spacing w:before="0" w:line="400" w:lineRule="exact"/>
        <w:ind w:left="0" w:leftChars="0" w:right="0" w:rightChars="0" w:firstLine="482" w:firstLineChars="200"/>
        <w:jc w:val="center"/>
        <w:rPr>
          <w:rFonts w:hint="eastAsia" w:asciiTheme="minorEastAsia" w:hAnsiTheme="minorEastAsia" w:eastAsiaTheme="minorEastAsia" w:cstheme="minorEastAsia"/>
          <w:b/>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违约责任</w:t>
      </w:r>
    </w:p>
    <w:p>
      <w:pPr>
        <w:pStyle w:val="5"/>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十一、由于甲方未按合同约定按时支付乙方工程款项或延长工程款项，致使乙方所承包项目发生拖欠农民工工资现象的，乙方有权要求甲方先行垫付被拖欠的农民工工资；对此造成的损失，乙方有权要求甲方予以赔偿并承担相关责任。</w:t>
      </w:r>
    </w:p>
    <w:p>
      <w:pPr>
        <w:pStyle w:val="5"/>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十二、若因乙方责任发生下列情形之一的，经当地劳动和社会保障行政部门确认后，甲方有权扣留所保留的农民工工资保证金并代替乙方发放被拖欠的农民工工资，不足部分甲方有权在甲方应支付给乙方的任意款项中抵扣：</w:t>
      </w:r>
    </w:p>
    <w:p>
      <w:pPr>
        <w:pStyle w:val="5"/>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(一)未按照合同约定支付农民工工资，拖欠或克扣农民工工资的；</w:t>
      </w:r>
    </w:p>
    <w:p>
      <w:pPr>
        <w:pStyle w:val="5"/>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(二)因农民工工资纠纷引起群体性事件的。</w:t>
      </w:r>
    </w:p>
    <w:p>
      <w:pPr>
        <w:pStyle w:val="5"/>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十三、发生农民工工资纠纷时，甲乙双方应在纠纷发生后30天内完成责任范围内的全部欠款清还。对于因农民工工资纠纷，影响工程关键节点工期或导致合同无法继续执行的，合同另一方有权提出解除施工合同，并提出相应赔偿。</w:t>
      </w:r>
    </w:p>
    <w:p>
      <w:pPr>
        <w:pStyle w:val="5"/>
        <w:keepNext w:val="0"/>
        <w:keepLines w:val="0"/>
        <w:pageBreakBefore w:val="0"/>
        <w:widowControl w:val="0"/>
        <w:kinsoku/>
        <w:wordWrap/>
        <w:overflowPunct/>
        <w:topLinePunct w:val="0"/>
        <w:bidi/>
        <w:snapToGrid/>
        <w:spacing w:before="0" w:line="400" w:lineRule="exact"/>
        <w:ind w:left="0" w:leftChars="0" w:right="0" w:rightChars="0" w:firstLine="482" w:firstLineChars="200"/>
        <w:jc w:val="center"/>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双方约定其他事项</w:t>
      </w:r>
    </w:p>
    <w:p>
      <w:pPr>
        <w:pStyle w:val="5"/>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十四、为落实农民工工资监督，</w:t>
      </w:r>
      <w:r>
        <w:rPr>
          <w:rFonts w:hint="eastAsia" w:asciiTheme="minorEastAsia" w:hAnsiTheme="minorEastAsia" w:eastAsiaTheme="minorEastAsia" w:cstheme="minorEastAsia"/>
          <w:color w:val="auto"/>
          <w:sz w:val="24"/>
          <w:szCs w:val="24"/>
          <w:highlight w:val="none"/>
          <w:shd w:val="clear" w:color="auto" w:fill="auto"/>
          <w:lang w:val="en-US" w:eastAsia="zh-CN"/>
        </w:rPr>
        <w:t>本协议</w:t>
      </w:r>
      <w:r>
        <w:rPr>
          <w:rFonts w:hint="eastAsia" w:asciiTheme="minorEastAsia" w:hAnsiTheme="minorEastAsia" w:eastAsiaTheme="minorEastAsia" w:cstheme="minorEastAsia"/>
          <w:color w:val="auto"/>
          <w:sz w:val="24"/>
          <w:szCs w:val="24"/>
          <w:highlight w:val="none"/>
          <w:shd w:val="clear" w:color="auto" w:fill="auto"/>
        </w:rPr>
        <w:t>约定双方相互监督。</w:t>
      </w:r>
    </w:p>
    <w:p>
      <w:pPr>
        <w:pStyle w:val="5"/>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十五、本协议作为《</w:t>
      </w:r>
      <w:r>
        <w:rPr>
          <w:rFonts w:hint="eastAsia" w:asciiTheme="minorEastAsia" w:hAnsiTheme="minorEastAsia" w:eastAsiaTheme="minorEastAsia" w:cstheme="minorEastAsia"/>
          <w:color w:val="auto"/>
          <w:sz w:val="24"/>
          <w:szCs w:val="24"/>
          <w:highlight w:val="none"/>
          <w:shd w:val="clear" w:color="auto" w:fill="auto"/>
          <w:lang w:val="en-US" w:eastAsia="zh-CN"/>
        </w:rPr>
        <w:t>修试公司</w:t>
      </w:r>
      <w:r>
        <w:rPr>
          <w:rFonts w:hint="eastAsia" w:asciiTheme="minorEastAsia" w:hAnsiTheme="minorEastAsia" w:eastAsiaTheme="minorEastAsia" w:cstheme="minorEastAsia"/>
          <w:color w:val="auto"/>
          <w:sz w:val="24"/>
          <w:szCs w:val="24"/>
          <w:highlight w:val="none"/>
          <w:shd w:val="clear" w:color="auto" w:fill="auto"/>
        </w:rPr>
        <w:t>202</w:t>
      </w:r>
      <w:r>
        <w:rPr>
          <w:rFonts w:hint="eastAsia" w:asciiTheme="minorEastAsia" w:hAnsiTheme="minorEastAsia" w:eastAsiaTheme="minorEastAsia" w:cstheme="minorEastAsia"/>
          <w:color w:val="auto"/>
          <w:sz w:val="24"/>
          <w:szCs w:val="24"/>
          <w:highlight w:val="none"/>
          <w:shd w:val="clear" w:color="auto" w:fill="auto"/>
          <w:lang w:val="en-US" w:eastAsia="zh-CN"/>
        </w:rPr>
        <w:t>5</w:t>
      </w:r>
      <w:r>
        <w:rPr>
          <w:rFonts w:hint="eastAsia" w:asciiTheme="minorEastAsia" w:hAnsiTheme="minorEastAsia" w:eastAsiaTheme="minorEastAsia" w:cstheme="minorEastAsia"/>
          <w:color w:val="auto"/>
          <w:sz w:val="24"/>
          <w:szCs w:val="24"/>
          <w:highlight w:val="none"/>
          <w:shd w:val="clear" w:color="auto" w:fill="auto"/>
        </w:rPr>
        <w:t>-202</w:t>
      </w:r>
      <w:r>
        <w:rPr>
          <w:rFonts w:hint="eastAsia" w:asciiTheme="minorEastAsia" w:hAnsiTheme="minorEastAsia" w:eastAsiaTheme="minorEastAsia" w:cstheme="minorEastAsia"/>
          <w:color w:val="auto"/>
          <w:sz w:val="24"/>
          <w:szCs w:val="24"/>
          <w:highlight w:val="none"/>
          <w:shd w:val="clear" w:color="auto" w:fill="auto"/>
          <w:lang w:val="en-US" w:eastAsia="zh-CN"/>
        </w:rPr>
        <w:t>8</w:t>
      </w:r>
      <w:r>
        <w:rPr>
          <w:rFonts w:hint="eastAsia" w:asciiTheme="minorEastAsia" w:hAnsiTheme="minorEastAsia" w:eastAsiaTheme="minorEastAsia" w:cstheme="minorEastAsia"/>
          <w:color w:val="auto"/>
          <w:sz w:val="24"/>
          <w:szCs w:val="24"/>
          <w:highlight w:val="none"/>
          <w:shd w:val="clear" w:color="auto" w:fill="auto"/>
        </w:rPr>
        <w:t>年度检修项目承包及</w:t>
      </w:r>
      <w:r>
        <w:rPr>
          <w:rFonts w:hint="eastAsia" w:asciiTheme="minorEastAsia" w:hAnsiTheme="minorEastAsia" w:eastAsiaTheme="minorEastAsia" w:cstheme="minorEastAsia"/>
          <w:color w:val="auto"/>
          <w:sz w:val="24"/>
          <w:szCs w:val="24"/>
          <w:highlight w:val="none"/>
          <w:shd w:val="clear" w:color="auto" w:fill="auto"/>
          <w:lang w:val="en-US" w:eastAsia="zh-CN"/>
        </w:rPr>
        <w:t>设备运维</w:t>
      </w:r>
      <w:r>
        <w:rPr>
          <w:rFonts w:hint="eastAsia" w:asciiTheme="minorEastAsia" w:hAnsiTheme="minorEastAsia" w:eastAsiaTheme="minorEastAsia" w:cstheme="minorEastAsia"/>
          <w:color w:val="auto"/>
          <w:sz w:val="24"/>
          <w:szCs w:val="24"/>
          <w:highlight w:val="none"/>
          <w:shd w:val="clear" w:color="auto" w:fill="auto"/>
        </w:rPr>
        <w:t>服务</w:t>
      </w:r>
      <w:r>
        <w:rPr>
          <w:rFonts w:hint="eastAsia" w:asciiTheme="minorEastAsia" w:hAnsiTheme="minorEastAsia" w:eastAsiaTheme="minorEastAsia" w:cstheme="minorEastAsia"/>
          <w:color w:val="auto"/>
          <w:sz w:val="24"/>
          <w:szCs w:val="24"/>
          <w:highlight w:val="none"/>
          <w:shd w:val="clear" w:color="auto" w:fill="auto"/>
          <w:lang w:val="en-US" w:eastAsia="zh-CN"/>
        </w:rPr>
        <w:t>合同》</w:t>
      </w:r>
      <w:r>
        <w:rPr>
          <w:rFonts w:hint="eastAsia" w:asciiTheme="minorEastAsia" w:hAnsiTheme="minorEastAsia" w:eastAsiaTheme="minorEastAsia" w:cstheme="minorEastAsia"/>
          <w:color w:val="auto"/>
          <w:sz w:val="24"/>
          <w:szCs w:val="24"/>
          <w:highlight w:val="none"/>
          <w:shd w:val="clear" w:color="auto" w:fill="auto"/>
        </w:rPr>
        <w:t>的重要组成部分，</w:t>
      </w:r>
      <w:r>
        <w:rPr>
          <w:rFonts w:hint="eastAsia" w:ascii="宋体" w:hAnsi="宋体" w:eastAsia="宋体" w:cs="宋体"/>
          <w:color w:val="auto"/>
          <w:sz w:val="24"/>
          <w:highlight w:val="none"/>
          <w:shd w:val="clear" w:color="auto" w:fill="auto"/>
        </w:rPr>
        <w:t>经双方</w:t>
      </w:r>
      <w:r>
        <w:rPr>
          <w:rFonts w:hint="eastAsia" w:ascii="宋体" w:hAnsi="宋体" w:eastAsia="宋体" w:cs="宋体"/>
          <w:color w:val="auto"/>
          <w:sz w:val="24"/>
          <w:highlight w:val="none"/>
          <w:shd w:val="clear" w:color="auto" w:fill="auto"/>
          <w:lang w:val="en-US" w:eastAsia="zh-CN"/>
        </w:rPr>
        <w:t>法定代表人（负责人）或</w:t>
      </w:r>
      <w:r>
        <w:rPr>
          <w:rFonts w:hint="eastAsia" w:ascii="宋体" w:hAnsi="宋体" w:eastAsia="宋体" w:cs="宋体"/>
          <w:color w:val="auto"/>
          <w:sz w:val="24"/>
          <w:highlight w:val="none"/>
          <w:shd w:val="clear" w:color="auto" w:fill="auto"/>
        </w:rPr>
        <w:t>授权代表签字并</w:t>
      </w:r>
      <w:r>
        <w:rPr>
          <w:rFonts w:hint="eastAsia" w:ascii="宋体" w:hAnsi="宋体" w:eastAsia="宋体" w:cs="宋体"/>
          <w:color w:val="auto"/>
          <w:sz w:val="24"/>
          <w:highlight w:val="none"/>
          <w:shd w:val="clear" w:color="auto" w:fill="auto"/>
          <w:lang w:val="en-US" w:eastAsia="zh-CN"/>
        </w:rPr>
        <w:t>加</w:t>
      </w:r>
      <w:r>
        <w:rPr>
          <w:rFonts w:hint="eastAsia" w:ascii="宋体" w:hAnsi="宋体" w:eastAsia="宋体" w:cs="宋体"/>
          <w:color w:val="auto"/>
          <w:sz w:val="24"/>
          <w:highlight w:val="none"/>
          <w:shd w:val="clear" w:color="auto" w:fill="auto"/>
        </w:rPr>
        <w:t>盖</w:t>
      </w:r>
      <w:r>
        <w:rPr>
          <w:rFonts w:hint="eastAsia" w:ascii="宋体" w:hAnsi="宋体" w:eastAsia="宋体" w:cs="宋体"/>
          <w:color w:val="auto"/>
          <w:sz w:val="24"/>
          <w:highlight w:val="none"/>
          <w:shd w:val="clear" w:color="auto" w:fill="auto"/>
          <w:lang w:val="en-US" w:eastAsia="zh-CN"/>
        </w:rPr>
        <w:t>公</w:t>
      </w:r>
      <w:r>
        <w:rPr>
          <w:rFonts w:hint="eastAsia" w:ascii="宋体" w:hAnsi="宋体" w:eastAsia="宋体" w:cs="宋体"/>
          <w:color w:val="auto"/>
          <w:sz w:val="24"/>
          <w:highlight w:val="none"/>
          <w:shd w:val="clear" w:color="auto" w:fill="auto"/>
        </w:rPr>
        <w:t>章</w:t>
      </w:r>
      <w:r>
        <w:rPr>
          <w:rFonts w:hint="eastAsia" w:ascii="宋体" w:hAnsi="宋体" w:eastAsia="宋体" w:cs="宋体"/>
          <w:color w:val="auto"/>
          <w:sz w:val="24"/>
          <w:highlight w:val="none"/>
          <w:shd w:val="clear" w:color="auto" w:fill="auto"/>
          <w:lang w:val="en-US" w:eastAsia="zh-CN"/>
        </w:rPr>
        <w:t>或合同专用章</w:t>
      </w:r>
      <w:r>
        <w:rPr>
          <w:rFonts w:hint="eastAsia" w:ascii="宋体" w:hAnsi="宋体" w:eastAsia="宋体" w:cs="宋体"/>
          <w:color w:val="auto"/>
          <w:sz w:val="24"/>
          <w:highlight w:val="none"/>
          <w:shd w:val="clear" w:color="auto" w:fill="auto"/>
        </w:rPr>
        <w:t>之日</w:t>
      </w:r>
      <w:r>
        <w:rPr>
          <w:rFonts w:hint="eastAsia" w:ascii="宋体" w:hAnsi="宋体" w:eastAsia="宋体" w:cs="宋体"/>
          <w:color w:val="auto"/>
          <w:sz w:val="24"/>
          <w:highlight w:val="none"/>
          <w:shd w:val="clear" w:color="auto" w:fill="auto"/>
          <w:lang w:val="en-US" w:eastAsia="zh-CN"/>
        </w:rPr>
        <w:t>起生效</w:t>
      </w:r>
      <w:r>
        <w:rPr>
          <w:rFonts w:hint="eastAsia"/>
          <w:sz w:val="24"/>
        </w:rPr>
        <w:t>。</w:t>
      </w:r>
      <w:r>
        <w:rPr>
          <w:rFonts w:hint="eastAsia" w:asciiTheme="minorEastAsia" w:hAnsiTheme="minorEastAsia" w:eastAsiaTheme="minorEastAsia" w:cstheme="minorEastAsia"/>
          <w:color w:val="auto"/>
          <w:sz w:val="24"/>
          <w:szCs w:val="24"/>
          <w:highlight w:val="none"/>
          <w:shd w:val="clear" w:color="auto" w:fill="auto"/>
        </w:rPr>
        <w:t>有效期与施工合同相同。</w:t>
      </w:r>
    </w:p>
    <w:p>
      <w:pPr>
        <w:pStyle w:val="5"/>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十六、</w:t>
      </w:r>
      <w:r>
        <w:rPr>
          <w:rFonts w:hint="eastAsia" w:asciiTheme="minorEastAsia" w:hAnsiTheme="minorEastAsia" w:eastAsiaTheme="minorEastAsia" w:cstheme="minorEastAsia"/>
          <w:color w:val="auto"/>
          <w:sz w:val="24"/>
          <w:szCs w:val="24"/>
          <w:highlight w:val="none"/>
          <w:shd w:val="clear" w:color="auto" w:fill="auto"/>
          <w:lang w:val="en-US" w:eastAsia="zh-CN"/>
        </w:rPr>
        <w:t>本协议一式</w:t>
      </w:r>
      <w:permStart w:id="4" w:edGrp="everyone"/>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w:t>
      </w:r>
      <w:permEnd w:id="4"/>
      <w:r>
        <w:rPr>
          <w:rFonts w:hint="eastAsia" w:asciiTheme="minorEastAsia" w:hAnsiTheme="minorEastAsia" w:eastAsiaTheme="minorEastAsia" w:cstheme="minorEastAsia"/>
          <w:color w:val="auto"/>
          <w:sz w:val="24"/>
          <w:szCs w:val="24"/>
          <w:highlight w:val="none"/>
          <w:shd w:val="clear" w:color="auto" w:fill="auto"/>
          <w:lang w:val="en-US" w:eastAsia="zh-CN"/>
        </w:rPr>
        <w:t>份。其中正本</w:t>
      </w:r>
      <w:permStart w:id="5" w:edGrp="everyone"/>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w:t>
      </w:r>
      <w:permEnd w:id="5"/>
      <w:r>
        <w:rPr>
          <w:rFonts w:hint="eastAsia" w:asciiTheme="minorEastAsia" w:hAnsiTheme="minorEastAsia" w:eastAsiaTheme="minorEastAsia" w:cstheme="minorEastAsia"/>
          <w:color w:val="auto"/>
          <w:sz w:val="24"/>
          <w:szCs w:val="24"/>
          <w:highlight w:val="none"/>
          <w:shd w:val="clear" w:color="auto" w:fill="auto"/>
          <w:lang w:val="en-US" w:eastAsia="zh-CN"/>
        </w:rPr>
        <w:t>份，双方各执</w:t>
      </w:r>
      <w:permStart w:id="6" w:edGrp="everyone"/>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w:t>
      </w:r>
      <w:permEnd w:id="6"/>
      <w:r>
        <w:rPr>
          <w:rFonts w:hint="eastAsia" w:asciiTheme="minorEastAsia" w:hAnsiTheme="minorEastAsia" w:eastAsiaTheme="minorEastAsia" w:cstheme="minorEastAsia"/>
          <w:color w:val="auto"/>
          <w:sz w:val="24"/>
          <w:szCs w:val="24"/>
          <w:highlight w:val="none"/>
          <w:shd w:val="clear" w:color="auto" w:fill="auto"/>
          <w:lang w:val="en-US" w:eastAsia="zh-CN"/>
        </w:rPr>
        <w:t>份，副本</w:t>
      </w:r>
      <w:permStart w:id="7" w:edGrp="everyone"/>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w:t>
      </w:r>
      <w:permEnd w:id="7"/>
      <w:r>
        <w:rPr>
          <w:rFonts w:hint="eastAsia" w:asciiTheme="minorEastAsia" w:hAnsiTheme="minorEastAsia" w:eastAsiaTheme="minorEastAsia" w:cstheme="minorEastAsia"/>
          <w:color w:val="auto"/>
          <w:sz w:val="24"/>
          <w:szCs w:val="24"/>
          <w:highlight w:val="none"/>
          <w:shd w:val="clear" w:color="auto" w:fill="auto"/>
          <w:lang w:val="en-US" w:eastAsia="zh-CN"/>
        </w:rPr>
        <w:t>份，甲方执</w:t>
      </w:r>
      <w:permStart w:id="8" w:edGrp="everyone"/>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w:t>
      </w:r>
      <w:permEnd w:id="8"/>
      <w:r>
        <w:rPr>
          <w:rFonts w:hint="eastAsia" w:asciiTheme="minorEastAsia" w:hAnsiTheme="minorEastAsia" w:eastAsiaTheme="minorEastAsia" w:cstheme="minorEastAsia"/>
          <w:color w:val="auto"/>
          <w:sz w:val="24"/>
          <w:szCs w:val="24"/>
          <w:highlight w:val="none"/>
          <w:shd w:val="clear" w:color="auto" w:fill="auto"/>
          <w:lang w:val="en-US" w:eastAsia="zh-CN"/>
        </w:rPr>
        <w:t>份，乙方执</w:t>
      </w:r>
      <w:permStart w:id="9" w:edGrp="everyone"/>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    </w:t>
      </w:r>
      <w:permEnd w:id="9"/>
      <w:r>
        <w:rPr>
          <w:rFonts w:hint="eastAsia" w:asciiTheme="minorEastAsia" w:hAnsiTheme="minorEastAsia" w:eastAsiaTheme="minorEastAsia" w:cstheme="minorEastAsia"/>
          <w:color w:val="auto"/>
          <w:sz w:val="24"/>
          <w:szCs w:val="24"/>
          <w:highlight w:val="none"/>
          <w:shd w:val="clear" w:color="auto" w:fill="auto"/>
          <w:lang w:val="en-US" w:eastAsia="zh-CN"/>
        </w:rPr>
        <w:t>份，每份均具有同等法律效力</w:t>
      </w:r>
      <w:r>
        <w:rPr>
          <w:rFonts w:hint="eastAsia" w:asciiTheme="minorEastAsia" w:hAnsiTheme="minorEastAsia" w:eastAsiaTheme="minorEastAsia" w:cstheme="minorEastAsia"/>
          <w:color w:val="auto"/>
          <w:sz w:val="24"/>
          <w:szCs w:val="24"/>
          <w:highlight w:val="none"/>
          <w:shd w:val="clear" w:color="auto" w:fill="auto"/>
        </w:rPr>
        <w:t>。</w:t>
      </w:r>
    </w:p>
    <w:p>
      <w:pPr>
        <w:keepNext w:val="0"/>
        <w:keepLines w:val="0"/>
        <w:pageBreakBefore w:val="0"/>
        <w:widowControl w:val="0"/>
        <w:kinsoku/>
        <w:wordWrap/>
        <w:overflowPunct/>
        <w:topLinePunct w:val="0"/>
        <w:snapToGrid/>
        <w:spacing w:line="400" w:lineRule="exact"/>
        <w:ind w:left="0" w:leftChars="0" w:firstLine="482" w:firstLineChars="200"/>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lang w:val="en-US" w:eastAsia="zh-CN"/>
        </w:rPr>
        <w:t>以下无正文</w:t>
      </w:r>
      <w:r>
        <w:rPr>
          <w:rFonts w:hint="eastAsia" w:asciiTheme="minorEastAsia" w:hAnsiTheme="minorEastAsia" w:eastAsiaTheme="minorEastAsia" w:cstheme="minorEastAsia"/>
          <w:b/>
          <w:bCs/>
          <w:sz w:val="24"/>
          <w:szCs w:val="24"/>
          <w:lang w:eastAsia="zh-CN"/>
        </w:rPr>
        <w:t>）</w:t>
      </w:r>
    </w:p>
    <w:p>
      <w:pPr>
        <w:pStyle w:val="2"/>
        <w:keepNext w:val="0"/>
        <w:keepLines w:val="0"/>
        <w:pageBreakBefore w:val="0"/>
        <w:widowControl w:val="0"/>
        <w:kinsoku/>
        <w:wordWrap/>
        <w:overflowPunct/>
        <w:topLinePunct w:val="0"/>
        <w:snapToGrid/>
        <w:spacing w:after="0" w:line="400" w:lineRule="exact"/>
        <w:ind w:left="0" w:leftChars="0" w:firstLine="482"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sz w:val="24"/>
          <w:szCs w:val="24"/>
        </w:rPr>
        <w:t xml:space="preserve">  </w:t>
      </w:r>
    </w:p>
    <w:tbl>
      <w:tblPr>
        <w:tblStyle w:val="6"/>
        <w:tblW w:w="8748" w:type="dxa"/>
        <w:tblInd w:w="0" w:type="dxa"/>
        <w:tblLayout w:type="fixed"/>
        <w:tblCellMar>
          <w:top w:w="0" w:type="dxa"/>
          <w:left w:w="108" w:type="dxa"/>
          <w:bottom w:w="0" w:type="dxa"/>
          <w:right w:w="108" w:type="dxa"/>
        </w:tblCellMar>
      </w:tblPr>
      <w:tblGrid>
        <w:gridCol w:w="4428"/>
        <w:gridCol w:w="4320"/>
      </w:tblGrid>
      <w:tr>
        <w:tblPrEx>
          <w:tblCellMar>
            <w:top w:w="0" w:type="dxa"/>
            <w:left w:w="108" w:type="dxa"/>
            <w:bottom w:w="0" w:type="dxa"/>
            <w:right w:w="108" w:type="dxa"/>
          </w:tblCellMar>
        </w:tblPrEx>
        <w:tc>
          <w:tcPr>
            <w:tcW w:w="4428" w:type="dxa"/>
            <w:vAlign w:val="center"/>
          </w:tcPr>
          <w:p>
            <w:pPr>
              <w:pStyle w:val="8"/>
              <w:autoSpaceDE w:val="0"/>
              <w:autoSpaceDN w:val="0"/>
              <w:spacing w:line="460" w:lineRule="atLeast"/>
              <w:textAlignment w:val="bottom"/>
              <w:rPr>
                <w:rFonts w:hint="eastAsia" w:ascii="Times New Roman"/>
                <w:color w:val="auto"/>
                <w:sz w:val="24"/>
                <w:szCs w:val="24"/>
                <w:highlight w:val="none"/>
                <w:shd w:val="clear" w:color="auto" w:fill="auto"/>
              </w:rPr>
            </w:pPr>
            <w:r>
              <w:rPr>
                <w:rFonts w:hint="eastAsia" w:ascii="Times New Roman"/>
                <w:color w:val="auto"/>
                <w:sz w:val="24"/>
                <w:szCs w:val="24"/>
                <w:highlight w:val="none"/>
                <w:shd w:val="clear" w:color="auto" w:fill="auto"/>
              </w:rPr>
              <w:t>甲方：</w:t>
            </w:r>
            <w:r>
              <w:rPr>
                <w:rFonts w:hint="eastAsia" w:asciiTheme="minorEastAsia" w:hAnsiTheme="minorEastAsia" w:eastAsiaTheme="minorEastAsia" w:cstheme="minorEastAsia"/>
                <w:color w:val="auto"/>
                <w:kern w:val="0"/>
                <w:sz w:val="24"/>
                <w:szCs w:val="24"/>
                <w:highlight w:val="none"/>
                <w:lang w:val="en-US" w:eastAsia="zh-CN" w:bidi="ar-SA"/>
              </w:rPr>
              <w:t>南方电网调峰调频发电有限公司</w:t>
            </w:r>
            <w:r>
              <w:rPr>
                <w:rFonts w:hint="eastAsia" w:asciiTheme="minorEastAsia" w:hAnsiTheme="minorEastAsia" w:cstheme="minorEastAsia"/>
                <w:color w:val="auto"/>
                <w:kern w:val="0"/>
                <w:sz w:val="24"/>
                <w:szCs w:val="24"/>
                <w:highlight w:val="none"/>
                <w:lang w:val="en-US" w:eastAsia="zh-CN" w:bidi="ar-SA"/>
              </w:rPr>
              <w:t>运行</w:t>
            </w:r>
            <w:r>
              <w:rPr>
                <w:rFonts w:hint="eastAsia" w:asciiTheme="minorEastAsia" w:hAnsiTheme="minorEastAsia" w:eastAsiaTheme="minorEastAsia" w:cstheme="minorEastAsia"/>
                <w:color w:val="auto"/>
                <w:kern w:val="0"/>
                <w:sz w:val="24"/>
                <w:szCs w:val="24"/>
                <w:highlight w:val="none"/>
                <w:lang w:val="en-US" w:eastAsia="zh-CN" w:bidi="ar-SA"/>
              </w:rPr>
              <w:t>分公司</w:t>
            </w:r>
          </w:p>
          <w:p>
            <w:pPr>
              <w:pStyle w:val="8"/>
              <w:autoSpaceDE w:val="0"/>
              <w:autoSpaceDN w:val="0"/>
              <w:spacing w:line="460" w:lineRule="atLeast"/>
              <w:textAlignment w:val="bottom"/>
              <w:rPr>
                <w:rFonts w:hint="eastAsia" w:ascii="Times New Roman"/>
                <w:color w:val="auto"/>
                <w:sz w:val="24"/>
                <w:szCs w:val="24"/>
                <w:highlight w:val="none"/>
                <w:shd w:val="clear" w:color="auto" w:fill="auto"/>
              </w:rPr>
            </w:pPr>
          </w:p>
          <w:p>
            <w:pPr>
              <w:pStyle w:val="8"/>
              <w:autoSpaceDE w:val="0"/>
              <w:autoSpaceDN w:val="0"/>
              <w:spacing w:line="460" w:lineRule="atLeast"/>
              <w:textAlignment w:val="bottom"/>
              <w:rPr>
                <w:rFonts w:hint="eastAsia" w:ascii="Times New Roman"/>
                <w:color w:val="auto"/>
                <w:sz w:val="28"/>
                <w:szCs w:val="28"/>
                <w:highlight w:val="none"/>
                <w:shd w:val="clear" w:color="auto" w:fill="auto"/>
              </w:rPr>
            </w:pPr>
            <w:r>
              <w:rPr>
                <w:rFonts w:hint="eastAsia" w:ascii="Times New Roman"/>
                <w:color w:val="auto"/>
                <w:sz w:val="24"/>
                <w:szCs w:val="24"/>
                <w:highlight w:val="none"/>
                <w:shd w:val="clear" w:color="auto" w:fill="auto"/>
              </w:rPr>
              <w:t xml:space="preserve">              （公章）</w:t>
            </w:r>
          </w:p>
        </w:tc>
        <w:tc>
          <w:tcPr>
            <w:tcW w:w="4320" w:type="dxa"/>
            <w:vAlign w:val="center"/>
          </w:tcPr>
          <w:p>
            <w:pPr>
              <w:pStyle w:val="8"/>
              <w:autoSpaceDE w:val="0"/>
              <w:autoSpaceDN w:val="0"/>
              <w:spacing w:line="460" w:lineRule="atLeast"/>
              <w:textAlignment w:val="bottom"/>
              <w:rPr>
                <w:rFonts w:hint="eastAsia" w:ascii="Times New Roman"/>
                <w:color w:val="auto"/>
                <w:sz w:val="24"/>
                <w:szCs w:val="24"/>
                <w:highlight w:val="none"/>
                <w:shd w:val="clear" w:color="auto" w:fill="auto"/>
              </w:rPr>
            </w:pPr>
            <w:r>
              <w:rPr>
                <w:rFonts w:hint="eastAsia" w:ascii="Times New Roman"/>
                <w:color w:val="auto"/>
                <w:sz w:val="24"/>
                <w:szCs w:val="24"/>
                <w:highlight w:val="none"/>
                <w:shd w:val="clear" w:color="auto" w:fill="auto"/>
              </w:rPr>
              <w:t>乙方：</w:t>
            </w:r>
          </w:p>
          <w:p>
            <w:pPr>
              <w:pStyle w:val="8"/>
              <w:autoSpaceDE w:val="0"/>
              <w:autoSpaceDN w:val="0"/>
              <w:spacing w:line="460" w:lineRule="atLeast"/>
              <w:textAlignment w:val="bottom"/>
              <w:rPr>
                <w:rFonts w:hint="eastAsia" w:ascii="Times New Roman"/>
                <w:color w:val="auto"/>
                <w:sz w:val="24"/>
                <w:szCs w:val="24"/>
                <w:highlight w:val="none"/>
                <w:shd w:val="clear" w:color="auto" w:fill="auto"/>
              </w:rPr>
            </w:pPr>
          </w:p>
          <w:p>
            <w:pPr>
              <w:pStyle w:val="8"/>
              <w:autoSpaceDE w:val="0"/>
              <w:autoSpaceDN w:val="0"/>
              <w:spacing w:line="460" w:lineRule="atLeast"/>
              <w:textAlignment w:val="bottom"/>
              <w:rPr>
                <w:rFonts w:hint="eastAsia" w:ascii="Times New Roman"/>
                <w:color w:val="auto"/>
                <w:sz w:val="24"/>
                <w:szCs w:val="24"/>
                <w:highlight w:val="none"/>
                <w:shd w:val="clear" w:color="auto" w:fill="auto"/>
              </w:rPr>
            </w:pPr>
          </w:p>
          <w:p>
            <w:pPr>
              <w:pStyle w:val="8"/>
              <w:autoSpaceDE w:val="0"/>
              <w:autoSpaceDN w:val="0"/>
              <w:spacing w:line="460" w:lineRule="atLeast"/>
              <w:ind w:left="1120" w:hanging="960" w:hangingChars="400"/>
              <w:textAlignment w:val="bottom"/>
              <w:rPr>
                <w:rFonts w:hint="eastAsia" w:ascii="Times New Roman"/>
                <w:color w:val="auto"/>
                <w:sz w:val="28"/>
                <w:szCs w:val="28"/>
                <w:highlight w:val="none"/>
                <w:shd w:val="clear" w:color="auto" w:fill="auto"/>
              </w:rPr>
            </w:pPr>
            <w:r>
              <w:rPr>
                <w:rFonts w:hint="eastAsia" w:ascii="Times New Roman"/>
                <w:color w:val="auto"/>
                <w:sz w:val="24"/>
                <w:szCs w:val="24"/>
                <w:highlight w:val="none"/>
                <w:shd w:val="clear" w:color="auto" w:fill="auto"/>
              </w:rPr>
              <w:t xml:space="preserve">              </w:t>
            </w:r>
            <w:r>
              <w:rPr>
                <w:rFonts w:hint="eastAsia" w:ascii="Times New Roman"/>
                <w:color w:val="auto"/>
                <w:sz w:val="24"/>
                <w:szCs w:val="24"/>
                <w:highlight w:val="none"/>
                <w:shd w:val="clear" w:color="auto" w:fill="auto"/>
                <w:lang w:val="en-US" w:eastAsia="zh-CN"/>
              </w:rPr>
              <w:t xml:space="preserve"> </w:t>
            </w:r>
            <w:r>
              <w:rPr>
                <w:rFonts w:hint="eastAsia" w:ascii="Times New Roman"/>
                <w:color w:val="auto"/>
                <w:sz w:val="24"/>
                <w:szCs w:val="24"/>
                <w:highlight w:val="none"/>
                <w:shd w:val="clear" w:color="auto" w:fill="auto"/>
              </w:rPr>
              <w:t xml:space="preserve">  （公章）</w:t>
            </w:r>
          </w:p>
        </w:tc>
      </w:tr>
      <w:tr>
        <w:tblPrEx>
          <w:tblCellMar>
            <w:top w:w="0" w:type="dxa"/>
            <w:left w:w="108" w:type="dxa"/>
            <w:bottom w:w="0" w:type="dxa"/>
            <w:right w:w="108" w:type="dxa"/>
          </w:tblCellMar>
        </w:tblPrEx>
        <w:tc>
          <w:tcPr>
            <w:tcW w:w="4428" w:type="dxa"/>
            <w:vAlign w:val="center"/>
          </w:tcPr>
          <w:p>
            <w:pPr>
              <w:pStyle w:val="8"/>
              <w:autoSpaceDE w:val="0"/>
              <w:autoSpaceDN w:val="0"/>
              <w:spacing w:line="460" w:lineRule="atLeast"/>
              <w:textAlignment w:val="bottom"/>
              <w:rPr>
                <w:rFonts w:hint="eastAsia" w:ascii="Times New Roman"/>
                <w:color w:val="auto"/>
                <w:sz w:val="24"/>
                <w:szCs w:val="24"/>
                <w:highlight w:val="none"/>
                <w:shd w:val="clear" w:color="auto" w:fill="auto"/>
              </w:rPr>
            </w:pPr>
            <w:r>
              <w:rPr>
                <w:rFonts w:hint="eastAsia" w:ascii="Times New Roman"/>
                <w:color w:val="auto"/>
                <w:sz w:val="24"/>
                <w:szCs w:val="24"/>
                <w:highlight w:val="none"/>
                <w:shd w:val="clear" w:color="auto" w:fill="auto"/>
              </w:rPr>
              <w:t>法定代表人（或委托代理人）：</w:t>
            </w:r>
          </w:p>
          <w:p>
            <w:pPr>
              <w:pStyle w:val="8"/>
              <w:autoSpaceDE w:val="0"/>
              <w:autoSpaceDN w:val="0"/>
              <w:spacing w:line="460" w:lineRule="atLeast"/>
              <w:textAlignment w:val="bottom"/>
              <w:rPr>
                <w:rFonts w:hint="eastAsia" w:ascii="Times New Roman"/>
                <w:color w:val="auto"/>
                <w:sz w:val="24"/>
                <w:szCs w:val="24"/>
                <w:highlight w:val="none"/>
                <w:shd w:val="clear" w:color="auto" w:fill="auto"/>
              </w:rPr>
            </w:pPr>
          </w:p>
          <w:p>
            <w:pPr>
              <w:pStyle w:val="8"/>
              <w:autoSpaceDE w:val="0"/>
              <w:autoSpaceDN w:val="0"/>
              <w:spacing w:line="460" w:lineRule="atLeast"/>
              <w:textAlignment w:val="bottom"/>
              <w:rPr>
                <w:rFonts w:hint="eastAsia" w:ascii="Times New Roman"/>
                <w:color w:val="auto"/>
                <w:sz w:val="24"/>
                <w:szCs w:val="24"/>
                <w:highlight w:val="none"/>
                <w:shd w:val="clear" w:color="auto" w:fill="auto"/>
              </w:rPr>
            </w:pPr>
          </w:p>
          <w:p>
            <w:pPr>
              <w:pStyle w:val="8"/>
              <w:autoSpaceDE w:val="0"/>
              <w:autoSpaceDN w:val="0"/>
              <w:spacing w:line="460" w:lineRule="atLeast"/>
              <w:ind w:firstLine="1680" w:firstLineChars="700"/>
              <w:textAlignment w:val="bottom"/>
              <w:rPr>
                <w:rFonts w:hint="eastAsia" w:ascii="Times New Roman"/>
                <w:color w:val="auto"/>
                <w:sz w:val="24"/>
                <w:szCs w:val="24"/>
                <w:highlight w:val="none"/>
                <w:shd w:val="clear" w:color="auto" w:fill="auto"/>
              </w:rPr>
            </w:pPr>
            <w:r>
              <w:rPr>
                <w:rFonts w:hint="eastAsia" w:asciiTheme="minorEastAsia" w:hAnsiTheme="minorEastAsia" w:eastAsiaTheme="minorEastAsia" w:cstheme="minorEastAsia"/>
                <w:sz w:val="24"/>
                <w:szCs w:val="24"/>
              </w:rPr>
              <w:t>日期：　  年　 月　 日</w:t>
            </w:r>
          </w:p>
        </w:tc>
        <w:tc>
          <w:tcPr>
            <w:tcW w:w="4320" w:type="dxa"/>
            <w:vAlign w:val="center"/>
          </w:tcPr>
          <w:p>
            <w:pPr>
              <w:pStyle w:val="8"/>
              <w:autoSpaceDE w:val="0"/>
              <w:autoSpaceDN w:val="0"/>
              <w:spacing w:line="460" w:lineRule="atLeast"/>
              <w:textAlignment w:val="bottom"/>
              <w:rPr>
                <w:rFonts w:hint="eastAsia" w:ascii="Times New Roman"/>
                <w:color w:val="auto"/>
                <w:sz w:val="24"/>
                <w:szCs w:val="24"/>
                <w:highlight w:val="none"/>
                <w:shd w:val="clear" w:color="auto" w:fill="auto"/>
              </w:rPr>
            </w:pPr>
            <w:r>
              <w:rPr>
                <w:rFonts w:hint="eastAsia" w:ascii="Times New Roman"/>
                <w:color w:val="auto"/>
                <w:sz w:val="24"/>
                <w:szCs w:val="24"/>
                <w:highlight w:val="none"/>
                <w:shd w:val="clear" w:color="auto" w:fill="auto"/>
              </w:rPr>
              <w:t>法定代表人（或委托代理人）：</w:t>
            </w:r>
          </w:p>
          <w:p>
            <w:pPr>
              <w:pStyle w:val="8"/>
              <w:autoSpaceDE w:val="0"/>
              <w:autoSpaceDN w:val="0"/>
              <w:spacing w:line="460" w:lineRule="atLeast"/>
              <w:textAlignment w:val="bottom"/>
              <w:rPr>
                <w:rFonts w:hint="eastAsia" w:ascii="Times New Roman"/>
                <w:color w:val="auto"/>
                <w:sz w:val="24"/>
                <w:szCs w:val="24"/>
                <w:highlight w:val="none"/>
                <w:shd w:val="clear" w:color="auto" w:fill="auto"/>
                <w:lang w:val="en-US" w:eastAsia="zh-CN"/>
              </w:rPr>
            </w:pPr>
            <w:r>
              <w:rPr>
                <w:rFonts w:hint="eastAsia" w:ascii="Times New Roman"/>
                <w:color w:val="auto"/>
                <w:sz w:val="24"/>
                <w:szCs w:val="24"/>
                <w:highlight w:val="none"/>
                <w:shd w:val="clear" w:color="auto" w:fill="auto"/>
                <w:lang w:val="en-US" w:eastAsia="zh-CN"/>
              </w:rPr>
              <w:t xml:space="preserve"> </w:t>
            </w:r>
          </w:p>
          <w:p>
            <w:pPr>
              <w:pStyle w:val="8"/>
              <w:autoSpaceDE w:val="0"/>
              <w:autoSpaceDN w:val="0"/>
              <w:spacing w:line="460" w:lineRule="atLeast"/>
              <w:textAlignment w:val="bottom"/>
              <w:rPr>
                <w:rFonts w:hint="eastAsia" w:ascii="Times New Roman"/>
                <w:color w:val="auto"/>
                <w:sz w:val="24"/>
                <w:szCs w:val="24"/>
                <w:highlight w:val="none"/>
                <w:shd w:val="clear" w:color="auto" w:fill="auto"/>
                <w:lang w:val="en-US" w:eastAsia="zh-CN"/>
              </w:rPr>
            </w:pPr>
          </w:p>
          <w:p>
            <w:pPr>
              <w:pStyle w:val="8"/>
              <w:autoSpaceDE w:val="0"/>
              <w:autoSpaceDN w:val="0"/>
              <w:spacing w:line="460" w:lineRule="atLeast"/>
              <w:ind w:firstLine="1440" w:firstLineChars="600"/>
              <w:textAlignment w:val="bottom"/>
              <w:rPr>
                <w:rFonts w:hint="eastAsia" w:ascii="Times New Roman"/>
                <w:color w:val="auto"/>
                <w:sz w:val="24"/>
                <w:szCs w:val="24"/>
                <w:highlight w:val="none"/>
                <w:shd w:val="clear" w:color="auto" w:fill="auto"/>
              </w:rPr>
            </w:pPr>
            <w:r>
              <w:rPr>
                <w:rFonts w:hint="eastAsia" w:asciiTheme="minorEastAsia" w:hAnsiTheme="minorEastAsia" w:eastAsiaTheme="minorEastAsia" w:cstheme="minorEastAsia"/>
                <w:sz w:val="24"/>
                <w:szCs w:val="24"/>
              </w:rPr>
              <w:t>日期：　  年　 月　 日</w:t>
            </w:r>
          </w:p>
        </w:tc>
      </w:tr>
    </w:tbl>
    <w:p>
      <w:pPr>
        <w:pStyle w:val="2"/>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04CC6"/>
    <w:rsid w:val="01B2785D"/>
    <w:rsid w:val="04942840"/>
    <w:rsid w:val="05977F45"/>
    <w:rsid w:val="0C7E3550"/>
    <w:rsid w:val="0E0C123B"/>
    <w:rsid w:val="10400EBD"/>
    <w:rsid w:val="11DE690A"/>
    <w:rsid w:val="12797A52"/>
    <w:rsid w:val="154C4961"/>
    <w:rsid w:val="158B3FFD"/>
    <w:rsid w:val="17E70043"/>
    <w:rsid w:val="197874D5"/>
    <w:rsid w:val="1A5D2D2A"/>
    <w:rsid w:val="1BE31B4D"/>
    <w:rsid w:val="1CA51CE3"/>
    <w:rsid w:val="1DFA40A5"/>
    <w:rsid w:val="1E943532"/>
    <w:rsid w:val="206A1B51"/>
    <w:rsid w:val="208600ED"/>
    <w:rsid w:val="21057C10"/>
    <w:rsid w:val="21976941"/>
    <w:rsid w:val="21D729E4"/>
    <w:rsid w:val="234157E7"/>
    <w:rsid w:val="234C5BD4"/>
    <w:rsid w:val="23EB48FC"/>
    <w:rsid w:val="24022C3B"/>
    <w:rsid w:val="24857DC0"/>
    <w:rsid w:val="25034B27"/>
    <w:rsid w:val="253E2185"/>
    <w:rsid w:val="262421C2"/>
    <w:rsid w:val="267A49BB"/>
    <w:rsid w:val="27351C9F"/>
    <w:rsid w:val="27604AC3"/>
    <w:rsid w:val="27C022BE"/>
    <w:rsid w:val="27DC1A54"/>
    <w:rsid w:val="27FC40A3"/>
    <w:rsid w:val="2D7259C8"/>
    <w:rsid w:val="316E2FA4"/>
    <w:rsid w:val="31B860A4"/>
    <w:rsid w:val="33C95381"/>
    <w:rsid w:val="358E147D"/>
    <w:rsid w:val="35C32932"/>
    <w:rsid w:val="35EB6F69"/>
    <w:rsid w:val="382F415D"/>
    <w:rsid w:val="38F85F83"/>
    <w:rsid w:val="39F57D02"/>
    <w:rsid w:val="3B2426A8"/>
    <w:rsid w:val="3B274AF1"/>
    <w:rsid w:val="3B5877A9"/>
    <w:rsid w:val="3B8E6908"/>
    <w:rsid w:val="3C2C34EA"/>
    <w:rsid w:val="3C8D45D7"/>
    <w:rsid w:val="3CC30CCF"/>
    <w:rsid w:val="3D7569F0"/>
    <w:rsid w:val="3E6E5881"/>
    <w:rsid w:val="3FC633A6"/>
    <w:rsid w:val="402F40FE"/>
    <w:rsid w:val="42DE68DE"/>
    <w:rsid w:val="42EB0816"/>
    <w:rsid w:val="44614BA9"/>
    <w:rsid w:val="4852756B"/>
    <w:rsid w:val="4A1B3CF4"/>
    <w:rsid w:val="4B6B5C72"/>
    <w:rsid w:val="4DFA14E4"/>
    <w:rsid w:val="4E397426"/>
    <w:rsid w:val="4F6F4182"/>
    <w:rsid w:val="4F994891"/>
    <w:rsid w:val="505F2C85"/>
    <w:rsid w:val="50A61F06"/>
    <w:rsid w:val="51B8062B"/>
    <w:rsid w:val="552250A5"/>
    <w:rsid w:val="552C3357"/>
    <w:rsid w:val="558B1258"/>
    <w:rsid w:val="59254FFB"/>
    <w:rsid w:val="5A2947D7"/>
    <w:rsid w:val="5BE85056"/>
    <w:rsid w:val="5D230141"/>
    <w:rsid w:val="5EB44A1C"/>
    <w:rsid w:val="5FD43B01"/>
    <w:rsid w:val="613D3AD7"/>
    <w:rsid w:val="6213727B"/>
    <w:rsid w:val="64257DD3"/>
    <w:rsid w:val="64687F23"/>
    <w:rsid w:val="66406995"/>
    <w:rsid w:val="66AB6F3F"/>
    <w:rsid w:val="67810175"/>
    <w:rsid w:val="69A31B87"/>
    <w:rsid w:val="6A267421"/>
    <w:rsid w:val="6A3E75E2"/>
    <w:rsid w:val="6C5C3EF7"/>
    <w:rsid w:val="6D031431"/>
    <w:rsid w:val="6E614A39"/>
    <w:rsid w:val="6F74382A"/>
    <w:rsid w:val="70A66C8A"/>
    <w:rsid w:val="71786C85"/>
    <w:rsid w:val="71CD4A41"/>
    <w:rsid w:val="71E46E68"/>
    <w:rsid w:val="72AF676E"/>
    <w:rsid w:val="77386BFA"/>
    <w:rsid w:val="774573D8"/>
    <w:rsid w:val="7A600CC6"/>
    <w:rsid w:val="7A7D2A50"/>
    <w:rsid w:val="7A943FA4"/>
    <w:rsid w:val="7ACD1D04"/>
    <w:rsid w:val="7DA43FC2"/>
    <w:rsid w:val="7E3F446B"/>
    <w:rsid w:val="7E79234F"/>
    <w:rsid w:val="7E9D7C7C"/>
    <w:rsid w:val="7F2725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spacing w:before="340" w:after="330" w:line="576" w:lineRule="auto"/>
      <w:outlineLvl w:val="0"/>
    </w:pPr>
    <w:rPr>
      <w:b/>
      <w:bCs/>
      <w:kern w:val="44"/>
      <w:sz w:val="44"/>
      <w:szCs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pPr>
    <w:rPr>
      <w:rFonts w:ascii="Times New Roman" w:hAnsi="Times New Roman" w:eastAsia="宋体" w:cs="Times New Roman"/>
      <w:szCs w:val="24"/>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Body Text Indent"/>
    <w:basedOn w:val="1"/>
    <w:qFormat/>
    <w:uiPriority w:val="0"/>
    <w:pPr>
      <w:autoSpaceDE w:val="0"/>
      <w:autoSpaceDN w:val="0"/>
      <w:adjustRightInd w:val="0"/>
      <w:spacing w:before="120"/>
      <w:ind w:firstLine="454"/>
      <w:textAlignment w:val="baseline"/>
    </w:pPr>
    <w:rPr>
      <w:rFonts w:ascii="Times New Roman" w:hAnsi="Times New Roman" w:eastAsia="宋体" w:cs="Times New Roman"/>
      <w:kern w:val="0"/>
      <w:sz w:val="24"/>
      <w:szCs w:val="20"/>
    </w:rPr>
  </w:style>
  <w:style w:type="paragraph" w:customStyle="1" w:styleId="8">
    <w:name w:val="Plain Text1"/>
    <w:basedOn w:val="1"/>
    <w:qFormat/>
    <w:uiPriority w:val="0"/>
    <w:pPr>
      <w:adjustRightInd w:val="0"/>
      <w:textAlignment w:val="baseline"/>
    </w:pPr>
    <w:rPr>
      <w:rFonts w:ascii="宋体"/>
      <w:kern w:val="0"/>
      <w:sz w:val="24"/>
      <w:szCs w:val="20"/>
    </w:rPr>
  </w:style>
  <w:style w:type="paragraph" w:customStyle="1" w:styleId="9">
    <w:name w:val="章标题"/>
    <w:next w:val="1"/>
    <w:qFormat/>
    <w:uiPriority w:val="0"/>
    <w:pPr>
      <w:spacing w:beforeLines="100"/>
      <w:ind w:left="840" w:hanging="420"/>
      <w:jc w:val="both"/>
      <w:outlineLvl w:val="1"/>
    </w:pPr>
    <w:rPr>
      <w:rFonts w:ascii="黑体" w:hAnsi="Times New Roman" w:eastAsia="黑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2172</Words>
  <Characters>2263</Characters>
  <Lines>0</Lines>
  <Paragraphs>0</Paragraphs>
  <TotalTime>23</TotalTime>
  <ScaleCrop>false</ScaleCrop>
  <LinksUpToDate>false</LinksUpToDate>
  <CharactersWithSpaces>2393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2019-12-31T03:37:00Z</dcterms:created>
  <dc:creator>Administrator</dc:creator>
  <cp:lastModifiedBy>18302</cp:lastModifiedBy>
  <cp:lastPrinted>2022-02-24T05:38:00Z</cp:lastPrinted>
  <dcterms:modified xsi:type="dcterms:W3CDTF">2025-11-20T08:47:07Z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1F598DA471C24D268893F4CD0D3308E5</vt:lpwstr>
  </property>
  <property fmtid="{D5CDD505-2E9C-101B-9397-08002B2CF9AE}" pid="4" name="KSOTemplateDocerSaveRecord">
    <vt:lpwstr>eyJoZGlkIjoiMjQwZjhjNzczMTAyYTYyZDljNTMyMWNhZjU2ZDA0NzMiLCJ1c2VySWQiOiI1MjE1MzY1NDAifQ==</vt:lpwstr>
  </property>
</Properties>
</file>