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napToGrid w:val="0"/>
        <w:spacing w:before="0" w:after="0" w:line="360" w:lineRule="auto"/>
        <w:ind w:firstLine="0" w:firstLineChars="0"/>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配电多模态智能值守机器人</w:t>
      </w:r>
      <w:r>
        <w:rPr>
          <w:rFonts w:ascii="Times New Roman" w:hAnsi="Times New Roman" w:eastAsia="宋体" w:cs="Times New Roman"/>
          <w:sz w:val="32"/>
          <w:szCs w:val="32"/>
        </w:rPr>
        <w:t xml:space="preserve"> </w:t>
      </w:r>
    </w:p>
    <w:p>
      <w:pPr>
        <w:pStyle w:val="3"/>
        <w:snapToGrid w:val="0"/>
        <w:spacing w:before="0" w:after="0" w:line="360" w:lineRule="auto"/>
        <w:ind w:firstLine="0" w:firstLineChars="0"/>
        <w:jc w:val="center"/>
        <w:rPr>
          <w:rFonts w:ascii="Times New Roman" w:hAnsi="Times New Roman" w:eastAsia="宋体" w:cs="Times New Roman"/>
          <w:sz w:val="32"/>
          <w:szCs w:val="32"/>
        </w:rPr>
      </w:pPr>
      <w:r>
        <w:rPr>
          <w:rFonts w:ascii="Times New Roman" w:hAnsi="Times New Roman" w:eastAsia="宋体" w:cs="Times New Roman"/>
          <w:sz w:val="32"/>
          <w:szCs w:val="32"/>
        </w:rPr>
        <w:t>零星采购技术规范书</w:t>
      </w:r>
    </w:p>
    <w:p>
      <w:pPr>
        <w:pStyle w:val="4"/>
        <w:snapToGrid w:val="0"/>
        <w:spacing w:before="0" w:after="0" w:line="360" w:lineRule="auto"/>
        <w:rPr>
          <w:rFonts w:ascii="Times New Roman" w:hAnsi="Times New Roman" w:eastAsia="宋体" w:cs="Times New Roman"/>
          <w:szCs w:val="28"/>
        </w:rPr>
      </w:pPr>
      <w:bookmarkStart w:id="3" w:name="_GoBack"/>
      <w:r>
        <w:rPr>
          <w:rFonts w:hint="eastAsia" w:ascii="Times New Roman" w:hAnsi="Times New Roman" w:eastAsia="宋体" w:cs="Times New Roman"/>
          <w:szCs w:val="28"/>
        </w:rPr>
        <w:t>一、项目内容</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2025年正值我国电力可靠性管理推行四十周年，供电可靠性实现从无序停电到分钟级保障的历史性跨越。在用户对用电质量要求持续升级的背景下，电力设备全时域运行保障能力</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已成为行业刚需。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传统人工巡检受限于长周期机制（</w:t>
      </w:r>
      <w:r>
        <w:rPr>
          <w:rFonts w:hint="default" w:ascii="Times New Roman" w:hAnsi="Times New Roman" w:cs="Times New Roman" w:eastAsiaTheme="minorEastAsia"/>
          <w:kern w:val="2"/>
          <w:sz w:val="28"/>
          <w:szCs w:val="28"/>
          <w:lang w:val="en-US" w:eastAsia="zh-CN" w:bidi="ar-SA"/>
        </w:rPr>
        <w:t>1-4</w:t>
      </w:r>
      <w:r>
        <w:rPr>
          <w:rFonts w:hint="eastAsia" w:ascii="Times New Roman" w:hAnsi="Times New Roman" w:cs="Times New Roman" w:eastAsiaTheme="minorEastAsia"/>
          <w:kern w:val="2"/>
          <w:sz w:val="28"/>
          <w:szCs w:val="28"/>
          <w:lang w:val="en-US" w:eastAsia="zh-CN" w:bidi="ar-SA"/>
        </w:rPr>
        <w:t>月</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次），存在三大瓶颈：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1.</w:t>
      </w:r>
      <w:r>
        <w:rPr>
          <w:rFonts w:hint="eastAsia" w:ascii="Times New Roman" w:hAnsi="Times New Roman" w:cs="Times New Roman" w:eastAsiaTheme="minorEastAsia"/>
          <w:kern w:val="2"/>
          <w:sz w:val="28"/>
          <w:szCs w:val="28"/>
          <w:lang w:val="en-US" w:eastAsia="zh-CN" w:bidi="ar-SA"/>
        </w:rPr>
        <w:t>响应迟滞：突发性状态劣化无法实时捕获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2. </w:t>
      </w:r>
      <w:r>
        <w:rPr>
          <w:rFonts w:hint="eastAsia" w:ascii="Times New Roman" w:hAnsi="Times New Roman" w:cs="Times New Roman" w:eastAsiaTheme="minorEastAsia"/>
          <w:kern w:val="2"/>
          <w:sz w:val="28"/>
          <w:szCs w:val="28"/>
          <w:lang w:val="en-US" w:eastAsia="zh-CN" w:bidi="ar-SA"/>
        </w:rPr>
        <w:t>感知局限：声</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热</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振等多物理场难以同步监测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3. </w:t>
      </w:r>
      <w:r>
        <w:rPr>
          <w:rFonts w:hint="eastAsia" w:ascii="Times New Roman" w:hAnsi="Times New Roman" w:cs="Times New Roman" w:eastAsiaTheme="minorEastAsia"/>
          <w:kern w:val="2"/>
          <w:sz w:val="28"/>
          <w:szCs w:val="28"/>
          <w:lang w:val="en-US" w:eastAsia="zh-CN" w:bidi="ar-SA"/>
        </w:rPr>
        <w:t>数据孤岛：离散检测导致故障预测链条断裂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本项目的箱柜式多态势感知装置，通过构建</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全天候</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多维度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智能诊断</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三维监测体系，在关键电力设施场景中实现：</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1.</w:t>
      </w:r>
      <w:r>
        <w:rPr>
          <w:rFonts w:hint="eastAsia" w:ascii="Times New Roman" w:hAnsi="Times New Roman" w:cs="Times New Roman" w:eastAsiaTheme="minorEastAsia"/>
          <w:kern w:val="2"/>
          <w:sz w:val="28"/>
          <w:szCs w:val="28"/>
          <w:lang w:val="en-US" w:eastAsia="zh-CN" w:bidi="ar-SA"/>
        </w:rPr>
        <w:t>开关站 ：替代人工巡检频次， 异常响应提速</w:t>
      </w:r>
      <w:r>
        <w:rPr>
          <w:rFonts w:hint="default" w:ascii="Times New Roman" w:hAnsi="Times New Roman" w:cs="Times New Roman" w:eastAsiaTheme="minorEastAsia"/>
          <w:kern w:val="2"/>
          <w:sz w:val="28"/>
          <w:szCs w:val="28"/>
          <w:lang w:val="en-US" w:eastAsia="zh-CN" w:bidi="ar-SA"/>
        </w:rPr>
        <w:t>80%</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w:t>
      </w:r>
      <w:r>
        <w:rPr>
          <w:rFonts w:hint="eastAsia" w:ascii="Times New Roman" w:hAnsi="Times New Roman" w:cs="Times New Roman" w:eastAsiaTheme="minorEastAsia"/>
          <w:kern w:val="2"/>
          <w:sz w:val="28"/>
          <w:szCs w:val="28"/>
          <w:lang w:val="en-US" w:eastAsia="zh-CN" w:bidi="ar-SA"/>
        </w:rPr>
        <w:t>电缆分接箱：融合局放</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温度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水浸多维感知， 故障预警准确率</w:t>
      </w:r>
      <w:r>
        <w:rPr>
          <w:rFonts w:hint="default" w:ascii="Times New Roman" w:hAnsi="Times New Roman" w:cs="Times New Roman" w:eastAsiaTheme="minorEastAsia"/>
          <w:kern w:val="2"/>
          <w:sz w:val="28"/>
          <w:szCs w:val="28"/>
          <w:lang w:val="en-US" w:eastAsia="zh-CN" w:bidi="ar-SA"/>
        </w:rPr>
        <w:t>&gt;92%</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3.</w:t>
      </w:r>
      <w:r>
        <w:rPr>
          <w:rFonts w:hint="eastAsia" w:ascii="Times New Roman" w:hAnsi="Times New Roman" w:cs="Times New Roman" w:eastAsiaTheme="minorEastAsia"/>
          <w:kern w:val="2"/>
          <w:sz w:val="28"/>
          <w:szCs w:val="28"/>
          <w:lang w:val="en-US" w:eastAsia="zh-CN" w:bidi="ar-SA"/>
        </w:rPr>
        <w:t>配电变压器：振动</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红外</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气体复合诊断 ，维护成本降低</w:t>
      </w:r>
      <w:r>
        <w:rPr>
          <w:rFonts w:hint="default" w:ascii="Times New Roman" w:hAnsi="Times New Roman" w:cs="Times New Roman" w:eastAsiaTheme="minorEastAsia"/>
          <w:kern w:val="2"/>
          <w:sz w:val="28"/>
          <w:szCs w:val="28"/>
          <w:lang w:val="en-US" w:eastAsia="zh-CN" w:bidi="ar-SA"/>
        </w:rPr>
        <w:t>40%</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4.</w:t>
      </w:r>
      <w:r>
        <w:rPr>
          <w:rFonts w:hint="eastAsia" w:ascii="Times New Roman" w:hAnsi="Times New Roman" w:cs="Times New Roman" w:eastAsiaTheme="minorEastAsia"/>
          <w:kern w:val="2"/>
          <w:sz w:val="28"/>
          <w:szCs w:val="28"/>
          <w:lang w:val="en-US" w:eastAsia="zh-CN" w:bidi="ar-SA"/>
        </w:rPr>
        <w:t>传统巡检单点检测成本约</w:t>
      </w:r>
      <w:r>
        <w:rPr>
          <w:rFonts w:hint="default" w:ascii="Times New Roman" w:hAnsi="Times New Roman" w:cs="Times New Roman" w:eastAsiaTheme="minorEastAsia"/>
          <w:kern w:val="2"/>
          <w:sz w:val="28"/>
          <w:szCs w:val="28"/>
          <w:lang w:val="en-US" w:eastAsia="zh-CN" w:bidi="ar-SA"/>
        </w:rPr>
        <w:t>¥200/</w:t>
      </w:r>
      <w:r>
        <w:rPr>
          <w:rFonts w:hint="eastAsia" w:ascii="Times New Roman" w:hAnsi="Times New Roman" w:cs="Times New Roman" w:eastAsiaTheme="minorEastAsia"/>
          <w:kern w:val="2"/>
          <w:sz w:val="28"/>
          <w:szCs w:val="28"/>
          <w:lang w:val="en-US" w:eastAsia="zh-CN" w:bidi="ar-SA"/>
        </w:rPr>
        <w:t>次（含人工、车辆），而本装置单柜年运维成本仅</w:t>
      </w:r>
      <w:r>
        <w:rPr>
          <w:rFonts w:hint="default" w:ascii="Times New Roman" w:hAnsi="Times New Roman" w:cs="Times New Roman" w:eastAsiaTheme="minorEastAsia"/>
          <w:kern w:val="2"/>
          <w:sz w:val="28"/>
          <w:szCs w:val="28"/>
          <w:lang w:val="en-US" w:eastAsia="zh-CN" w:bidi="ar-SA"/>
        </w:rPr>
        <w:t>¥50</w:t>
      </w:r>
      <w:r>
        <w:rPr>
          <w:rFonts w:hint="eastAsia" w:ascii="Times New Roman" w:hAnsi="Times New Roman" w:cs="Times New Roman" w:eastAsiaTheme="minorEastAsia"/>
          <w:kern w:val="2"/>
          <w:sz w:val="28"/>
          <w:szCs w:val="28"/>
          <w:lang w:val="en-US" w:eastAsia="zh-CN" w:bidi="ar-SA"/>
        </w:rPr>
        <w:t>，且监测维度提升</w:t>
      </w:r>
      <w:r>
        <w:rPr>
          <w:rFonts w:hint="default" w:ascii="Times New Roman" w:hAnsi="Times New Roman" w:cs="Times New Roman" w:eastAsiaTheme="minorEastAsia"/>
          <w:kern w:val="2"/>
          <w:sz w:val="28"/>
          <w:szCs w:val="28"/>
          <w:lang w:val="en-US" w:eastAsia="zh-CN" w:bidi="ar-SA"/>
        </w:rPr>
        <w:t>400%</w:t>
      </w:r>
      <w:r>
        <w:rPr>
          <w:rFonts w:hint="eastAsia" w:ascii="Times New Roman" w:hAnsi="Times New Roman" w:cs="Times New Roman" w:eastAsiaTheme="minorEastAsia"/>
          <w:kern w:val="2"/>
          <w:sz w:val="28"/>
          <w:szCs w:val="28"/>
          <w:lang w:val="en-US" w:eastAsia="zh-CN" w:bidi="ar-SA"/>
        </w:rPr>
        <w:t>，大幅实现降本增效。</w:t>
      </w:r>
    </w:p>
    <w:p>
      <w:pPr>
        <w:pStyle w:val="4"/>
        <w:snapToGrid w:val="0"/>
        <w:spacing w:before="0" w:after="0" w:line="360" w:lineRule="auto"/>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二、项目采用的技术原理</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系统采用三层智能处理架构实现多模态态势感知，技术流程如下：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1.</w:t>
      </w:r>
      <w:r>
        <w:rPr>
          <w:rFonts w:hint="default" w:ascii="Times New Roman" w:hAnsi="Times New Roman" w:cs="Times New Roman" w:eastAsiaTheme="minorEastAsia"/>
          <w:kern w:val="2"/>
          <w:sz w:val="28"/>
          <w:szCs w:val="28"/>
          <w:lang w:val="en-US" w:eastAsia="zh-CN" w:bidi="ar-SA"/>
        </w:rPr>
        <w:t> </w:t>
      </w:r>
      <w:r>
        <w:rPr>
          <w:rFonts w:hint="eastAsia" w:ascii="Times New Roman" w:hAnsi="Times New Roman" w:cs="Times New Roman" w:eastAsiaTheme="minorEastAsia"/>
          <w:kern w:val="2"/>
          <w:sz w:val="28"/>
          <w:szCs w:val="28"/>
          <w:lang w:val="en-US" w:eastAsia="zh-CN" w:bidi="ar-SA"/>
        </w:rPr>
        <w:t>数据采集层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多模态传感矩阵：部署高精度声学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红外</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气体</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振动传感器阵列，采集设备运行原始模拟信号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信号调理电路：采用带</w:t>
      </w:r>
      <w:r>
        <w:rPr>
          <w:rFonts w:hint="default" w:ascii="Times New Roman" w:hAnsi="Times New Roman" w:cs="Times New Roman" w:eastAsiaTheme="minorEastAsia"/>
          <w:kern w:val="2"/>
          <w:sz w:val="28"/>
          <w:szCs w:val="28"/>
          <w:lang w:val="en-US" w:eastAsia="zh-CN" w:bidi="ar-SA"/>
        </w:rPr>
        <w:t>EMC</w:t>
      </w:r>
      <w:r>
        <w:rPr>
          <w:rFonts w:hint="eastAsia" w:ascii="Times New Roman" w:hAnsi="Times New Roman" w:cs="Times New Roman" w:eastAsiaTheme="minorEastAsia"/>
          <w:kern w:val="2"/>
          <w:sz w:val="28"/>
          <w:szCs w:val="28"/>
          <w:lang w:val="en-US" w:eastAsia="zh-CN" w:bidi="ar-SA"/>
        </w:rPr>
        <w:t>防护的调理电路（滤波带宽</w:t>
      </w:r>
      <w:r>
        <w:rPr>
          <w:rFonts w:hint="default" w:ascii="Times New Roman" w:hAnsi="Times New Roman" w:cs="Times New Roman" w:eastAsiaTheme="minorEastAsia"/>
          <w:kern w:val="2"/>
          <w:sz w:val="28"/>
          <w:szCs w:val="28"/>
          <w:lang w:val="en-US" w:eastAsia="zh-CN" w:bidi="ar-SA"/>
        </w:rPr>
        <w:t>0.1-1kHz</w:t>
      </w:r>
      <w:r>
        <w:rPr>
          <w:rFonts w:hint="eastAsia" w:ascii="Times New Roman" w:hAnsi="Times New Roman" w:cs="Times New Roman" w:eastAsiaTheme="minorEastAsia"/>
          <w:kern w:val="2"/>
          <w:sz w:val="28"/>
          <w:szCs w:val="28"/>
          <w:lang w:val="en-US" w:eastAsia="zh-CN" w:bidi="ar-SA"/>
        </w:rPr>
        <w:t>，共模抑制比</w:t>
      </w:r>
      <w:r>
        <w:rPr>
          <w:rFonts w:hint="default" w:ascii="Times New Roman" w:hAnsi="Times New Roman" w:cs="Times New Roman" w:eastAsiaTheme="minorEastAsia"/>
          <w:kern w:val="2"/>
          <w:sz w:val="28"/>
          <w:szCs w:val="28"/>
          <w:lang w:val="en-US" w:eastAsia="zh-CN" w:bidi="ar-SA"/>
        </w:rPr>
        <w:t>&gt;90dB</w:t>
      </w:r>
      <w:r>
        <w:rPr>
          <w:rFonts w:hint="eastAsia" w:ascii="Times New Roman" w:hAnsi="Times New Roman" w:cs="Times New Roman" w:eastAsiaTheme="minorEastAsia"/>
          <w:kern w:val="2"/>
          <w:sz w:val="28"/>
          <w:szCs w:val="28"/>
          <w:lang w:val="en-US" w:eastAsia="zh-CN" w:bidi="ar-SA"/>
        </w:rPr>
        <w:t>），完成信号放大、噪声隔离及阻抗匹配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边缘接入：通过</w:t>
      </w:r>
      <w:r>
        <w:rPr>
          <w:rFonts w:hint="default" w:ascii="Times New Roman" w:hAnsi="Times New Roman" w:cs="Times New Roman" w:eastAsiaTheme="minorEastAsia"/>
          <w:kern w:val="2"/>
          <w:sz w:val="28"/>
          <w:szCs w:val="28"/>
          <w:lang w:val="en-US" w:eastAsia="zh-CN" w:bidi="ar-SA"/>
        </w:rPr>
        <w:t>24</w:t>
      </w:r>
      <w:r>
        <w:rPr>
          <w:rFonts w:hint="eastAsia" w:ascii="Times New Roman" w:hAnsi="Times New Roman" w:cs="Times New Roman" w:eastAsiaTheme="minorEastAsia"/>
          <w:kern w:val="2"/>
          <w:sz w:val="28"/>
          <w:szCs w:val="28"/>
          <w:lang w:val="en-US" w:eastAsia="zh-CN" w:bidi="ar-SA"/>
        </w:rPr>
        <w:t>位</w:t>
      </w:r>
      <w:r>
        <w:rPr>
          <w:rFonts w:hint="default" w:ascii="Times New Roman" w:hAnsi="Times New Roman" w:cs="Times New Roman" w:eastAsiaTheme="minorEastAsia"/>
          <w:kern w:val="2"/>
          <w:sz w:val="28"/>
          <w:szCs w:val="28"/>
          <w:lang w:val="en-US" w:eastAsia="zh-CN" w:bidi="ar-SA"/>
        </w:rPr>
        <w:t>ADC</w:t>
      </w:r>
      <w:r>
        <w:rPr>
          <w:rFonts w:hint="eastAsia" w:ascii="Times New Roman" w:hAnsi="Times New Roman" w:cs="Times New Roman" w:eastAsiaTheme="minorEastAsia"/>
          <w:kern w:val="2"/>
          <w:sz w:val="28"/>
          <w:szCs w:val="28"/>
          <w:lang w:val="en-US" w:eastAsia="zh-CN" w:bidi="ar-SA"/>
        </w:rPr>
        <w:t>将调理后信号转换为数字流，传输至边缘计算单元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2. </w:t>
      </w:r>
      <w:r>
        <w:rPr>
          <w:rFonts w:hint="eastAsia" w:ascii="Times New Roman" w:hAnsi="Times New Roman" w:cs="Times New Roman" w:eastAsiaTheme="minorEastAsia"/>
          <w:kern w:val="2"/>
          <w:sz w:val="28"/>
          <w:szCs w:val="28"/>
          <w:lang w:val="en-US" w:eastAsia="zh-CN" w:bidi="ar-SA"/>
        </w:rPr>
        <w:t>智能分析层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实时数据处理：基于轻量级流处理框架（</w:t>
      </w:r>
      <w:r>
        <w:rPr>
          <w:rFonts w:hint="default" w:ascii="Times New Roman" w:hAnsi="Times New Roman" w:cs="Times New Roman" w:eastAsiaTheme="minorEastAsia"/>
          <w:kern w:val="2"/>
          <w:sz w:val="28"/>
          <w:szCs w:val="28"/>
          <w:lang w:val="en-US" w:eastAsia="zh-CN" w:bidi="ar-SA"/>
        </w:rPr>
        <w:t>Apache Flink</w:t>
      </w:r>
      <w:r>
        <w:rPr>
          <w:rFonts w:hint="eastAsia" w:ascii="Times New Roman" w:hAnsi="Times New Roman" w:cs="Times New Roman" w:eastAsiaTheme="minorEastAsia"/>
          <w:kern w:val="2"/>
          <w:sz w:val="28"/>
          <w:szCs w:val="28"/>
          <w:lang w:val="en-US" w:eastAsia="zh-CN" w:bidi="ar-SA"/>
        </w:rPr>
        <w:t>嵌入式版），实现</w:t>
      </w:r>
      <w:r>
        <w:rPr>
          <w:rFonts w:hint="default" w:ascii="Times New Roman" w:hAnsi="Times New Roman" w:cs="Times New Roman" w:eastAsiaTheme="minorEastAsia"/>
          <w:kern w:val="2"/>
          <w:sz w:val="28"/>
          <w:szCs w:val="28"/>
          <w:lang w:val="en-US" w:eastAsia="zh-CN" w:bidi="ar-SA"/>
        </w:rPr>
        <w:t>8</w:t>
      </w:r>
      <w:r>
        <w:rPr>
          <w:rFonts w:hint="eastAsia" w:ascii="Times New Roman" w:hAnsi="Times New Roman" w:cs="Times New Roman" w:eastAsiaTheme="minorEastAsia"/>
          <w:kern w:val="2"/>
          <w:sz w:val="28"/>
          <w:szCs w:val="28"/>
          <w:lang w:val="en-US" w:eastAsia="zh-CN" w:bidi="ar-SA"/>
        </w:rPr>
        <w:t>通道数据并行处理（时延</w:t>
      </w:r>
      <w:r>
        <w:rPr>
          <w:rFonts w:hint="default" w:ascii="Times New Roman" w:hAnsi="Times New Roman" w:cs="Times New Roman" w:eastAsiaTheme="minorEastAsia"/>
          <w:kern w:val="2"/>
          <w:sz w:val="28"/>
          <w:szCs w:val="28"/>
          <w:lang w:val="en-US" w:eastAsia="zh-CN" w:bidi="ar-SA"/>
        </w:rPr>
        <w:t>&lt;50ms</w:t>
      </w:r>
      <w:r>
        <w:rPr>
          <w:rFonts w:hint="eastAsia" w:ascii="Times New Roman" w:hAnsi="Times New Roman" w:cs="Times New Roman" w:eastAsiaTheme="minorEastAsia"/>
          <w:kern w:val="2"/>
          <w:sz w:val="28"/>
          <w:szCs w:val="28"/>
          <w:lang w:val="en-US" w:eastAsia="zh-CN" w:bidi="ar-SA"/>
        </w:rPr>
        <w:t>）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 xml:space="preserve"> LSTM</w:t>
      </w:r>
      <w:r>
        <w:rPr>
          <w:rFonts w:hint="eastAsia" w:ascii="Times New Roman" w:hAnsi="Times New Roman" w:cs="Times New Roman" w:eastAsiaTheme="minorEastAsia"/>
          <w:kern w:val="2"/>
          <w:sz w:val="28"/>
          <w:szCs w:val="28"/>
          <w:lang w:val="en-US" w:eastAsia="zh-CN" w:bidi="ar-SA"/>
        </w:rPr>
        <w:t>异常预测：构建时空特征矩阵输入预测模型（隐藏层</w:t>
      </w:r>
      <w:r>
        <w:rPr>
          <w:rFonts w:hint="default" w:ascii="Times New Roman" w:hAnsi="Times New Roman" w:cs="Times New Roman" w:eastAsiaTheme="minorEastAsia"/>
          <w:kern w:val="2"/>
          <w:sz w:val="28"/>
          <w:szCs w:val="28"/>
          <w:lang w:val="en-US" w:eastAsia="zh-CN" w:bidi="ar-SA"/>
        </w:rPr>
        <w:t>128</w:t>
      </w:r>
      <w:r>
        <w:rPr>
          <w:rFonts w:hint="eastAsia" w:ascii="Times New Roman" w:hAnsi="Times New Roman" w:cs="Times New Roman" w:eastAsiaTheme="minorEastAsia"/>
          <w:kern w:val="2"/>
          <w:sz w:val="28"/>
          <w:szCs w:val="28"/>
          <w:lang w:val="en-US" w:eastAsia="zh-CN" w:bidi="ar-SA"/>
        </w:rPr>
        <w:t>单元，</w:t>
      </w:r>
      <w:r>
        <w:rPr>
          <w:rFonts w:hint="default" w:ascii="Times New Roman" w:hAnsi="Times New Roman" w:cs="Times New Roman" w:eastAsiaTheme="minorEastAsia"/>
          <w:kern w:val="2"/>
          <w:sz w:val="28"/>
          <w:szCs w:val="28"/>
          <w:lang w:val="en-US" w:eastAsia="zh-CN" w:bidi="ar-SA"/>
        </w:rPr>
        <w:t>Dropout=0.2</w:t>
      </w:r>
    </w:p>
    <w:p>
      <w:pPr>
        <w:snapToGrid w:val="0"/>
        <w:spacing w:before="0" w:after="0" w:line="360" w:lineRule="auto"/>
        <w:ind w:firstLine="0" w:firstLineChars="0"/>
        <w:rPr>
          <w:rFonts w:hint="eastAsia" w:ascii="Times New Roman" w:hAnsi="Times New Roman" w:cs="Times New Roman" w:eastAsiaTheme="minorEastAsia"/>
          <w:b/>
          <w:bCs/>
          <w:kern w:val="2"/>
          <w:sz w:val="28"/>
          <w:szCs w:val="28"/>
          <w:lang w:val="en-US" w:eastAsia="zh-CN" w:bidi="ar-SA"/>
        </w:rPr>
      </w:pPr>
      <w:r>
        <w:rPr>
          <w:rFonts w:hint="eastAsia" w:ascii="Times New Roman" w:hAnsi="Times New Roman" w:cs="Times New Roman" w:eastAsiaTheme="minorEastAsia"/>
          <w:b/>
          <w:bCs/>
          <w:kern w:val="2"/>
          <w:sz w:val="28"/>
          <w:szCs w:val="28"/>
          <w:lang w:val="en-US" w:eastAsia="zh-CN" w:bidi="ar-SA"/>
        </w:rPr>
        <w:t>三、项目设计要求</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1.</w:t>
      </w:r>
      <w:r>
        <w:rPr>
          <w:rFonts w:hint="default" w:ascii="Times New Roman" w:hAnsi="Times New Roman" w:cs="Times New Roman" w:eastAsiaTheme="minorEastAsia"/>
          <w:kern w:val="2"/>
          <w:sz w:val="28"/>
          <w:szCs w:val="28"/>
          <w:lang w:val="en-US" w:eastAsia="zh-CN" w:bidi="ar-SA"/>
        </w:rPr>
        <w:t> </w:t>
      </w:r>
      <w:r>
        <w:rPr>
          <w:rFonts w:hint="eastAsia" w:ascii="Times New Roman" w:hAnsi="Times New Roman" w:cs="Times New Roman" w:eastAsiaTheme="minorEastAsia"/>
          <w:kern w:val="2"/>
          <w:sz w:val="28"/>
          <w:szCs w:val="28"/>
          <w:lang w:val="en-US" w:eastAsia="zh-CN" w:bidi="ar-SA"/>
        </w:rPr>
        <w:t>数据采集层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多模态传感矩阵：部署高精度声学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红外</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气体</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振动传感器阵列，采集设备运行原始模拟信号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信号调理电路：采用带</w:t>
      </w:r>
      <w:r>
        <w:rPr>
          <w:rFonts w:hint="default" w:ascii="Times New Roman" w:hAnsi="Times New Roman" w:cs="Times New Roman" w:eastAsiaTheme="minorEastAsia"/>
          <w:kern w:val="2"/>
          <w:sz w:val="28"/>
          <w:szCs w:val="28"/>
          <w:lang w:val="en-US" w:eastAsia="zh-CN" w:bidi="ar-SA"/>
        </w:rPr>
        <w:t>EMC</w:t>
      </w:r>
      <w:r>
        <w:rPr>
          <w:rFonts w:hint="eastAsia" w:ascii="Times New Roman" w:hAnsi="Times New Roman" w:cs="Times New Roman" w:eastAsiaTheme="minorEastAsia"/>
          <w:kern w:val="2"/>
          <w:sz w:val="28"/>
          <w:szCs w:val="28"/>
          <w:lang w:val="en-US" w:eastAsia="zh-CN" w:bidi="ar-SA"/>
        </w:rPr>
        <w:t>防护的调理电路（滤波带宽</w:t>
      </w:r>
      <w:r>
        <w:rPr>
          <w:rFonts w:hint="default" w:ascii="Times New Roman" w:hAnsi="Times New Roman" w:cs="Times New Roman" w:eastAsiaTheme="minorEastAsia"/>
          <w:kern w:val="2"/>
          <w:sz w:val="28"/>
          <w:szCs w:val="28"/>
          <w:lang w:val="en-US" w:eastAsia="zh-CN" w:bidi="ar-SA"/>
        </w:rPr>
        <w:t>0.1-1kHz</w:t>
      </w:r>
      <w:r>
        <w:rPr>
          <w:rFonts w:hint="eastAsia" w:ascii="Times New Roman" w:hAnsi="Times New Roman" w:cs="Times New Roman" w:eastAsiaTheme="minorEastAsia"/>
          <w:kern w:val="2"/>
          <w:sz w:val="28"/>
          <w:szCs w:val="28"/>
          <w:lang w:val="en-US" w:eastAsia="zh-CN" w:bidi="ar-SA"/>
        </w:rPr>
        <w:t>，共模抑制比</w:t>
      </w:r>
      <w:r>
        <w:rPr>
          <w:rFonts w:hint="default" w:ascii="Times New Roman" w:hAnsi="Times New Roman" w:cs="Times New Roman" w:eastAsiaTheme="minorEastAsia"/>
          <w:kern w:val="2"/>
          <w:sz w:val="28"/>
          <w:szCs w:val="28"/>
          <w:lang w:val="en-US" w:eastAsia="zh-CN" w:bidi="ar-SA"/>
        </w:rPr>
        <w:t>&gt;90dB</w:t>
      </w:r>
      <w:r>
        <w:rPr>
          <w:rFonts w:hint="eastAsia" w:ascii="Times New Roman" w:hAnsi="Times New Roman" w:cs="Times New Roman" w:eastAsiaTheme="minorEastAsia"/>
          <w:kern w:val="2"/>
          <w:sz w:val="28"/>
          <w:szCs w:val="28"/>
          <w:lang w:val="en-US" w:eastAsia="zh-CN" w:bidi="ar-SA"/>
        </w:rPr>
        <w:t>），完成信号放大、噪声隔离及阻抗匹配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边缘接入：通过</w:t>
      </w:r>
      <w:r>
        <w:rPr>
          <w:rFonts w:hint="default" w:ascii="Times New Roman" w:hAnsi="Times New Roman" w:cs="Times New Roman" w:eastAsiaTheme="minorEastAsia"/>
          <w:kern w:val="2"/>
          <w:sz w:val="28"/>
          <w:szCs w:val="28"/>
          <w:lang w:val="en-US" w:eastAsia="zh-CN" w:bidi="ar-SA"/>
        </w:rPr>
        <w:t>24</w:t>
      </w:r>
      <w:r>
        <w:rPr>
          <w:rFonts w:hint="eastAsia" w:ascii="Times New Roman" w:hAnsi="Times New Roman" w:cs="Times New Roman" w:eastAsiaTheme="minorEastAsia"/>
          <w:kern w:val="2"/>
          <w:sz w:val="28"/>
          <w:szCs w:val="28"/>
          <w:lang w:val="en-US" w:eastAsia="zh-CN" w:bidi="ar-SA"/>
        </w:rPr>
        <w:t>位</w:t>
      </w:r>
      <w:r>
        <w:rPr>
          <w:rFonts w:hint="default" w:ascii="Times New Roman" w:hAnsi="Times New Roman" w:cs="Times New Roman" w:eastAsiaTheme="minorEastAsia"/>
          <w:kern w:val="2"/>
          <w:sz w:val="28"/>
          <w:szCs w:val="28"/>
          <w:lang w:val="en-US" w:eastAsia="zh-CN" w:bidi="ar-SA"/>
        </w:rPr>
        <w:t>ADC</w:t>
      </w:r>
      <w:r>
        <w:rPr>
          <w:rFonts w:hint="eastAsia" w:ascii="Times New Roman" w:hAnsi="Times New Roman" w:cs="Times New Roman" w:eastAsiaTheme="minorEastAsia"/>
          <w:kern w:val="2"/>
          <w:sz w:val="28"/>
          <w:szCs w:val="28"/>
          <w:lang w:val="en-US" w:eastAsia="zh-CN" w:bidi="ar-SA"/>
        </w:rPr>
        <w:t>将调理后信号转换为数字流，传输至边缘计算单元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2. </w:t>
      </w:r>
      <w:r>
        <w:rPr>
          <w:rFonts w:hint="eastAsia" w:ascii="Times New Roman" w:hAnsi="Times New Roman" w:cs="Times New Roman" w:eastAsiaTheme="minorEastAsia"/>
          <w:kern w:val="2"/>
          <w:sz w:val="28"/>
          <w:szCs w:val="28"/>
          <w:lang w:val="en-US" w:eastAsia="zh-CN" w:bidi="ar-SA"/>
        </w:rPr>
        <w:t>智能分析层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实时数据处理：基于轻量级流处理框架（</w:t>
      </w:r>
      <w:r>
        <w:rPr>
          <w:rFonts w:hint="default" w:ascii="Times New Roman" w:hAnsi="Times New Roman" w:cs="Times New Roman" w:eastAsiaTheme="minorEastAsia"/>
          <w:kern w:val="2"/>
          <w:sz w:val="28"/>
          <w:szCs w:val="28"/>
          <w:lang w:val="en-US" w:eastAsia="zh-CN" w:bidi="ar-SA"/>
        </w:rPr>
        <w:t>Apache Flink</w:t>
      </w:r>
      <w:r>
        <w:rPr>
          <w:rFonts w:hint="eastAsia" w:ascii="Times New Roman" w:hAnsi="Times New Roman" w:cs="Times New Roman" w:eastAsiaTheme="minorEastAsia"/>
          <w:kern w:val="2"/>
          <w:sz w:val="28"/>
          <w:szCs w:val="28"/>
          <w:lang w:val="en-US" w:eastAsia="zh-CN" w:bidi="ar-SA"/>
        </w:rPr>
        <w:t>嵌入式版），实现</w:t>
      </w:r>
      <w:r>
        <w:rPr>
          <w:rFonts w:hint="default" w:ascii="Times New Roman" w:hAnsi="Times New Roman" w:cs="Times New Roman" w:eastAsiaTheme="minorEastAsia"/>
          <w:kern w:val="2"/>
          <w:sz w:val="28"/>
          <w:szCs w:val="28"/>
          <w:lang w:val="en-US" w:eastAsia="zh-CN" w:bidi="ar-SA"/>
        </w:rPr>
        <w:t>8</w:t>
      </w:r>
      <w:r>
        <w:rPr>
          <w:rFonts w:hint="eastAsia" w:ascii="Times New Roman" w:hAnsi="Times New Roman" w:cs="Times New Roman" w:eastAsiaTheme="minorEastAsia"/>
          <w:kern w:val="2"/>
          <w:sz w:val="28"/>
          <w:szCs w:val="28"/>
          <w:lang w:val="en-US" w:eastAsia="zh-CN" w:bidi="ar-SA"/>
        </w:rPr>
        <w:t>通道数据并行处理（时延</w:t>
      </w:r>
      <w:r>
        <w:rPr>
          <w:rFonts w:hint="default" w:ascii="Times New Roman" w:hAnsi="Times New Roman" w:cs="Times New Roman" w:eastAsiaTheme="minorEastAsia"/>
          <w:kern w:val="2"/>
          <w:sz w:val="28"/>
          <w:szCs w:val="28"/>
          <w:lang w:val="en-US" w:eastAsia="zh-CN" w:bidi="ar-SA"/>
        </w:rPr>
        <w:t>&lt;50ms</w:t>
      </w:r>
      <w:r>
        <w:rPr>
          <w:rFonts w:hint="eastAsia" w:ascii="Times New Roman" w:hAnsi="Times New Roman" w:cs="Times New Roman" w:eastAsiaTheme="minorEastAsia"/>
          <w:kern w:val="2"/>
          <w:sz w:val="28"/>
          <w:szCs w:val="28"/>
          <w:lang w:val="en-US" w:eastAsia="zh-CN" w:bidi="ar-SA"/>
        </w:rPr>
        <w:t>）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特征融合引擎：多源时序对齐， 跨模态权重分配</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 </w:t>
      </w:r>
      <w:r>
        <w:rPr>
          <w:rFonts w:hint="default" w:ascii="Times New Roman" w:hAnsi="Times New Roman" w:cs="Times New Roman" w:eastAsiaTheme="minorEastAsia"/>
          <w:kern w:val="2"/>
          <w:sz w:val="28"/>
          <w:szCs w:val="28"/>
          <w:lang w:val="en-US" w:eastAsia="zh-CN" w:bidi="ar-SA"/>
        </w:rPr>
        <w:t>LSTM</w:t>
      </w:r>
      <w:r>
        <w:rPr>
          <w:rFonts w:hint="eastAsia" w:ascii="Times New Roman" w:hAnsi="Times New Roman" w:cs="Times New Roman" w:eastAsiaTheme="minorEastAsia"/>
          <w:kern w:val="2"/>
          <w:sz w:val="28"/>
          <w:szCs w:val="28"/>
          <w:lang w:val="en-US" w:eastAsia="zh-CN" w:bidi="ar-SA"/>
        </w:rPr>
        <w:t>异常预测：构建时空特征矩阵输入预测模型（隐藏层</w:t>
      </w:r>
      <w:r>
        <w:rPr>
          <w:rFonts w:hint="default" w:ascii="Times New Roman" w:hAnsi="Times New Roman" w:cs="Times New Roman" w:eastAsiaTheme="minorEastAsia"/>
          <w:kern w:val="2"/>
          <w:sz w:val="28"/>
          <w:szCs w:val="28"/>
          <w:lang w:val="en-US" w:eastAsia="zh-CN" w:bidi="ar-SA"/>
        </w:rPr>
        <w:t>128</w:t>
      </w:r>
      <w:r>
        <w:rPr>
          <w:rFonts w:hint="eastAsia" w:ascii="Times New Roman" w:hAnsi="Times New Roman" w:cs="Times New Roman" w:eastAsiaTheme="minorEastAsia"/>
          <w:kern w:val="2"/>
          <w:sz w:val="28"/>
          <w:szCs w:val="28"/>
          <w:lang w:val="en-US" w:eastAsia="zh-CN" w:bidi="ar-SA"/>
        </w:rPr>
        <w:t>单元，</w:t>
      </w:r>
      <w:r>
        <w:rPr>
          <w:rFonts w:hint="default" w:ascii="Times New Roman" w:hAnsi="Times New Roman" w:cs="Times New Roman" w:eastAsiaTheme="minorEastAsia"/>
          <w:kern w:val="2"/>
          <w:sz w:val="28"/>
          <w:szCs w:val="28"/>
          <w:lang w:val="en-US" w:eastAsia="zh-CN" w:bidi="ar-SA"/>
        </w:rPr>
        <w:t>Dropout=0.2</w:t>
      </w:r>
      <w:r>
        <w:rPr>
          <w:rFonts w:hint="eastAsia" w:ascii="Times New Roman" w:hAnsi="Times New Roman" w:cs="Times New Roman" w:eastAsiaTheme="minorEastAsia"/>
          <w:kern w:val="2"/>
          <w:sz w:val="28"/>
          <w:szCs w:val="28"/>
          <w:lang w:val="en-US" w:eastAsia="zh-CN" w:bidi="ar-SA"/>
        </w:rPr>
        <w:t>），输出四级预警置信度  </w:t>
      </w:r>
    </w:p>
    <w:p>
      <w:pPr>
        <w:pStyle w:val="11"/>
        <w:keepNext w:val="0"/>
        <w:keepLines w:val="0"/>
        <w:widowControl/>
        <w:suppressLineNumbers w:val="0"/>
        <w:shd w:val="clear" w:fill="FFFFFF"/>
        <w:spacing w:before="75" w:beforeAutospacing="0" w:after="75" w:afterAutospacing="0"/>
        <w:ind w:left="105"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3.应用层  </w:t>
      </w:r>
    </w:p>
    <w:p>
      <w:pPr>
        <w:pStyle w:val="11"/>
        <w:keepNext w:val="0"/>
        <w:keepLines w:val="0"/>
        <w:widowControl/>
        <w:suppressLineNumbers w:val="0"/>
        <w:shd w:val="clear" w:fill="FFFFFF"/>
        <w:spacing w:before="75" w:beforeAutospacing="0" w:after="75" w:afterAutospacing="0"/>
        <w:ind w:left="105"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可视化平台：开发多终端自适应界面，动态展示设备健康热力图（刷新率</w:t>
      </w:r>
      <w:r>
        <w:rPr>
          <w:rFonts w:hint="default" w:ascii="Times New Roman" w:hAnsi="Times New Roman" w:cs="Times New Roman" w:eastAsiaTheme="minorEastAsia"/>
          <w:kern w:val="2"/>
          <w:sz w:val="28"/>
          <w:szCs w:val="28"/>
          <w:lang w:val="en-US" w:eastAsia="zh-CN" w:bidi="ar-SA"/>
        </w:rPr>
        <w:t>30fps</w:t>
      </w:r>
      <w:r>
        <w:rPr>
          <w:rFonts w:hint="eastAsia" w:ascii="Times New Roman" w:hAnsi="Times New Roman" w:cs="Times New Roman" w:eastAsiaTheme="minorEastAsia"/>
          <w:kern w:val="2"/>
          <w:sz w:val="28"/>
          <w:szCs w:val="28"/>
          <w:lang w:val="en-US" w:eastAsia="zh-CN" w:bidi="ar-SA"/>
        </w:rPr>
        <w:t>）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决策接口：向运维系统推送诊断结果（</w:t>
      </w:r>
      <w:r>
        <w:rPr>
          <w:rFonts w:hint="default" w:ascii="Times New Roman" w:hAnsi="Times New Roman" w:cs="Times New Roman" w:eastAsiaTheme="minorEastAsia"/>
          <w:kern w:val="2"/>
          <w:sz w:val="28"/>
          <w:szCs w:val="28"/>
          <w:lang w:val="en-US" w:eastAsia="zh-CN" w:bidi="ar-SA"/>
        </w:rPr>
        <w:t>JSON</w:t>
      </w:r>
      <w:r>
        <w:rPr>
          <w:rFonts w:hint="eastAsia" w:ascii="Times New Roman" w:hAnsi="Times New Roman" w:cs="Times New Roman" w:eastAsiaTheme="minorEastAsia"/>
          <w:kern w:val="2"/>
          <w:sz w:val="28"/>
          <w:szCs w:val="28"/>
          <w:lang w:val="en-US" w:eastAsia="zh-CN" w:bidi="ar-SA"/>
        </w:rPr>
        <w:t>格式含置信度、定位坐标、处置建议）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创新点：</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跨模态关联分析：多维度收集设备运行信息，联合诊断故障（准确率提升至</w:t>
      </w:r>
      <w:r>
        <w:rPr>
          <w:rFonts w:hint="default" w:ascii="Times New Roman" w:hAnsi="Times New Roman" w:cs="Times New Roman" w:eastAsiaTheme="minorEastAsia"/>
          <w:kern w:val="2"/>
          <w:sz w:val="28"/>
          <w:szCs w:val="28"/>
          <w:lang w:val="en-US" w:eastAsia="zh-CN" w:bidi="ar-SA"/>
        </w:rPr>
        <w:t>90%</w:t>
      </w:r>
      <w:r>
        <w:rPr>
          <w:rFonts w:hint="eastAsia" w:ascii="Times New Roman" w:hAnsi="Times New Roman" w:cs="Times New Roman" w:eastAsiaTheme="minorEastAsia"/>
          <w:kern w:val="2"/>
          <w:sz w:val="28"/>
          <w:szCs w:val="28"/>
          <w:lang w:val="en-US" w:eastAsia="zh-CN" w:bidi="ar-SA"/>
        </w:rPr>
        <w:t>）  </w:t>
      </w:r>
    </w:p>
    <w:bookmarkEnd w:id="3"/>
    <w:p>
      <w:pPr>
        <w:snapToGrid w:val="0"/>
        <w:spacing w:before="0" w:after="0" w:line="360" w:lineRule="auto"/>
        <w:ind w:firstLine="0" w:firstLineChars="0"/>
        <w:rPr>
          <w:rFonts w:hint="eastAsia" w:ascii="Times New Roman" w:hAnsi="Times New Roman" w:cs="Times New Roman" w:eastAsiaTheme="minorEastAsia"/>
          <w:b/>
          <w:bCs/>
          <w:kern w:val="2"/>
          <w:sz w:val="28"/>
          <w:szCs w:val="28"/>
          <w:lang w:val="en-US" w:eastAsia="zh-CN" w:bidi="ar-SA"/>
        </w:rPr>
      </w:pPr>
      <w:r>
        <w:rPr>
          <w:rFonts w:hint="eastAsia" w:ascii="Times New Roman" w:hAnsi="Times New Roman" w:cs="Times New Roman" w:eastAsiaTheme="minorEastAsia"/>
          <w:b/>
          <w:bCs/>
          <w:kern w:val="2"/>
          <w:sz w:val="28"/>
          <w:szCs w:val="28"/>
          <w:lang w:val="en-US" w:eastAsia="zh-CN" w:bidi="ar-SA"/>
        </w:rPr>
        <w:t>四、其他技术要求</w:t>
      </w:r>
    </w:p>
    <w:p>
      <w:pPr>
        <w:snapToGrid w:val="0"/>
        <w:spacing w:before="0" w:after="0" w:line="360" w:lineRule="auto"/>
        <w:ind w:firstLine="56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（1）所需证明文件：供应商营业执照、产品设计方案、产品设计图；</w:t>
      </w:r>
    </w:p>
    <w:p>
      <w:pPr>
        <w:snapToGrid w:val="0"/>
        <w:spacing w:before="0" w:after="0" w:line="360" w:lineRule="auto"/>
        <w:ind w:firstLine="560"/>
        <w:rPr>
          <w:rFonts w:ascii="Times New Roman" w:hAnsi="Times New Roman" w:eastAsia="宋体" w:cs="Times New Roman"/>
          <w:szCs w:val="28"/>
        </w:rPr>
      </w:pPr>
      <w:r>
        <w:rPr>
          <w:rFonts w:hint="eastAsia" w:ascii="Times New Roman" w:hAnsi="Times New Roman" w:cs="Times New Roman" w:eastAsiaTheme="minorEastAsia"/>
          <w:kern w:val="2"/>
          <w:sz w:val="28"/>
          <w:szCs w:val="28"/>
          <w:lang w:val="en-US" w:eastAsia="zh-CN" w:bidi="ar-SA"/>
        </w:rPr>
        <w:t>（2）供应商需配合甲方在2025.12.30日之前至少完成1项发</w:t>
      </w:r>
      <w:r>
        <w:rPr>
          <w:rFonts w:ascii="Times New Roman" w:hAnsi="Times New Roman" w:eastAsia="宋体" w:cs="Times New Roman"/>
          <w:szCs w:val="28"/>
        </w:rPr>
        <w:t>明</w:t>
      </w:r>
      <w:r>
        <w:rPr>
          <w:rFonts w:hint="eastAsia" w:ascii="Times New Roman" w:hAnsi="Times New Roman" w:eastAsia="宋体" w:cs="Times New Roman"/>
          <w:szCs w:val="28"/>
          <w:lang w:eastAsia="zh-CN"/>
        </w:rPr>
        <w:t>的</w:t>
      </w:r>
      <w:r>
        <w:rPr>
          <w:rFonts w:hint="eastAsia" w:ascii="Times New Roman" w:hAnsi="Times New Roman" w:eastAsia="宋体" w:cs="Times New Roman"/>
          <w:szCs w:val="28"/>
          <w:lang w:val="en-US" w:eastAsia="zh-CN"/>
        </w:rPr>
        <w:t>受理一项，要求专利为甲方独有，发明人由甲方指定</w:t>
      </w:r>
      <w:r>
        <w:rPr>
          <w:rFonts w:ascii="Times New Roman" w:hAnsi="Times New Roman" w:eastAsia="宋体" w:cs="Times New Roman"/>
          <w:szCs w:val="28"/>
        </w:rPr>
        <w:t>；</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3</w:t>
      </w:r>
      <w:r>
        <w:rPr>
          <w:rFonts w:ascii="Times New Roman" w:hAnsi="Times New Roman" w:eastAsia="宋体" w:cs="Times New Roman"/>
          <w:szCs w:val="28"/>
        </w:rPr>
        <w:t>）供应商须承诺安排正式员工专职与甲方对接跟进项目工作，并配合项目开展试点应用工作，不少于1个月，进行现场交流、确认实施方案、现场测试、项目验收等。</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4</w:t>
      </w:r>
      <w:r>
        <w:rPr>
          <w:rFonts w:ascii="Times New Roman" w:hAnsi="Times New Roman" w:eastAsia="宋体" w:cs="Times New Roman"/>
          <w:szCs w:val="28"/>
        </w:rPr>
        <w:t>）供应商需配合完成项目相关技术资料编写，包含但不限于整套图纸设计、材料采购、加工、测试、技术总结报告、工作总结报告、使用说明、项目验收资料等；</w:t>
      </w:r>
    </w:p>
    <w:p>
      <w:pPr>
        <w:snapToGrid w:val="0"/>
        <w:spacing w:before="0" w:after="0" w:line="360" w:lineRule="auto"/>
        <w:ind w:firstLine="560"/>
        <w:rPr>
          <w:rFonts w:hint="eastAsia" w:ascii="Times New Roman" w:hAnsi="Times New Roman" w:eastAsia="宋体" w:cs="Times New Roman"/>
          <w:szCs w:val="28"/>
          <w:lang w:eastAsia="zh-CN"/>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5</w:t>
      </w:r>
      <w:r>
        <w:rPr>
          <w:rFonts w:ascii="Times New Roman" w:hAnsi="Times New Roman" w:eastAsia="宋体" w:cs="Times New Roman"/>
          <w:szCs w:val="28"/>
        </w:rPr>
        <w:t>）甲方会结合现场应用场景，综合评估技术方案、设计图，可能会做适当合理调整项目设计方案、功能软件、零部件模块加工测试等，最终以甲方审核确定的方案为准</w:t>
      </w:r>
      <w:r>
        <w:rPr>
          <w:rFonts w:hint="eastAsia" w:ascii="Times New Roman" w:hAnsi="Times New Roman" w:eastAsia="宋体" w:cs="Times New Roman"/>
          <w:szCs w:val="28"/>
          <w:lang w:eastAsia="zh-CN"/>
        </w:rPr>
        <w:t>；</w:t>
      </w:r>
    </w:p>
    <w:p>
      <w:pPr>
        <w:snapToGrid w:val="0"/>
        <w:spacing w:before="0" w:after="0" w:line="360" w:lineRule="auto"/>
        <w:ind w:firstLine="560"/>
        <w:rPr>
          <w:rFonts w:hint="eastAsia" w:ascii="Times New Roman" w:hAnsi="Times New Roman" w:eastAsia="宋体" w:cs="Times New Roman"/>
          <w:szCs w:val="28"/>
          <w:lang w:eastAsia="zh-CN"/>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6</w:t>
      </w: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报价低于最高售价、市场均价85%需提供报价清单文件等，未能按要求提供的，需赔付20%合同金额</w:t>
      </w:r>
      <w:r>
        <w:rPr>
          <w:rFonts w:hint="eastAsia" w:ascii="Times New Roman" w:hAnsi="Times New Roman" w:eastAsia="宋体" w:cs="Times New Roman"/>
          <w:szCs w:val="28"/>
          <w:lang w:eastAsia="zh-CN"/>
        </w:rPr>
        <w:t>；</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7</w:t>
      </w:r>
      <w:r>
        <w:rPr>
          <w:rFonts w:ascii="Times New Roman" w:hAnsi="Times New Roman" w:eastAsia="宋体" w:cs="Times New Roman"/>
          <w:szCs w:val="28"/>
        </w:rPr>
        <w:t>）供应商中标后，若在202</w:t>
      </w:r>
      <w:r>
        <w:rPr>
          <w:rFonts w:hint="eastAsia" w:ascii="Times New Roman" w:hAnsi="Times New Roman" w:eastAsia="宋体" w:cs="Times New Roman"/>
          <w:szCs w:val="28"/>
          <w:lang w:val="en-US" w:eastAsia="zh-CN"/>
        </w:rPr>
        <w:t>5</w:t>
      </w:r>
      <w:r>
        <w:rPr>
          <w:rFonts w:ascii="Times New Roman" w:hAnsi="Times New Roman" w:eastAsia="宋体" w:cs="Times New Roman"/>
          <w:szCs w:val="28"/>
        </w:rPr>
        <w:t>.12.5日之前不能按项目要求完成，采购方可立刻停止该采购服务</w:t>
      </w:r>
      <w:r>
        <w:rPr>
          <w:rFonts w:hint="eastAsia" w:ascii="Times New Roman" w:hAnsi="Times New Roman" w:eastAsia="宋体" w:cs="Times New Roman"/>
          <w:szCs w:val="28"/>
        </w:rPr>
        <w:t>，</w:t>
      </w:r>
      <w:r>
        <w:rPr>
          <w:rFonts w:ascii="Times New Roman" w:hAnsi="Times New Roman" w:eastAsia="宋体" w:cs="Times New Roman"/>
          <w:szCs w:val="28"/>
        </w:rPr>
        <w:t>供应商需要在1个月内赔付项目费用2倍罚金并且3年内不得在南方电网公司承接投标相关业务，同时承担相关处罚。</w:t>
      </w:r>
    </w:p>
    <w:p>
      <w:pPr>
        <w:snapToGrid w:val="0"/>
        <w:spacing w:before="0" w:after="0" w:line="360" w:lineRule="auto"/>
        <w:ind w:firstLine="0" w:firstLineChars="0"/>
        <w:rPr>
          <w:rFonts w:hint="eastAsia" w:ascii="Times New Roman" w:hAnsi="Times New Roman" w:eastAsia="宋体" w:cs="Times New Roman"/>
          <w:b/>
          <w:bCs/>
          <w:szCs w:val="28"/>
        </w:rPr>
      </w:pPr>
      <w:bookmarkStart w:id="0" w:name="_Toc450578894"/>
      <w:bookmarkStart w:id="1" w:name="_Toc490650489"/>
      <w:bookmarkStart w:id="2" w:name="_Toc367709681"/>
      <w:r>
        <w:rPr>
          <w:rFonts w:hint="eastAsia" w:ascii="Times New Roman" w:hAnsi="Times New Roman" w:eastAsia="宋体" w:cs="Times New Roman"/>
          <w:b/>
          <w:bCs/>
          <w:szCs w:val="28"/>
          <w:lang w:val="en-US" w:eastAsia="zh-CN"/>
        </w:rPr>
        <w:t>五</w:t>
      </w:r>
      <w:r>
        <w:rPr>
          <w:rFonts w:hint="eastAsia" w:ascii="Times New Roman" w:hAnsi="Times New Roman" w:eastAsia="宋体" w:cs="Times New Roman"/>
          <w:b/>
          <w:bCs/>
          <w:szCs w:val="28"/>
        </w:rPr>
        <w:t>、售后服务</w:t>
      </w:r>
      <w:bookmarkEnd w:id="0"/>
      <w:bookmarkEnd w:id="1"/>
      <w:bookmarkEnd w:id="2"/>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2、产品质保期为</w:t>
      </w:r>
      <w:r>
        <w:rPr>
          <w:rFonts w:hint="eastAsia" w:ascii="Times New Roman" w:hAnsi="Times New Roman" w:cs="Times New Roman"/>
          <w:szCs w:val="28"/>
          <w:lang w:val="en-US" w:eastAsia="zh-CN"/>
        </w:rPr>
        <w:t>2</w:t>
      </w:r>
      <w:r>
        <w:rPr>
          <w:rFonts w:hint="eastAsia" w:ascii="Times New Roman" w:hAnsi="Times New Roman" w:cs="Times New Roman"/>
          <w:szCs w:val="28"/>
        </w:rPr>
        <w:t>年，保质期内配件或设备损坏，由卖方负责免费修理或更换。超过保质期有配件或设备损坏，卖方有优先提供配件和修理的义务；</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3、售后服务响应时间：不超过12小时，如紧急事件需到达现场应在24小时内到达现场，并立即进行处理。</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4、技术支持保证：加强维护工作与设备预检预修，提供10×365天×24小时的技术支持服务，包括设备使用状态、故障处理和远程支持。</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5、投诉处理保证：承诺在收到有关设备质量、服务质量或技术支持质量的投诉后立即作出反应，派专人赶赴现场处理，并向使用方提交有关处理报告。</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6、供方应负责供货产品有关的培训工作。</w:t>
      </w:r>
    </w:p>
    <w:p>
      <w:pPr>
        <w:pStyle w:val="2"/>
      </w:pPr>
    </w:p>
    <w:p>
      <w:pPr>
        <w:snapToGrid w:val="0"/>
        <w:spacing w:before="0" w:after="0" w:line="360" w:lineRule="auto"/>
        <w:ind w:firstLine="0" w:firstLineChars="0"/>
        <w:rPr>
          <w:rFonts w:ascii="Times New Roman" w:hAnsi="Times New Roman" w:eastAsia="宋体" w:cs="Times New Roman"/>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ind w:firstLine="560"/>
      </w:pPr>
      <w:r>
        <w:separator/>
      </w:r>
    </w:p>
  </w:footnote>
  <w:footnote w:type="continuationSeparator" w:id="1">
    <w:p>
      <w:pPr>
        <w:spacing w:before="0" w:after="0" w:line="288"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wNzA2NTZhYWM3OWY1ODJiZmQzNjdmMDZkNjM0YWQifQ=="/>
  </w:docVars>
  <w:rsids>
    <w:rsidRoot w:val="0B233D6D"/>
    <w:rsid w:val="00666F55"/>
    <w:rsid w:val="0077266D"/>
    <w:rsid w:val="00AC334C"/>
    <w:rsid w:val="00E62CA6"/>
    <w:rsid w:val="00F156EA"/>
    <w:rsid w:val="02804FCF"/>
    <w:rsid w:val="029D2B01"/>
    <w:rsid w:val="04482DC3"/>
    <w:rsid w:val="05CD29E7"/>
    <w:rsid w:val="0AE33ACB"/>
    <w:rsid w:val="0B233D6D"/>
    <w:rsid w:val="0FB32491"/>
    <w:rsid w:val="1738146E"/>
    <w:rsid w:val="186D35E9"/>
    <w:rsid w:val="20834DFE"/>
    <w:rsid w:val="222F0318"/>
    <w:rsid w:val="2AB847C5"/>
    <w:rsid w:val="2F9E7025"/>
    <w:rsid w:val="388F7B42"/>
    <w:rsid w:val="39B31903"/>
    <w:rsid w:val="3A451292"/>
    <w:rsid w:val="48DE744D"/>
    <w:rsid w:val="48FE2DBF"/>
    <w:rsid w:val="4C791BA5"/>
    <w:rsid w:val="50F56590"/>
    <w:rsid w:val="59C6770C"/>
    <w:rsid w:val="5AE33F62"/>
    <w:rsid w:val="5E133E89"/>
    <w:rsid w:val="647F1822"/>
    <w:rsid w:val="649522D3"/>
    <w:rsid w:val="6DF30D25"/>
    <w:rsid w:val="6F1E0E61"/>
    <w:rsid w:val="6FB03D90"/>
    <w:rsid w:val="73BE3B93"/>
    <w:rsid w:val="74DA5BA2"/>
    <w:rsid w:val="756B5051"/>
    <w:rsid w:val="76DA2695"/>
    <w:rsid w:val="772C146C"/>
    <w:rsid w:val="773C7332"/>
    <w:rsid w:val="77424220"/>
    <w:rsid w:val="79144F31"/>
    <w:rsid w:val="7BE403D8"/>
    <w:rsid w:val="7C8C7AE7"/>
    <w:rsid w:val="7F604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60" w:after="160" w:line="288" w:lineRule="auto"/>
      <w:ind w:firstLine="723" w:firstLineChars="200"/>
      <w:jc w:val="both"/>
    </w:pPr>
    <w:rPr>
      <w:rFonts w:asciiTheme="minorHAnsi" w:hAnsiTheme="minorHAnsi" w:eastAsiaTheme="minorEastAsia" w:cstheme="minorBidi"/>
      <w:kern w:val="2"/>
      <w:sz w:val="28"/>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6"/>
    </w:rPr>
  </w:style>
  <w:style w:type="paragraph" w:styleId="4">
    <w:name w:val="heading 4"/>
    <w:basedOn w:val="1"/>
    <w:next w:val="1"/>
    <w:unhideWhenUsed/>
    <w:qFormat/>
    <w:uiPriority w:val="0"/>
    <w:pPr>
      <w:keepNext/>
      <w:keepLines/>
      <w:spacing w:line="372" w:lineRule="auto"/>
      <w:ind w:firstLine="0" w:firstLineChars="0"/>
      <w:outlineLvl w:val="3"/>
    </w:pPr>
    <w:rPr>
      <w:rFonts w:ascii="Arial" w:hAnsi="Arial" w:eastAsia="黑体"/>
      <w:b/>
    </w:rPr>
  </w:style>
  <w:style w:type="paragraph" w:styleId="5">
    <w:name w:val="heading 5"/>
    <w:basedOn w:val="1"/>
    <w:next w:val="1"/>
    <w:link w:val="15"/>
    <w:semiHidden/>
    <w:unhideWhenUsed/>
    <w:qFormat/>
    <w:uiPriority w:val="0"/>
    <w:pPr>
      <w:keepNext/>
      <w:keepLines/>
      <w:spacing w:before="100" w:after="100" w:line="360" w:lineRule="auto"/>
      <w:outlineLvl w:val="4"/>
    </w:pPr>
    <w:rPr>
      <w:b/>
      <w:sz w:val="24"/>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kern w:val="0"/>
      <w:sz w:val="20"/>
      <w:szCs w:val="24"/>
    </w:rPr>
  </w:style>
  <w:style w:type="paragraph" w:styleId="6">
    <w:name w:val="annotation text"/>
    <w:basedOn w:val="1"/>
    <w:qFormat/>
    <w:uiPriority w:val="0"/>
    <w:pPr>
      <w:jc w:val="left"/>
    </w:pPr>
  </w:style>
  <w:style w:type="paragraph" w:styleId="7">
    <w:name w:val="Body Text"/>
    <w:basedOn w:val="8"/>
    <w:next w:val="8"/>
    <w:qFormat/>
    <w:uiPriority w:val="0"/>
    <w:pPr>
      <w:spacing w:after="120"/>
    </w:pPr>
    <w:rPr>
      <w:rFonts w:ascii="Calibri" w:hAnsi="Calibri"/>
      <w:kern w:val="0"/>
      <w:sz w:val="20"/>
      <w:szCs w:val="20"/>
    </w:rPr>
  </w:style>
  <w:style w:type="paragraph" w:styleId="8">
    <w:name w:val="Title"/>
    <w:basedOn w:val="1"/>
    <w:next w:val="1"/>
    <w:qFormat/>
    <w:uiPriority w:val="0"/>
    <w:pPr>
      <w:spacing w:before="240" w:beforeLines="0" w:after="60" w:afterLines="0"/>
      <w:jc w:val="center"/>
      <w:outlineLvl w:val="0"/>
    </w:pPr>
    <w:rPr>
      <w:rFonts w:ascii="Arial" w:hAnsi="Arial" w:eastAsia="宋体" w:cs="Arial"/>
      <w:b/>
      <w:bCs/>
      <w:sz w:val="32"/>
      <w:szCs w:val="32"/>
    </w:rPr>
  </w:style>
  <w:style w:type="paragraph" w:styleId="9">
    <w:name w:val="footer"/>
    <w:basedOn w:val="1"/>
    <w:link w:val="17"/>
    <w:qFormat/>
    <w:uiPriority w:val="0"/>
    <w:pPr>
      <w:tabs>
        <w:tab w:val="center" w:pos="4153"/>
        <w:tab w:val="right" w:pos="8306"/>
      </w:tabs>
      <w:snapToGrid w:val="0"/>
      <w:spacing w:line="240" w:lineRule="auto"/>
      <w:jc w:val="left"/>
    </w:pPr>
    <w:rPr>
      <w:sz w:val="18"/>
      <w:szCs w:val="18"/>
    </w:rPr>
  </w:style>
  <w:style w:type="paragraph" w:styleId="10">
    <w:name w:val="header"/>
    <w:basedOn w:val="1"/>
    <w:link w:val="16"/>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1">
    <w:name w:val="Normal (Web)"/>
    <w:basedOn w:val="1"/>
    <w:qFormat/>
    <w:uiPriority w:val="0"/>
    <w:pPr>
      <w:spacing w:before="0" w:beforeAutospacing="1" w:after="0"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 5 字符"/>
    <w:link w:val="5"/>
    <w:qFormat/>
    <w:uiPriority w:val="0"/>
    <w:rPr>
      <w:rFonts w:asciiTheme="minorHAnsi" w:hAnsiTheme="minorHAnsi" w:eastAsiaTheme="minorEastAsia"/>
      <w:b/>
      <w:sz w:val="24"/>
    </w:rPr>
  </w:style>
  <w:style w:type="character" w:customStyle="1" w:styleId="16">
    <w:name w:val="页眉 字符"/>
    <w:basedOn w:val="13"/>
    <w:link w:val="10"/>
    <w:qFormat/>
    <w:uiPriority w:val="0"/>
    <w:rPr>
      <w:rFonts w:asciiTheme="minorHAnsi" w:hAnsiTheme="minorHAnsi" w:eastAsiaTheme="minorEastAsia" w:cstheme="minorBidi"/>
      <w:kern w:val="2"/>
      <w:sz w:val="18"/>
      <w:szCs w:val="18"/>
    </w:rPr>
  </w:style>
  <w:style w:type="character" w:customStyle="1" w:styleId="17">
    <w:name w:val="页脚 字符"/>
    <w:basedOn w:val="13"/>
    <w:link w:val="9"/>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1388</Words>
  <Characters>1421</Characters>
  <Lines>11</Lines>
  <Paragraphs>3</Paragraphs>
  <TotalTime>5</TotalTime>
  <ScaleCrop>false</ScaleCrop>
  <LinksUpToDate>false</LinksUpToDate>
  <CharactersWithSpaces>1422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2024-11-15T03:50:00Z</dcterms:created>
  <dc:creator>WPS_1717377141</dc:creator>
  <cp:lastModifiedBy>黄晟滨</cp:lastModifiedBy>
  <dcterms:modified xsi:type="dcterms:W3CDTF">2025-11-24T13:32:54Z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B11131CCC75D4412B8A857A1C868DD46</vt:lpwstr>
  </property>
  <property fmtid="{D5CDD505-2E9C-101B-9397-08002B2CF9AE}" pid="4" name="KSOTemplateDocerSaveRecord">
    <vt:lpwstr>eyJoZGlkIjoiNTc1NDNlODI4YWQ3NjQxODdlNWRjNzQ5ZjQ0Njc2ZDYiLCJ1c2VySWQiOiI0NTI5OTgzNjcifQ==</vt:lpwstr>
  </property>
</Properties>
</file>