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b/>
          <w:sz w:val="48"/>
          <w:szCs w:val="48"/>
        </w:rPr>
        <w:t>梧州网区2025年第二批职创项目技术服务（基于LLM智能体的生产日报自动生成及分析工具场景测试）技术规范书</w:t>
      </w:r>
      <w:bookmarkStart w:id="14" w:name="_GoBack"/>
      <w:bookmarkEnd w:id="14"/>
    </w:p>
    <w:p>
      <w:pPr>
        <w:pStyle w:val="2"/>
      </w:pPr>
    </w:p>
    <w:p>
      <w:pPr>
        <w:pStyle w:val="11"/>
      </w:pPr>
    </w:p>
    <w:p/>
    <w:p>
      <w:pPr>
        <w:pStyle w:val="2"/>
      </w:pPr>
    </w:p>
    <w:p>
      <w:pPr>
        <w:pStyle w:val="11"/>
      </w:pPr>
    </w:p>
    <w:p/>
    <w:p>
      <w:pPr>
        <w:pStyle w:val="2"/>
      </w:pPr>
    </w:p>
    <w:p>
      <w:pPr>
        <w:pStyle w:val="11"/>
      </w:pPr>
    </w:p>
    <w:p/>
    <w:p>
      <w:pPr>
        <w:pStyle w:val="2"/>
      </w:pPr>
    </w:p>
    <w:p>
      <w:pPr>
        <w:pStyle w:val="11"/>
      </w:pPr>
    </w:p>
    <w:p/>
    <w:p>
      <w:pPr>
        <w:spacing w:line="360" w:lineRule="auto"/>
        <w:jc w:val="center"/>
        <w:rPr>
          <w:rFonts w:hint="default" w:ascii="宋体" w:hAnsi="Times New Roman" w:eastAsia="宋体" w:cs="Times New Roman"/>
          <w:b/>
          <w:sz w:val="32"/>
          <w:szCs w:val="32"/>
          <w:lang w:val="en-US" w:eastAsia="zh-CN"/>
        </w:rPr>
      </w:pPr>
      <w:r>
        <w:rPr>
          <w:rFonts w:hint="eastAsia" w:ascii="宋体" w:hAnsi="Times New Roman" w:eastAsia="宋体" w:cs="Times New Roman"/>
          <w:b/>
          <w:sz w:val="32"/>
          <w:szCs w:val="32"/>
          <w:lang w:val="en-US" w:eastAsia="zh-CN"/>
        </w:rPr>
        <w:t>梧州供电局</w:t>
      </w:r>
    </w:p>
    <w:p>
      <w:pPr>
        <w:spacing w:line="360" w:lineRule="auto"/>
        <w:jc w:val="center"/>
        <w:rPr>
          <w:rFonts w:ascii="宋体" w:hAnsi="Times New Roman" w:eastAsia="宋体" w:cs="Times New Roman"/>
          <w:b/>
          <w:sz w:val="32"/>
          <w:szCs w:val="32"/>
        </w:rPr>
      </w:pPr>
      <w:r>
        <w:rPr>
          <w:rFonts w:hint="eastAsia" w:ascii="宋体" w:hAnsi="Times New Roman" w:eastAsia="宋体" w:cs="Times New Roman"/>
          <w:b/>
          <w:sz w:val="32"/>
          <w:szCs w:val="32"/>
        </w:rPr>
        <w:t>202</w:t>
      </w:r>
      <w:r>
        <w:rPr>
          <w:rFonts w:ascii="宋体" w:hAnsi="Times New Roman" w:eastAsia="宋体" w:cs="Times New Roman"/>
          <w:b/>
          <w:sz w:val="32"/>
          <w:szCs w:val="32"/>
        </w:rPr>
        <w:t>5</w:t>
      </w:r>
      <w:r>
        <w:rPr>
          <w:rFonts w:hint="eastAsia" w:ascii="宋体" w:hAnsi="Times New Roman" w:eastAsia="宋体" w:cs="Times New Roman"/>
          <w:b/>
          <w:sz w:val="32"/>
          <w:szCs w:val="32"/>
        </w:rPr>
        <w:t>年</w:t>
      </w:r>
      <w:r>
        <w:rPr>
          <w:rFonts w:hint="eastAsia" w:ascii="宋体" w:hAnsi="Times New Roman" w:eastAsia="宋体" w:cs="Times New Roman"/>
          <w:b/>
          <w:sz w:val="32"/>
          <w:szCs w:val="32"/>
          <w:lang w:val="en-US" w:eastAsia="zh-CN"/>
        </w:rPr>
        <w:t>11</w:t>
      </w:r>
      <w:r>
        <w:rPr>
          <w:rFonts w:hint="eastAsia" w:ascii="宋体" w:hAnsi="Times New Roman" w:eastAsia="宋体" w:cs="Times New Roman"/>
          <w:b/>
          <w:sz w:val="32"/>
          <w:szCs w:val="32"/>
        </w:rPr>
        <w:t>月</w:t>
      </w:r>
      <w:r>
        <w:rPr>
          <w:rFonts w:hint="eastAsia" w:ascii="宋体" w:hAnsi="Times New Roman" w:eastAsia="宋体" w:cs="Times New Roman"/>
          <w:b/>
          <w:sz w:val="32"/>
          <w:szCs w:val="32"/>
          <w:lang w:val="en-US" w:eastAsia="zh-CN"/>
        </w:rPr>
        <w:t>10</w:t>
      </w:r>
      <w:r>
        <w:rPr>
          <w:rFonts w:hint="eastAsia" w:ascii="宋体" w:hAnsi="Times New Roman" w:eastAsia="宋体" w:cs="Times New Roman"/>
          <w:b/>
          <w:sz w:val="32"/>
          <w:szCs w:val="32"/>
        </w:rPr>
        <w:t>日</w:t>
      </w:r>
    </w:p>
    <w:p>
      <w:r>
        <w:rPr>
          <w:rFonts w:hint="eastAsia"/>
        </w:rPr>
        <w:br w:type="page"/>
      </w:r>
    </w:p>
    <w:p>
      <w:pPr>
        <w:pStyle w:val="2"/>
      </w:pPr>
    </w:p>
    <w:p>
      <w:pPr>
        <w:spacing w:line="360" w:lineRule="auto"/>
      </w:pPr>
    </w:p>
    <w:sdt>
      <w:sdtPr>
        <w:rPr>
          <w:lang w:val="zh-CN"/>
        </w:rPr>
        <w:id w:val="-1"/>
        <w:docPartObj>
          <w:docPartGallery w:val="Table of Contents"/>
          <w:docPartUnique/>
        </w:docPartObj>
      </w:sdtPr>
      <w:sdtEndPr>
        <w:rPr>
          <w:sz w:val="24"/>
          <w:lang w:val="zh-CN"/>
        </w:rPr>
      </w:sdtEndPr>
      <w:sdtContent>
        <w:p>
          <w:pPr>
            <w:spacing w:line="360" w:lineRule="auto"/>
            <w:jc w:val="center"/>
          </w:pPr>
          <w:r>
            <w:rPr>
              <w:rFonts w:ascii="宋体" w:hAnsi="宋体" w:eastAsia="宋体"/>
            </w:rPr>
            <w:t>目录</w:t>
          </w:r>
        </w:p>
        <w:p>
          <w:pPr>
            <w:pStyle w:val="9"/>
            <w:tabs>
              <w:tab w:val="right" w:leader="dot" w:pos="8306"/>
            </w:tabs>
          </w:pPr>
          <w:r>
            <w:rPr>
              <w:sz w:val="24"/>
            </w:rPr>
            <w:fldChar w:fldCharType="begin"/>
          </w:r>
          <w:r>
            <w:rPr>
              <w:sz w:val="24"/>
            </w:rPr>
            <w:instrText xml:space="preserve"> TOC \o "1-3" \h \z \u </w:instrText>
          </w:r>
          <w:r>
            <w:rPr>
              <w:sz w:val="24"/>
            </w:rPr>
            <w:fldChar w:fldCharType="separate"/>
          </w:r>
          <w:r>
            <w:fldChar w:fldCharType="begin"/>
          </w:r>
          <w:r>
            <w:instrText xml:space="preserve"> HYPERLINK \l "_Toc32190" </w:instrText>
          </w:r>
          <w:r>
            <w:fldChar w:fldCharType="separate"/>
          </w:r>
          <w:r>
            <w:rPr>
              <w:rFonts w:hint="eastAsia" w:ascii="Calibri" w:hAnsi="Calibri" w:eastAsia="宋体" w:cs="Times New Roman"/>
            </w:rPr>
            <w:t>1总则</w:t>
          </w:r>
          <w:r>
            <w:tab/>
          </w:r>
          <w:r>
            <w:fldChar w:fldCharType="begin"/>
          </w:r>
          <w:r>
            <w:instrText xml:space="preserve"> PAGEREF _Toc32190 \h </w:instrText>
          </w:r>
          <w:r>
            <w:fldChar w:fldCharType="separate"/>
          </w:r>
          <w:r>
            <w:t>3</w:t>
          </w:r>
          <w:r>
            <w:fldChar w:fldCharType="end"/>
          </w:r>
          <w:r>
            <w:fldChar w:fldCharType="end"/>
          </w:r>
        </w:p>
        <w:p>
          <w:pPr>
            <w:pStyle w:val="9"/>
            <w:tabs>
              <w:tab w:val="right" w:leader="dot" w:pos="8306"/>
            </w:tabs>
          </w:pPr>
          <w:r>
            <w:fldChar w:fldCharType="begin"/>
          </w:r>
          <w:r>
            <w:instrText xml:space="preserve"> HYPERLINK \l "_Toc30381" </w:instrText>
          </w:r>
          <w:r>
            <w:fldChar w:fldCharType="separate"/>
          </w:r>
          <w:r>
            <w:rPr>
              <w:rFonts w:hint="eastAsia" w:ascii="Calibri" w:hAnsi="Calibri" w:eastAsia="宋体" w:cs="Times New Roman"/>
            </w:rPr>
            <w:t>2标准和规程</w:t>
          </w:r>
          <w:r>
            <w:tab/>
          </w:r>
          <w:r>
            <w:fldChar w:fldCharType="begin"/>
          </w:r>
          <w:r>
            <w:instrText xml:space="preserve"> PAGEREF _Toc30381 \h </w:instrText>
          </w:r>
          <w:r>
            <w:fldChar w:fldCharType="separate"/>
          </w:r>
          <w:r>
            <w:t>4</w:t>
          </w:r>
          <w:r>
            <w:fldChar w:fldCharType="end"/>
          </w:r>
          <w:r>
            <w:fldChar w:fldCharType="end"/>
          </w:r>
        </w:p>
        <w:p>
          <w:pPr>
            <w:pStyle w:val="9"/>
            <w:tabs>
              <w:tab w:val="right" w:leader="dot" w:pos="8306"/>
            </w:tabs>
          </w:pPr>
          <w:r>
            <w:fldChar w:fldCharType="begin"/>
          </w:r>
          <w:r>
            <w:instrText xml:space="preserve"> HYPERLINK \l "_Toc28172" </w:instrText>
          </w:r>
          <w:r>
            <w:fldChar w:fldCharType="separate"/>
          </w:r>
          <w:r>
            <w:rPr>
              <w:rFonts w:hint="eastAsia" w:ascii="Calibri" w:hAnsi="Calibri" w:eastAsia="宋体" w:cs="Times New Roman"/>
            </w:rPr>
            <w:t>3 场景测试总体要求</w:t>
          </w:r>
          <w:r>
            <w:tab/>
          </w:r>
          <w:r>
            <w:fldChar w:fldCharType="begin"/>
          </w:r>
          <w:r>
            <w:instrText xml:space="preserve"> PAGEREF _Toc28172 \h </w:instrText>
          </w:r>
          <w:r>
            <w:fldChar w:fldCharType="separate"/>
          </w:r>
          <w:r>
            <w:t>4</w:t>
          </w:r>
          <w:r>
            <w:fldChar w:fldCharType="end"/>
          </w:r>
          <w:r>
            <w:fldChar w:fldCharType="end"/>
          </w:r>
        </w:p>
        <w:p>
          <w:pPr>
            <w:pStyle w:val="9"/>
            <w:tabs>
              <w:tab w:val="right" w:leader="dot" w:pos="8306"/>
            </w:tabs>
          </w:pPr>
          <w:r>
            <w:fldChar w:fldCharType="begin"/>
          </w:r>
          <w:r>
            <w:instrText xml:space="preserve"> HYPERLINK \l "_Toc16534" </w:instrText>
          </w:r>
          <w:r>
            <w:fldChar w:fldCharType="separate"/>
          </w:r>
          <w:r>
            <w:rPr>
              <w:rFonts w:hint="eastAsia" w:ascii="Calibri" w:hAnsi="Calibri" w:eastAsia="宋体" w:cs="Times New Roman"/>
            </w:rPr>
            <w:t>4技术要求</w:t>
          </w:r>
          <w:r>
            <w:tab/>
          </w:r>
          <w:r>
            <w:fldChar w:fldCharType="begin"/>
          </w:r>
          <w:r>
            <w:instrText xml:space="preserve"> PAGEREF _Toc16534 \h </w:instrText>
          </w:r>
          <w:r>
            <w:fldChar w:fldCharType="separate"/>
          </w:r>
          <w:r>
            <w:t>6</w:t>
          </w:r>
          <w:r>
            <w:fldChar w:fldCharType="end"/>
          </w:r>
          <w:r>
            <w:fldChar w:fldCharType="end"/>
          </w:r>
        </w:p>
        <w:p>
          <w:pPr>
            <w:pStyle w:val="9"/>
            <w:tabs>
              <w:tab w:val="right" w:leader="dot" w:pos="8306"/>
            </w:tabs>
          </w:pPr>
          <w:r>
            <w:fldChar w:fldCharType="begin"/>
          </w:r>
          <w:r>
            <w:instrText xml:space="preserve"> HYPERLINK \l "_Toc16760" </w:instrText>
          </w:r>
          <w:r>
            <w:fldChar w:fldCharType="separate"/>
          </w:r>
          <w:r>
            <w:rPr>
              <w:rFonts w:hint="eastAsia" w:ascii="Calibri" w:hAnsi="Calibri" w:eastAsia="宋体" w:cs="Times New Roman"/>
            </w:rPr>
            <w:t>5功能要求</w:t>
          </w:r>
          <w:r>
            <w:tab/>
          </w:r>
          <w:r>
            <w:fldChar w:fldCharType="begin"/>
          </w:r>
          <w:r>
            <w:instrText xml:space="preserve"> PAGEREF _Toc16760 \h </w:instrText>
          </w:r>
          <w:r>
            <w:fldChar w:fldCharType="separate"/>
          </w:r>
          <w:r>
            <w:t>8</w:t>
          </w:r>
          <w:r>
            <w:fldChar w:fldCharType="end"/>
          </w:r>
          <w:r>
            <w:fldChar w:fldCharType="end"/>
          </w:r>
        </w:p>
        <w:p>
          <w:pPr>
            <w:pStyle w:val="10"/>
            <w:tabs>
              <w:tab w:val="right" w:leader="dot" w:pos="8306"/>
            </w:tabs>
            <w:ind w:left="0" w:leftChars="0"/>
          </w:pPr>
          <w:r>
            <w:fldChar w:fldCharType="begin"/>
          </w:r>
          <w:r>
            <w:instrText xml:space="preserve"> HYPERLINK \l "_Toc11781" </w:instrText>
          </w:r>
          <w:r>
            <w:fldChar w:fldCharType="separate"/>
          </w:r>
          <w:r>
            <w:rPr>
              <w:rFonts w:hint="eastAsia"/>
            </w:rPr>
            <w:t>6服务范围</w:t>
          </w:r>
          <w:r>
            <w:tab/>
          </w:r>
          <w:r>
            <w:fldChar w:fldCharType="begin"/>
          </w:r>
          <w:r>
            <w:instrText xml:space="preserve"> PAGEREF _Toc11781 \h </w:instrText>
          </w:r>
          <w:r>
            <w:fldChar w:fldCharType="separate"/>
          </w:r>
          <w:r>
            <w:t>9</w:t>
          </w:r>
          <w:r>
            <w:fldChar w:fldCharType="end"/>
          </w:r>
          <w:r>
            <w:fldChar w:fldCharType="end"/>
          </w:r>
        </w:p>
        <w:p>
          <w:pPr>
            <w:pStyle w:val="10"/>
            <w:tabs>
              <w:tab w:val="right" w:leader="dot" w:pos="8306"/>
            </w:tabs>
            <w:ind w:left="0" w:leftChars="0"/>
          </w:pPr>
          <w:r>
            <w:fldChar w:fldCharType="begin"/>
          </w:r>
          <w:r>
            <w:instrText xml:space="preserve"> HYPERLINK \l "_Toc20655" </w:instrText>
          </w:r>
          <w:r>
            <w:fldChar w:fldCharType="separate"/>
          </w:r>
          <w:r>
            <w:rPr>
              <w:rFonts w:hint="eastAsia" w:ascii="Calibri" w:hAnsi="宋体" w:eastAsia="宋体" w:cs="Times New Roman"/>
              <w:kern w:val="44"/>
              <w:szCs w:val="28"/>
            </w:rPr>
            <w:t>7质量保证</w:t>
          </w:r>
          <w:r>
            <w:tab/>
          </w:r>
          <w:r>
            <w:fldChar w:fldCharType="begin"/>
          </w:r>
          <w:r>
            <w:instrText xml:space="preserve"> PAGEREF _Toc20655 \h </w:instrText>
          </w:r>
          <w:r>
            <w:fldChar w:fldCharType="separate"/>
          </w:r>
          <w:r>
            <w:t>10</w:t>
          </w:r>
          <w:r>
            <w:fldChar w:fldCharType="end"/>
          </w:r>
          <w:r>
            <w:fldChar w:fldCharType="end"/>
          </w:r>
        </w:p>
        <w:p>
          <w:pPr>
            <w:pStyle w:val="9"/>
            <w:tabs>
              <w:tab w:val="right" w:leader="dot" w:pos="8306"/>
            </w:tabs>
          </w:pPr>
          <w:r>
            <w:fldChar w:fldCharType="begin"/>
          </w:r>
          <w:r>
            <w:instrText xml:space="preserve"> HYPERLINK \l "_Toc19949" </w:instrText>
          </w:r>
          <w:r>
            <w:fldChar w:fldCharType="separate"/>
          </w:r>
          <w:r>
            <w:rPr>
              <w:rFonts w:hint="eastAsia" w:ascii="Calibri" w:hAnsi="Calibri" w:eastAsia="宋体" w:cs="Times New Roman"/>
            </w:rPr>
            <w:t>附件</w:t>
          </w:r>
          <w:r>
            <w:tab/>
          </w:r>
          <w:r>
            <w:fldChar w:fldCharType="begin"/>
          </w:r>
          <w:r>
            <w:instrText xml:space="preserve"> PAGEREF _Toc19949 \h </w:instrText>
          </w:r>
          <w:r>
            <w:fldChar w:fldCharType="separate"/>
          </w:r>
          <w:r>
            <w:t>14</w:t>
          </w:r>
          <w:r>
            <w:fldChar w:fldCharType="end"/>
          </w:r>
          <w:r>
            <w:fldChar w:fldCharType="end"/>
          </w:r>
        </w:p>
        <w:p>
          <w:pPr>
            <w:spacing w:line="360" w:lineRule="auto"/>
            <w:rPr>
              <w:sz w:val="24"/>
            </w:rPr>
          </w:pPr>
          <w:r>
            <w:rPr>
              <w:bCs/>
              <w:lang w:val="zh-CN"/>
            </w:rPr>
            <w:fldChar w:fldCharType="end"/>
          </w:r>
        </w:p>
      </w:sdtContent>
    </w:sdt>
    <w:p>
      <w:pPr>
        <w:widowControl/>
        <w:jc w:val="left"/>
      </w:pPr>
      <w:r>
        <w:br w:type="page"/>
      </w:r>
    </w:p>
    <w:p>
      <w:pPr>
        <w:pStyle w:val="3"/>
        <w:spacing w:before="0" w:after="0" w:line="360" w:lineRule="auto"/>
        <w:rPr>
          <w:rFonts w:ascii="Calibri" w:hAnsi="Calibri" w:eastAsia="宋体" w:cs="Times New Roman"/>
          <w:sz w:val="28"/>
        </w:rPr>
      </w:pPr>
      <w:bookmarkStart w:id="0" w:name="_Toc32190"/>
      <w:r>
        <w:rPr>
          <w:rFonts w:hint="eastAsia" w:ascii="Calibri" w:hAnsi="Calibri" w:eastAsia="宋体" w:cs="Times New Roman"/>
          <w:sz w:val="28"/>
        </w:rPr>
        <w:t>1总则</w:t>
      </w:r>
      <w:bookmarkEnd w:id="0"/>
    </w:p>
    <w:p>
      <w:pPr>
        <w:ind w:firstLine="420"/>
        <w:jc w:val="left"/>
        <w:rPr>
          <w:rFonts w:hint="eastAsia" w:ascii="宋体" w:hAnsi="宋体" w:eastAsia="宋体" w:cs="Times New Roman"/>
          <w:sz w:val="28"/>
          <w:szCs w:val="28"/>
        </w:rPr>
      </w:pPr>
      <w:r>
        <w:rPr>
          <w:rFonts w:hint="eastAsia" w:ascii="宋体" w:hAnsi="宋体" w:eastAsia="宋体" w:cs="Times New Roman"/>
          <w:sz w:val="28"/>
          <w:szCs w:val="28"/>
        </w:rPr>
        <w:t>1.1本技术规范书适用于“基于LLM智能体的生产日报自动生成及分析工具”场景测试的技术和功能方面的要求，投标方必须认真阅读本技术条款内容，以免造成投标失败。</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1.2本规范书指标要求中，凡标有下划线或加“★”的地方均被视为重要的技术指标要求或性能要求。投标方要特别加以注意，必须完全满足这些要求。</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1.3本技术规范书提出的是最低限度的技术要求，并未对一切技术细节做出规定，也未充分引述有关标准和规范的条文，投标方应保证提供满足本技术规范书要求、满足有关国家质量标准要求、满足国家有关安全、环保等强制性标准和规范要求的完整服务和工作产品。</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1.4如投标方对本技术规范书有异议时，应以书面形式在报价截止日之前1天提出，如没有以书面形式对本规范书的条款提出异议，则意味着投标方已清楚并理解本规范书的要求。</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1.5 投标方应对本次招标方采购涉及所有文件保密，不得向其他单位公布或泄漏招标项目的有关信息。</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1.6本技术规范书作为招标方的采购文件，投标方应在报价文件中按要求作出应答，如有差异，还需以本技术规范书附件“差异表”的形式另外列出。</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1.7双方确认成交后，本技术规范书与合同具有同等的法律约束效力，本技术规范书未尽事宜，由招标方和中标方双方协商确定。</w:t>
      </w:r>
    </w:p>
    <w:p>
      <w:pPr>
        <w:pStyle w:val="3"/>
        <w:spacing w:before="0" w:after="0" w:line="360" w:lineRule="auto"/>
        <w:rPr>
          <w:rFonts w:ascii="Calibri" w:hAnsi="Calibri" w:eastAsia="宋体" w:cs="Times New Roman"/>
          <w:sz w:val="28"/>
        </w:rPr>
      </w:pPr>
      <w:bookmarkStart w:id="1" w:name="_Toc30381"/>
      <w:r>
        <w:rPr>
          <w:rFonts w:hint="eastAsia" w:ascii="Calibri" w:hAnsi="Calibri" w:eastAsia="宋体" w:cs="Times New Roman"/>
          <w:sz w:val="28"/>
        </w:rPr>
        <w:t>2标准和规程</w:t>
      </w:r>
      <w:bookmarkEnd w:id="1"/>
    </w:p>
    <w:p>
      <w:pPr>
        <w:spacing w:line="360" w:lineRule="auto"/>
        <w:ind w:firstLine="560" w:firstLineChars="200"/>
        <w:rPr>
          <w:rFonts w:hint="eastAsia" w:ascii="宋体" w:hAnsi="宋体" w:eastAsia="宋体" w:cs="Times New Roman"/>
          <w:sz w:val="28"/>
          <w:szCs w:val="28"/>
        </w:rPr>
      </w:pPr>
      <w:r>
        <w:rPr>
          <w:rFonts w:hint="eastAsia" w:ascii="宋体" w:hAnsi="宋体" w:eastAsia="宋体" w:cs="Times New Roman"/>
          <w:sz w:val="28"/>
          <w:szCs w:val="28"/>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spacing w:line="360" w:lineRule="auto"/>
        <w:ind w:firstLine="560" w:firstLineChars="200"/>
        <w:rPr>
          <w:rFonts w:hint="eastAsia" w:ascii="宋体" w:hAnsi="宋体" w:eastAsia="宋体" w:cs="Times New Roman"/>
          <w:sz w:val="28"/>
          <w:szCs w:val="28"/>
        </w:rPr>
      </w:pPr>
      <w:r>
        <w:rPr>
          <w:rFonts w:hint="eastAsia" w:ascii="宋体" w:hAnsi="宋体" w:eastAsia="宋体" w:cs="Times New Roman"/>
          <w:sz w:val="28"/>
          <w:szCs w:val="28"/>
        </w:rPr>
        <w:t>投标方如果采用自己的标准或规范，必须向招标方提供中文复印件并经招标方同意后方可采用，但不能低于国家标准GB、行业标准JB有关规定。</w:t>
      </w:r>
    </w:p>
    <w:p>
      <w:pPr>
        <w:pStyle w:val="3"/>
        <w:spacing w:before="0" w:after="0" w:line="360" w:lineRule="auto"/>
        <w:rPr>
          <w:rFonts w:ascii="Calibri" w:hAnsi="Calibri" w:eastAsia="宋体" w:cs="Times New Roman"/>
          <w:sz w:val="28"/>
        </w:rPr>
      </w:pPr>
      <w:bookmarkStart w:id="2" w:name="_Toc22903_WPSOffice_Level1"/>
      <w:bookmarkStart w:id="3" w:name="_Toc28172"/>
      <w:r>
        <w:rPr>
          <w:rFonts w:hint="eastAsia" w:ascii="Calibri" w:hAnsi="Calibri" w:eastAsia="宋体" w:cs="Times New Roman"/>
          <w:sz w:val="28"/>
        </w:rPr>
        <w:t xml:space="preserve">3 </w:t>
      </w:r>
      <w:bookmarkEnd w:id="2"/>
      <w:r>
        <w:rPr>
          <w:rFonts w:hint="eastAsia" w:ascii="Calibri" w:hAnsi="Calibri" w:eastAsia="宋体" w:cs="Times New Roman"/>
          <w:sz w:val="28"/>
        </w:rPr>
        <w:t>场景测试总体要求</w:t>
      </w:r>
      <w:bookmarkEnd w:id="3"/>
    </w:p>
    <w:p>
      <w:pPr>
        <w:spacing w:line="360" w:lineRule="auto"/>
        <w:ind w:firstLine="560" w:firstLineChars="200"/>
        <w:rPr>
          <w:rFonts w:hint="eastAsia" w:ascii="宋体" w:hAnsi="宋体" w:eastAsia="宋体" w:cs="Times New Roman"/>
          <w:sz w:val="28"/>
          <w:szCs w:val="28"/>
        </w:rPr>
      </w:pPr>
      <w:r>
        <w:rPr>
          <w:rFonts w:ascii="宋体" w:hAnsi="宋体" w:eastAsia="宋体" w:cs="Times New Roman"/>
          <w:sz w:val="28"/>
          <w:szCs w:val="28"/>
        </w:rPr>
        <w:t>在电力生产领域，构建一套完善的</w:t>
      </w:r>
      <w:r>
        <w:rPr>
          <w:rFonts w:hint="eastAsia" w:ascii="宋体" w:hAnsi="宋体" w:eastAsia="宋体" w:cs="Times New Roman"/>
          <w:sz w:val="28"/>
          <w:szCs w:val="28"/>
        </w:rPr>
        <w:t>智能</w:t>
      </w:r>
      <w:r>
        <w:rPr>
          <w:rFonts w:ascii="宋体" w:hAnsi="宋体" w:eastAsia="宋体" w:cs="Times New Roman"/>
          <w:sz w:val="28"/>
          <w:szCs w:val="28"/>
        </w:rPr>
        <w:t>自动化场景测试体系至关重要。在测试过程中，需重点关注以下方面：一是确保数据自动判断功能的准确性与可靠性，验证系统是否能按照既定规则对各类异构数据进行精准分类、分析和判断，为后续决策提供坚实依据；二是全面测试可视化配置日报模板库功能，检查其是否支持用户按需灵活调整报告结构与内容，同时确保可视化配置异常阈值功能正常运作，并能与规则引擎紧密配合实现异常数据预警；三是深入评估交互式问答客户端的性能，确定其能否通过问答形式准确获取网区生产数据趋势和风险注意点，并生成切实可行的管控提升措施建议。</w:t>
      </w:r>
    </w:p>
    <w:p>
      <w:pPr>
        <w:spacing w:line="360" w:lineRule="auto"/>
        <w:ind w:firstLine="560" w:firstLineChars="200"/>
        <w:rPr>
          <w:rFonts w:hint="eastAsia" w:ascii="宋体" w:hAnsi="宋体" w:eastAsia="宋体" w:cs="Times New Roman"/>
          <w:sz w:val="28"/>
          <w:szCs w:val="28"/>
        </w:rPr>
      </w:pPr>
      <w:r>
        <w:rPr>
          <w:rFonts w:ascii="宋体" w:hAnsi="宋体" w:eastAsia="宋体" w:cs="Times New Roman"/>
          <w:sz w:val="28"/>
          <w:szCs w:val="28"/>
        </w:rPr>
        <w:t>在测试环境搭建方面，要高度模拟真实电力生产环境，确保数据的多样性、复杂性和规模与实际场景相当，同时保障环境的稳定性和可靠性。测试数据准备应涵盖正常数据、异常数据、边界数据等多种类型，确保数据的质量和覆盖性，以充分验证系统对不同类型数据的处理能力。此外，测试团队应由熟悉电力生产业务和具备丰富软件测试经验的人员组成，以准确理解业务逻辑和数据特点，设计合理的测试用例和场景，为电力生产提供可靠的数据支持和决策辅助。</w:t>
      </w:r>
    </w:p>
    <w:p>
      <w:pPr>
        <w:spacing w:line="360" w:lineRule="auto"/>
        <w:ind w:firstLine="560" w:firstLineChars="200"/>
        <w:rPr>
          <w:rFonts w:hint="eastAsia" w:ascii="宋体" w:hAnsi="宋体" w:eastAsia="宋体" w:cs="Times New Roman"/>
          <w:sz w:val="28"/>
          <w:szCs w:val="28"/>
        </w:rPr>
      </w:pPr>
      <w:r>
        <w:rPr>
          <w:rFonts w:ascii="宋体" w:hAnsi="宋体" w:eastAsia="宋体" w:cs="Times New Roman"/>
          <w:sz w:val="28"/>
          <w:szCs w:val="28"/>
        </w:rPr>
        <w:t>在功能测试方面，针对数据自动判断功能，测试人员需依据实际业务逻辑规则，对电力生产的各类异构数据进行详细验证，确保系统能够精准地对生产作业风险数据、设备缺陷数据、故障跳闸监测数据等进行分类、分析和判断，从而为生产管控提供准确的数据支持。对于可视化配置日报模板库功能，测试重点在于其灵活性和易用性，即是否支持用户根据不同的业务需求动态调整报告的结构与内容，同时确保可视化配置异常阈值功能的准确性和及时性，使其能够与规则引擎有效结合，实现对异常数据的快速预警。交互式问答客户端的测试则需关注其交互的准确性和智能性，验证其是否能够通过问答形式准确获取网区生产数据趋势和风险注意点，并生成具有针对性和可行性的管控提升措施建议，以辅助生产决策。性能测试同样关键，需重点考察系统在处理大量电力生产数据时的响应时间、吞吐量和资源利用率等指标，确保其能够满足电力生产实时性要求，实现分钟级决策响应。同时，还需测试系统在高并发访问情况下的稳定性与可靠性，以及在长期运行中的性能表现，评估其对硬件资源的需求和扩展能力。用户体验测试、兼容性测试、安全性测试、稳定性与可靠性测试等也不可或缺，需全面开展以确保系统的整体性能和可靠性。测试过程中，应详细记录各类信息，形成完整的测试文档，为后续的系统优化、维护和升级提供有力支持。综上所述，该电力生产流程自动化场景测试的总体要求极为严格和全面，需要从多个维度进行深入测试，以保障系统的稳定、高效、安全运行，为电力生产提供可靠的决策依据。</w:t>
      </w:r>
    </w:p>
    <w:p/>
    <w:p>
      <w:pPr>
        <w:pStyle w:val="3"/>
        <w:spacing w:before="0" w:after="0" w:line="360" w:lineRule="auto"/>
        <w:rPr>
          <w:rFonts w:ascii="Calibri" w:hAnsi="Calibri" w:eastAsia="宋体" w:cs="Times New Roman"/>
          <w:sz w:val="28"/>
        </w:rPr>
      </w:pPr>
      <w:bookmarkStart w:id="4" w:name="_Toc16534"/>
      <w:r>
        <w:rPr>
          <w:rFonts w:hint="eastAsia" w:ascii="Calibri" w:hAnsi="Calibri" w:eastAsia="宋体" w:cs="Times New Roman"/>
          <w:sz w:val="28"/>
        </w:rPr>
        <w:t>4技术要求</w:t>
      </w:r>
      <w:bookmarkEnd w:id="4"/>
    </w:p>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t>4.1技术指标要求</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4.1.1运行环境条件</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硬件环境：测试服务器应具备多核处理器、足够的内存（如64GB或更高）和高速存储设备（如固态硬盘），以确保系统运行流畅；网络环境需稳定，带宽满足数据传输需求，建议1000Mbps或更高；需配备专用的图形处理器（GPU）以支持数据可视化功能的测试。</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软件环境：操作系统可采用Windows或Linux等稳定版本；数据库管理系统需支持大数据量存储与高效查询，如Oracle、MySQL或SQL Server等；测试工具包括自动化测试工具（如Selenium、JMeter等）、性能测试工具（如LoadRunner）等</w:t>
      </w:r>
      <w:r>
        <w:rPr>
          <w:rFonts w:hint="eastAsia" w:ascii="宋体" w:hAnsi="宋体" w:eastAsia="宋体" w:cs="Times New Roman"/>
          <w:sz w:val="28"/>
          <w:szCs w:val="28"/>
        </w:rPr>
        <w:t xml:space="preserve">；应用需支持在Windows、信创环境ARM架构和X86架构下稳定运行。 </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 xml:space="preserve"> 工具部署要求：应采用虚拟化结合容器化的方案隔离应用，降低应用间影响，从而实现应用部署隔离；应采用方便部署和运维管理，登录web管理界面即可实现图形化管理；在产品架构层面，实现云部署、云原生，提供基于K8S或Docker</w:t>
      </w:r>
      <w:r>
        <w:rPr>
          <w:rFonts w:ascii="宋体" w:hAnsi="宋体" w:eastAsia="宋体" w:cs="Times New Roman"/>
          <w:sz w:val="28"/>
          <w:szCs w:val="28"/>
        </w:rPr>
        <w:t xml:space="preserve"> </w:t>
      </w:r>
      <w:r>
        <w:rPr>
          <w:rFonts w:hint="eastAsia" w:ascii="宋体" w:hAnsi="宋体" w:eastAsia="宋体" w:cs="Times New Roman"/>
          <w:sz w:val="28"/>
          <w:szCs w:val="28"/>
        </w:rPr>
        <w:t>Swarm的部署方式。</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4.1.2适用范围</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电力生产数据处理：适用于对电力生产作业风险数据、设备缺陷数据、故障跳闸监测数据等异构数据的自动接收、存储、处理和分析。</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报告生成与预警：适用于生产日报的自动生成、报告模板的可视化配置、异常阈值的设置以及异常数据预警等功能的测试。</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交互式问答功能：适用于交互式问答客户端的功能测试，包括问答交互的准确性、智能性和生成管控提升措施建议的合理性等方面。</w:t>
      </w:r>
    </w:p>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t>★4.2技术参数</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数据处理能力：系统应具备高并发数据处理能力，能够同时处理多个数据源的异构数据，数据处理的吞吐量应达到每秒数千条记录；数据存储容量应满足电力生产数据长期存储的需求，支持TB级或PB级数据存储；数据查询响应时间应在秒级以内，以确保实时性要求。</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性能指标：在生产日报自动生成方面，从数据收集到报告生成的整个流程应在分钟级完成，响应时间不超过5分钟；交互式问答客户端的响应时间应控制在3秒以内，以提供良好的用户体验。</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准确性指标：数据自动判断的准确率应达到99%及以上，确保对各类异构数据的分类、分析和判断结果可靠；异常数据预警的准确率也应达到99%及以上，避免误报和漏报。</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安全性参数：系统应具备高强度的身份认证机制，如支持多因素认证，确保只有授权用户能够访问敏感数据和关键功能；数据传输和存储过程中的加密强度应符合行业标准，如采用AES-256等加密算法；能够有效防范各种安全漏洞和攻击，如对SQL注入、跨站脚本攻击等的防护成功率应达到100%。</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标准协议支持：系统应支持多种标准的数据接口协议，包括但不限于OPC UA（用于工业自动化系统的互操作性）、Modbus TCP/IP（广泛应用于工业通信领域）等，以便与电力生产环境中各类异构系统无缝对接，实现数据的稳定传输与交互。</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接口容错性：数据接口应具备良好的容错能力，当遇到数据格式异常、网络波动或连接中断等情况时，能够自动记录错误信息并进行重试，确保数据传输的完整性和可靠性。例如，在网络中断恢复后，接口应能自动续传未完成的数据包，避免数据丢失。</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接口安全性：数据接口需采用身份验证与加密传输机制，如基于数字证书的双向认证和SSL/TLS加密协议，防止数据在传输过程中被篡改或窃取。</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计算资源扩展：系统架构应支持水平扩展，当数据处理量增长时，能够通过增加服务器节点快速提升系统的计算能力。例如，系统应支持在现有计算集群中添加新的计算节点，且新节点的添加过程对业务运行的影响应降至最低，确保系统在扩展后性能线性提升。</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存储容量扩展：数据存储部分需具备良好的扩展性，支持在线扩展存储容量。例如，采用分布式存储架构，能够方便地添加新的存储节点，实现存储容量的动态扩展，以满足电力生产数据长期积累的需求，且扩展过程不应影响已有数据的访问和业务的正常运行。</w:t>
      </w:r>
    </w:p>
    <w:p>
      <w:pPr>
        <w:widowControl/>
        <w:ind w:left="-360"/>
        <w:textAlignment w:val="baseline"/>
      </w:pPr>
    </w:p>
    <w:p>
      <w:pPr>
        <w:pStyle w:val="3"/>
        <w:spacing w:before="0" w:after="0" w:line="360" w:lineRule="auto"/>
        <w:rPr>
          <w:rFonts w:ascii="Calibri" w:hAnsi="Calibri" w:eastAsia="宋体" w:cs="Times New Roman"/>
          <w:sz w:val="28"/>
        </w:rPr>
      </w:pPr>
      <w:bookmarkStart w:id="5" w:name="_Toc16760"/>
      <w:r>
        <w:rPr>
          <w:rFonts w:hint="eastAsia" w:ascii="Calibri" w:hAnsi="Calibri" w:eastAsia="宋体" w:cs="Times New Roman"/>
          <w:sz w:val="28"/>
        </w:rPr>
        <w:t>5功能要求</w:t>
      </w:r>
      <w:bookmarkEnd w:id="5"/>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w:t>
      </w:r>
      <w:r>
        <w:rPr>
          <w:rFonts w:ascii="宋体" w:hAnsi="宋体" w:eastAsia="宋体" w:cs="Times New Roman"/>
          <w:sz w:val="28"/>
          <w:szCs w:val="28"/>
        </w:rPr>
        <w:t>数据自动判断功能：系统应能够依据实际业务逻辑规则，对电力生产作业风险数据、设备缺陷数据、故障跳闸监测数据等异构数据进行准确的分类、分析和判断，识别出数据中的异常情况和潜在风险。</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w:t>
      </w:r>
      <w:r>
        <w:rPr>
          <w:rFonts w:ascii="宋体" w:hAnsi="宋体" w:eastAsia="宋体" w:cs="Times New Roman"/>
          <w:sz w:val="28"/>
          <w:szCs w:val="28"/>
        </w:rPr>
        <w:t>可视化配置日报模板库功能：应提供直观易用的可视化界面，支持用户根据不同的业务需求动态调整报告结构与内容；允许用户可视化配置异常阈值，并与规则引擎紧密集成，当数据超出设定阈值时，能够及时准确地发出异常数据预警。</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w:t>
      </w:r>
      <w:r>
        <w:rPr>
          <w:rFonts w:ascii="宋体" w:hAnsi="宋体" w:eastAsia="宋体" w:cs="Times New Roman"/>
          <w:sz w:val="28"/>
          <w:szCs w:val="28"/>
        </w:rPr>
        <w:t>交互式问答功能：交互式问答客户端应能够通过自然语言问答的形式，准确理解用户的提问意图，快速检索和分析相关数据，为用户提供专业的答案，包括网区生产数据趋势和风险注意点等信息；能够根据数据分析结果，生成具有针对性和可行性的管控提升措施建议，辅助生产决策。</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系统集成与兼容性：系统应能够与电力生产相关的其他系统进行无缝集成，如电力监控系统、设备管理系统等，实现数据共享和业务协同；在不同的操作系统（如Windows、Linux）、浏览器（如Chrome、Firefox、IE等）和移动设备上具有良好的兼容性，确保用户能够在各种常用设备和平台上正常访问和使用系统功能。</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用户管理与权限控制：具备完善的用户管理功能，能够对不同用户设置不同的权限级别，如管理员、操作员、查看者等，确保用户只能访问和操作其授权范围内的数据和功能；支持用户角色的自定义配置，方便企业根据自身的组织架构和业务流程进行权限管理</w:t>
      </w:r>
      <w:r>
        <w:rPr>
          <w:rFonts w:hint="eastAsia" w:ascii="宋体" w:hAnsi="宋体" w:eastAsia="宋体" w:cs="Times New Roman"/>
          <w:sz w:val="28"/>
          <w:szCs w:val="28"/>
        </w:rPr>
        <w:t>；采用多租户模式，完成各成员企业信息数据隔离、管理权限隔离。并能够由上级统一进行平台维护。</w:t>
      </w:r>
    </w:p>
    <w:p>
      <w:pPr>
        <w:spacing w:line="360" w:lineRule="auto"/>
        <w:ind w:firstLine="280" w:firstLineChars="100"/>
      </w:pPr>
      <w:r>
        <w:rPr>
          <w:rFonts w:ascii="宋体" w:hAnsi="宋体" w:eastAsia="宋体" w:cs="Times New Roman"/>
          <w:sz w:val="28"/>
          <w:szCs w:val="28"/>
        </w:rPr>
        <w:t>数据备份与恢复：提供可靠的数据备份机制，定期自动备份数据，并支持手动备份操作；能够快速恢复备份的数据，在系统出现故障或数据丢失的情况下，确保数据的完整性和可用性，恢复时间应尽量短，以减少对电力生产的影响。</w:t>
      </w:r>
    </w:p>
    <w:p>
      <w:pPr>
        <w:pStyle w:val="3"/>
        <w:spacing w:before="0" w:after="0" w:line="360" w:lineRule="auto"/>
        <w:rPr>
          <w:rFonts w:hint="eastAsia" w:ascii="Calibri" w:hAnsi="Calibri" w:eastAsia="宋体" w:cs="Times New Roman"/>
          <w:sz w:val="28"/>
        </w:rPr>
      </w:pPr>
      <w:bookmarkStart w:id="6" w:name="_Toc11781"/>
      <w:r>
        <w:rPr>
          <w:rFonts w:hint="eastAsia" w:ascii="Calibri" w:hAnsi="Calibri" w:eastAsia="宋体" w:cs="Times New Roman"/>
          <w:sz w:val="28"/>
        </w:rPr>
        <w:t>6服务范围</w:t>
      </w:r>
      <w:bookmarkEnd w:id="6"/>
    </w:p>
    <w:p>
      <w:pPr>
        <w:jc w:val="center"/>
        <w:rPr>
          <w:sz w:val="28"/>
          <w:szCs w:val="28"/>
        </w:rPr>
      </w:pPr>
      <w:r>
        <w:rPr>
          <w:rFonts w:hint="eastAsia"/>
          <w:sz w:val="28"/>
          <w:szCs w:val="28"/>
        </w:rPr>
        <w:t>服务范围一览表</w:t>
      </w:r>
    </w:p>
    <w:tbl>
      <w:tblPr>
        <w:tblStyle w:val="13"/>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2531"/>
        <w:gridCol w:w="750"/>
        <w:gridCol w:w="1420"/>
        <w:gridCol w:w="1666"/>
        <w:gridCol w:w="1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79" w:type="dxa"/>
            <w:vAlign w:val="center"/>
          </w:tcPr>
          <w:p>
            <w:pPr>
              <w:jc w:val="center"/>
              <w:rPr>
                <w:sz w:val="28"/>
                <w:szCs w:val="28"/>
              </w:rPr>
            </w:pPr>
            <w:r>
              <w:rPr>
                <w:rFonts w:hint="eastAsia"/>
                <w:sz w:val="28"/>
                <w:szCs w:val="28"/>
              </w:rPr>
              <w:t>序号</w:t>
            </w:r>
          </w:p>
        </w:tc>
        <w:tc>
          <w:tcPr>
            <w:tcW w:w="2531" w:type="dxa"/>
            <w:vAlign w:val="center"/>
          </w:tcPr>
          <w:p>
            <w:pPr>
              <w:jc w:val="center"/>
              <w:rPr>
                <w:sz w:val="28"/>
                <w:szCs w:val="28"/>
              </w:rPr>
            </w:pPr>
            <w:r>
              <w:rPr>
                <w:rFonts w:hint="eastAsia"/>
                <w:sz w:val="28"/>
                <w:szCs w:val="28"/>
              </w:rPr>
              <w:t>名称</w:t>
            </w:r>
          </w:p>
        </w:tc>
        <w:tc>
          <w:tcPr>
            <w:tcW w:w="750" w:type="dxa"/>
            <w:vAlign w:val="center"/>
          </w:tcPr>
          <w:p>
            <w:pPr>
              <w:jc w:val="center"/>
              <w:rPr>
                <w:sz w:val="28"/>
                <w:szCs w:val="28"/>
              </w:rPr>
            </w:pPr>
            <w:r>
              <w:rPr>
                <w:rFonts w:hint="eastAsia"/>
                <w:sz w:val="28"/>
                <w:szCs w:val="28"/>
              </w:rPr>
              <w:t>单位</w:t>
            </w:r>
          </w:p>
        </w:tc>
        <w:tc>
          <w:tcPr>
            <w:tcW w:w="1420" w:type="dxa"/>
            <w:vAlign w:val="center"/>
          </w:tcPr>
          <w:p>
            <w:pPr>
              <w:jc w:val="center"/>
              <w:rPr>
                <w:sz w:val="28"/>
                <w:szCs w:val="28"/>
              </w:rPr>
            </w:pPr>
            <w:r>
              <w:rPr>
                <w:rFonts w:hint="eastAsia"/>
                <w:sz w:val="28"/>
                <w:szCs w:val="28"/>
              </w:rPr>
              <w:t>形式、规格</w:t>
            </w:r>
          </w:p>
        </w:tc>
        <w:tc>
          <w:tcPr>
            <w:tcW w:w="1666" w:type="dxa"/>
            <w:vAlign w:val="center"/>
          </w:tcPr>
          <w:p>
            <w:pPr>
              <w:jc w:val="center"/>
            </w:pPr>
            <w:r>
              <w:rPr>
                <w:rFonts w:hint="eastAsia"/>
                <w:sz w:val="28"/>
                <w:szCs w:val="28"/>
              </w:rPr>
              <w:t>服务期限</w:t>
            </w:r>
          </w:p>
        </w:tc>
        <w:tc>
          <w:tcPr>
            <w:tcW w:w="1420" w:type="dxa"/>
            <w:vAlign w:val="center"/>
          </w:tcPr>
          <w:p>
            <w:pPr>
              <w:jc w:val="center"/>
              <w:rPr>
                <w:sz w:val="28"/>
                <w:szCs w:val="28"/>
              </w:rPr>
            </w:pPr>
            <w:r>
              <w:rPr>
                <w:rFonts w:hint="eastAsia"/>
                <w:sz w:val="28"/>
                <w:szCs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79" w:type="dxa"/>
            <w:vAlign w:val="center"/>
          </w:tcPr>
          <w:p>
            <w:pPr>
              <w:jc w:val="center"/>
              <w:rPr>
                <w:sz w:val="28"/>
                <w:szCs w:val="28"/>
              </w:rPr>
            </w:pPr>
            <w:r>
              <w:rPr>
                <w:rFonts w:hint="eastAsia"/>
                <w:sz w:val="28"/>
                <w:szCs w:val="28"/>
              </w:rPr>
              <w:t>1</w:t>
            </w:r>
          </w:p>
        </w:tc>
        <w:tc>
          <w:tcPr>
            <w:tcW w:w="2531" w:type="dxa"/>
            <w:vAlign w:val="center"/>
          </w:tcPr>
          <w:p>
            <w:pPr>
              <w:jc w:val="center"/>
              <w:rPr>
                <w:sz w:val="28"/>
                <w:szCs w:val="28"/>
              </w:rPr>
            </w:pPr>
            <w:r>
              <w:rPr>
                <w:rFonts w:hint="eastAsia"/>
                <w:sz w:val="28"/>
                <w:szCs w:val="28"/>
              </w:rPr>
              <w:t>功能测试报告</w:t>
            </w:r>
          </w:p>
        </w:tc>
        <w:tc>
          <w:tcPr>
            <w:tcW w:w="750" w:type="dxa"/>
            <w:vAlign w:val="center"/>
          </w:tcPr>
          <w:p>
            <w:pPr>
              <w:jc w:val="center"/>
              <w:rPr>
                <w:sz w:val="28"/>
                <w:szCs w:val="28"/>
              </w:rPr>
            </w:pPr>
            <w:r>
              <w:rPr>
                <w:rFonts w:hint="eastAsia"/>
                <w:sz w:val="28"/>
                <w:szCs w:val="28"/>
              </w:rPr>
              <w:t>项</w:t>
            </w:r>
          </w:p>
        </w:tc>
        <w:tc>
          <w:tcPr>
            <w:tcW w:w="1420" w:type="dxa"/>
            <w:vAlign w:val="center"/>
          </w:tcPr>
          <w:p>
            <w:pPr>
              <w:jc w:val="center"/>
              <w:rPr>
                <w:sz w:val="28"/>
                <w:szCs w:val="28"/>
              </w:rPr>
            </w:pPr>
            <w:r>
              <w:rPr>
                <w:rFonts w:hint="eastAsia"/>
                <w:sz w:val="28"/>
                <w:szCs w:val="28"/>
              </w:rPr>
              <w:t>现场测试</w:t>
            </w:r>
          </w:p>
        </w:tc>
        <w:tc>
          <w:tcPr>
            <w:tcW w:w="1666" w:type="dxa"/>
            <w:vMerge w:val="restart"/>
            <w:vAlign w:val="center"/>
          </w:tcPr>
          <w:p>
            <w:pPr>
              <w:jc w:val="center"/>
            </w:pPr>
            <w:r>
              <w:rPr>
                <w:rFonts w:hint="eastAsia"/>
                <w:sz w:val="28"/>
                <w:szCs w:val="28"/>
              </w:rPr>
              <w:t>自合同</w:t>
            </w:r>
            <w:r>
              <w:rPr>
                <w:rFonts w:hint="eastAsia"/>
                <w:sz w:val="28"/>
                <w:szCs w:val="28"/>
                <w:lang w:eastAsia="zh-CN"/>
              </w:rPr>
              <w:t>约定</w:t>
            </w:r>
            <w:r>
              <w:rPr>
                <w:rFonts w:hint="eastAsia"/>
                <w:sz w:val="28"/>
                <w:szCs w:val="28"/>
              </w:rPr>
              <w:t>之日起</w:t>
            </w:r>
            <w:r>
              <w:rPr>
                <w:rFonts w:hint="eastAsia"/>
                <w:sz w:val="28"/>
                <w:szCs w:val="28"/>
                <w:lang w:val="en-US" w:eastAsia="zh-CN"/>
              </w:rPr>
              <w:t>90</w:t>
            </w:r>
            <w:r>
              <w:rPr>
                <w:rFonts w:hint="eastAsia"/>
                <w:sz w:val="28"/>
                <w:szCs w:val="28"/>
              </w:rPr>
              <w:t>日</w:t>
            </w:r>
          </w:p>
        </w:tc>
        <w:tc>
          <w:tcPr>
            <w:tcW w:w="1420" w:type="dxa"/>
            <w:vAlign w:val="center"/>
          </w:tcPr>
          <w:p>
            <w:pPr>
              <w:jc w:val="center"/>
              <w:rPr>
                <w:sz w:val="28"/>
                <w:szCs w:val="28"/>
              </w:rPr>
            </w:pPr>
            <w:r>
              <w:rPr>
                <w:rFonts w:hint="eastAsia"/>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79" w:type="dxa"/>
            <w:vAlign w:val="center"/>
          </w:tcPr>
          <w:p>
            <w:pPr>
              <w:jc w:val="center"/>
              <w:rPr>
                <w:sz w:val="28"/>
                <w:szCs w:val="28"/>
              </w:rPr>
            </w:pPr>
            <w:r>
              <w:rPr>
                <w:rFonts w:hint="eastAsia"/>
                <w:sz w:val="28"/>
                <w:szCs w:val="28"/>
              </w:rPr>
              <w:t>2</w:t>
            </w:r>
          </w:p>
        </w:tc>
        <w:tc>
          <w:tcPr>
            <w:tcW w:w="2531" w:type="dxa"/>
            <w:vAlign w:val="center"/>
          </w:tcPr>
          <w:p>
            <w:pPr>
              <w:jc w:val="center"/>
              <w:rPr>
                <w:color w:val="FF0000"/>
                <w:sz w:val="28"/>
                <w:szCs w:val="28"/>
              </w:rPr>
            </w:pPr>
            <w:r>
              <w:rPr>
                <w:rFonts w:hint="eastAsia"/>
                <w:sz w:val="28"/>
                <w:szCs w:val="28"/>
              </w:rPr>
              <w:t>性能测试报告</w:t>
            </w:r>
          </w:p>
        </w:tc>
        <w:tc>
          <w:tcPr>
            <w:tcW w:w="750" w:type="dxa"/>
            <w:vAlign w:val="center"/>
          </w:tcPr>
          <w:p>
            <w:pPr>
              <w:jc w:val="center"/>
              <w:rPr>
                <w:color w:val="FF0000"/>
                <w:sz w:val="28"/>
                <w:szCs w:val="28"/>
              </w:rPr>
            </w:pPr>
            <w:r>
              <w:rPr>
                <w:rFonts w:hint="eastAsia"/>
                <w:sz w:val="28"/>
                <w:szCs w:val="28"/>
              </w:rPr>
              <w:t>项</w:t>
            </w:r>
          </w:p>
        </w:tc>
        <w:tc>
          <w:tcPr>
            <w:tcW w:w="1420" w:type="dxa"/>
            <w:vAlign w:val="center"/>
          </w:tcPr>
          <w:p>
            <w:pPr>
              <w:jc w:val="center"/>
              <w:rPr>
                <w:color w:val="FF0000"/>
                <w:sz w:val="28"/>
                <w:szCs w:val="28"/>
              </w:rPr>
            </w:pPr>
            <w:r>
              <w:rPr>
                <w:rFonts w:hint="eastAsia"/>
                <w:sz w:val="28"/>
                <w:szCs w:val="28"/>
              </w:rPr>
              <w:t>现场测试</w:t>
            </w:r>
          </w:p>
        </w:tc>
        <w:tc>
          <w:tcPr>
            <w:tcW w:w="1666" w:type="dxa"/>
            <w:vMerge w:val="continue"/>
            <w:vAlign w:val="center"/>
          </w:tcPr>
          <w:p>
            <w:pPr>
              <w:jc w:val="center"/>
              <w:rPr>
                <w:sz w:val="28"/>
                <w:szCs w:val="28"/>
              </w:rPr>
            </w:pPr>
          </w:p>
        </w:tc>
        <w:tc>
          <w:tcPr>
            <w:tcW w:w="1420" w:type="dxa"/>
            <w:vAlign w:val="center"/>
          </w:tcPr>
          <w:p>
            <w:pPr>
              <w:jc w:val="center"/>
              <w:rPr>
                <w:sz w:val="28"/>
                <w:szCs w:val="28"/>
              </w:rPr>
            </w:pPr>
            <w:r>
              <w:rPr>
                <w:rFonts w:hint="eastAsia"/>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79" w:type="dxa"/>
            <w:vAlign w:val="center"/>
          </w:tcPr>
          <w:p>
            <w:pPr>
              <w:jc w:val="center"/>
              <w:rPr>
                <w:sz w:val="28"/>
                <w:szCs w:val="28"/>
              </w:rPr>
            </w:pPr>
            <w:r>
              <w:rPr>
                <w:rFonts w:hint="eastAsia"/>
                <w:sz w:val="28"/>
                <w:szCs w:val="28"/>
              </w:rPr>
              <w:t>3</w:t>
            </w:r>
          </w:p>
        </w:tc>
        <w:tc>
          <w:tcPr>
            <w:tcW w:w="2531" w:type="dxa"/>
            <w:vAlign w:val="center"/>
          </w:tcPr>
          <w:p>
            <w:pPr>
              <w:jc w:val="center"/>
              <w:rPr>
                <w:sz w:val="28"/>
                <w:szCs w:val="28"/>
              </w:rPr>
            </w:pPr>
            <w:r>
              <w:rPr>
                <w:rFonts w:hint="eastAsia"/>
                <w:sz w:val="28"/>
                <w:szCs w:val="28"/>
              </w:rPr>
              <w:t>安全测试报告</w:t>
            </w:r>
          </w:p>
        </w:tc>
        <w:tc>
          <w:tcPr>
            <w:tcW w:w="750" w:type="dxa"/>
            <w:vAlign w:val="center"/>
          </w:tcPr>
          <w:p>
            <w:pPr>
              <w:jc w:val="center"/>
              <w:rPr>
                <w:sz w:val="28"/>
                <w:szCs w:val="28"/>
              </w:rPr>
            </w:pPr>
            <w:r>
              <w:rPr>
                <w:rFonts w:hint="eastAsia"/>
                <w:sz w:val="28"/>
                <w:szCs w:val="28"/>
              </w:rPr>
              <w:t>份</w:t>
            </w:r>
          </w:p>
        </w:tc>
        <w:tc>
          <w:tcPr>
            <w:tcW w:w="1420" w:type="dxa"/>
            <w:vAlign w:val="center"/>
          </w:tcPr>
          <w:p>
            <w:pPr>
              <w:jc w:val="center"/>
              <w:rPr>
                <w:sz w:val="28"/>
                <w:szCs w:val="28"/>
              </w:rPr>
            </w:pPr>
            <w:r>
              <w:rPr>
                <w:rFonts w:hint="eastAsia"/>
                <w:sz w:val="28"/>
                <w:szCs w:val="28"/>
              </w:rPr>
              <w:t>现场测试</w:t>
            </w:r>
          </w:p>
        </w:tc>
        <w:tc>
          <w:tcPr>
            <w:tcW w:w="1666" w:type="dxa"/>
            <w:vMerge w:val="continue"/>
            <w:vAlign w:val="center"/>
          </w:tcPr>
          <w:p>
            <w:pPr>
              <w:jc w:val="center"/>
              <w:rPr>
                <w:sz w:val="28"/>
                <w:szCs w:val="28"/>
              </w:rPr>
            </w:pPr>
          </w:p>
        </w:tc>
        <w:tc>
          <w:tcPr>
            <w:tcW w:w="1420" w:type="dxa"/>
            <w:vAlign w:val="center"/>
          </w:tcPr>
          <w:p>
            <w:pPr>
              <w:jc w:val="center"/>
              <w:rPr>
                <w:sz w:val="28"/>
                <w:szCs w:val="28"/>
              </w:rPr>
            </w:pPr>
            <w:r>
              <w:rPr>
                <w:rFonts w:hint="eastAsia"/>
                <w:sz w:val="28"/>
                <w:szCs w:val="28"/>
              </w:rPr>
              <w:t>1</w:t>
            </w:r>
          </w:p>
        </w:tc>
      </w:tr>
    </w:tbl>
    <w:p/>
    <w:p>
      <w:pPr>
        <w:pStyle w:val="3"/>
        <w:rPr>
          <w:rFonts w:hint="eastAsia" w:ascii="Calibri" w:hAnsi="宋体" w:eastAsia="宋体" w:cs="Times New Roman"/>
          <w:sz w:val="28"/>
          <w:szCs w:val="28"/>
        </w:rPr>
      </w:pPr>
      <w:bookmarkStart w:id="7" w:name="_Toc20655"/>
      <w:r>
        <w:rPr>
          <w:rFonts w:hint="eastAsia" w:ascii="Calibri" w:hAnsi="宋体" w:eastAsia="宋体" w:cs="Times New Roman"/>
          <w:sz w:val="28"/>
          <w:szCs w:val="28"/>
        </w:rPr>
        <w:t>7质量保证</w:t>
      </w:r>
      <w:bookmarkEnd w:id="7"/>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7.1测试</w:t>
      </w:r>
      <w:r>
        <w:rPr>
          <w:rFonts w:ascii="宋体" w:hAnsi="宋体" w:eastAsia="宋体" w:cs="Times New Roman"/>
          <w:sz w:val="28"/>
          <w:szCs w:val="28"/>
        </w:rPr>
        <w:t>过程遵循规范</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代码质量控制：通过代码审查、单元测试、集成测试等手段，确保代码质量。代码审查应覆盖所有核心模块，单元测试的代码覆盖率应达到80%以上，确保代码的健壮性和可维护性。</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7.2</w:t>
      </w:r>
      <w:r>
        <w:rPr>
          <w:rFonts w:ascii="宋体" w:hAnsi="宋体" w:eastAsia="宋体" w:cs="Times New Roman"/>
          <w:sz w:val="28"/>
          <w:szCs w:val="28"/>
        </w:rPr>
        <w:t>功能完整性与正确性</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功能覆盖：确保系统功能覆盖业务需求，包括数据自动判断、可视化配置日报模板、交互式问答等。</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功能正确性：每个功能模块都应经过严格的测试，确保其输出与预期结果一致，对电力生产作业风险数据、设备缺陷数据、故障跳闸监测数据等异构数据的自动判断准确率达到99%以上。</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业务流程验证：模拟实际业务场景，验证系统各功能模块之间的协同工作是否符合业务流程要求，确保系统能够有效地支持电力生产的日常运作。</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7.3</w:t>
      </w:r>
      <w:r>
        <w:rPr>
          <w:rFonts w:ascii="宋体" w:hAnsi="宋体" w:eastAsia="宋体" w:cs="Times New Roman"/>
          <w:sz w:val="28"/>
          <w:szCs w:val="28"/>
        </w:rPr>
        <w:t>性能稳定性与可靠性</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性能指标达标：系统应满足预设的性能指标，如响应时间、吞吐量、资源利用率等。在高负载情况下，系统仍能稳定运行，不出现性能瓶颈或服务异常中断的情况。</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稳定性测试：进行长时间的稳定性测试，模拟系统在实际运行中的各种情况，确保系统在7×24小时不间断运行的情况下，性能保持稳定，无内存泄漏、数据丢失或系统崩溃等问题。</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可靠性保障：系统应具备故障自恢复能力，能够自动检测并处理常见的硬件故障、网络故障和软件错误。对于关键业务数据，应建立备份与恢复机制，确保在发生故障时数据不丢失，系统能够在最短时间内恢复正常运行。</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7.4</w:t>
      </w:r>
      <w:r>
        <w:rPr>
          <w:rFonts w:ascii="宋体" w:hAnsi="宋体" w:eastAsia="宋体" w:cs="Times New Roman"/>
          <w:sz w:val="28"/>
          <w:szCs w:val="28"/>
        </w:rPr>
        <w:t>数据质量与准确性</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数据准确性：系统应确保处理的数据准确无误，对于电力生产作业风险数据、设备缺陷数据、故障跳闸监测数据等异构数据，其采集、传输、存储和处理过程中的数据准确性达到99.9%以上。</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数据完整性：保证数据的完整性，确保系统能够完整地收集、处理和存储所有相关的电力生产数据，不出现数据缺失或遗漏的情况。</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数据一致性：在多数据源和多模块之间，确保数据的一致性，避免数据冲突或不一致的问题影响系统的决策和分析结果。</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7.5</w:t>
      </w:r>
      <w:r>
        <w:rPr>
          <w:rFonts w:ascii="宋体" w:hAnsi="宋体" w:eastAsia="宋体" w:cs="Times New Roman"/>
          <w:sz w:val="28"/>
          <w:szCs w:val="28"/>
        </w:rPr>
        <w:t>安全性与隐私保护</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安全防护机制：系统应具备完善的安全防护机制，包括但不限于身份认证、授权访问、数据加密、防火墙等，有效防止未经授权的访问、数据泄露、篡改等安全威胁。</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合规性：遵循相关的安全法规和标准，如等保二级要求，确保系统的建设和运营符合国家和行业的安全规定。</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隐私保护：对于涉及的敏感信息和用户隐私数据，系统应采取严格的保护措施，确保用户隐私不受侵犯。</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7.6</w:t>
      </w:r>
      <w:r>
        <w:rPr>
          <w:rFonts w:ascii="宋体" w:hAnsi="宋体" w:eastAsia="宋体" w:cs="Times New Roman"/>
          <w:sz w:val="28"/>
          <w:szCs w:val="28"/>
        </w:rPr>
        <w:t>用户体验与易用性</w:t>
      </w:r>
    </w:p>
    <w:p>
      <w:pPr>
        <w:spacing w:line="360" w:lineRule="auto"/>
        <w:ind w:firstLine="280" w:firstLineChars="100"/>
        <w:rPr>
          <w:rFonts w:hint="eastAsia" w:ascii="宋体" w:hAnsi="宋体" w:eastAsia="宋体" w:cs="Times New Roman"/>
          <w:sz w:val="28"/>
          <w:szCs w:val="28"/>
        </w:rPr>
      </w:pPr>
      <w:r>
        <w:rPr>
          <w:rFonts w:ascii="宋体" w:hAnsi="宋体" w:eastAsia="宋体" w:cs="Times New Roman"/>
          <w:sz w:val="28"/>
          <w:szCs w:val="28"/>
        </w:rPr>
        <w:t>响应速度优化：确保系统对用户的操作响应迅速，如交互式问答的响应时间控制在3秒以内，生产日报生成时间不超过5分钟，提高用户的满意度。</w:t>
      </w:r>
    </w:p>
    <w:p>
      <w:pPr>
        <w:rPr>
          <w:rFonts w:ascii="Calibri" w:hAnsi="Calibri" w:eastAsia="宋体" w:cs="Times New Roman"/>
          <w:sz w:val="28"/>
        </w:rPr>
      </w:pPr>
      <w:r>
        <w:rPr>
          <w:rFonts w:hint="eastAsia" w:ascii="Calibri" w:hAnsi="Calibri" w:eastAsia="宋体" w:cs="Times New Roman"/>
          <w:sz w:val="28"/>
        </w:rPr>
        <w:br w:type="page"/>
      </w:r>
    </w:p>
    <w:p>
      <w:pPr>
        <w:pStyle w:val="3"/>
        <w:spacing w:before="0" w:after="0" w:line="360" w:lineRule="auto"/>
        <w:rPr>
          <w:rFonts w:ascii="Calibri" w:hAnsi="Calibri" w:eastAsia="宋体" w:cs="Times New Roman"/>
          <w:sz w:val="28"/>
        </w:rPr>
      </w:pPr>
      <w:bookmarkStart w:id="8" w:name="_Toc19949"/>
      <w:r>
        <w:rPr>
          <w:rFonts w:hint="eastAsia" w:ascii="Calibri" w:hAnsi="Calibri" w:eastAsia="宋体" w:cs="Times New Roman"/>
          <w:sz w:val="28"/>
        </w:rPr>
        <w:t>附件</w:t>
      </w:r>
      <w:bookmarkEnd w:id="8"/>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1.差异表</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序号招标文件投标文件条目</w:t>
      </w:r>
    </w:p>
    <w:tbl>
      <w:tblPr>
        <w:tblStyle w:val="12"/>
        <w:tblW w:w="85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368"/>
        <w:gridCol w:w="2412"/>
        <w:gridCol w:w="1644"/>
        <w:gridCol w:w="2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50"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bookmarkStart w:id="9" w:name="_Toc148970013"/>
            <w:r>
              <w:rPr>
                <w:rFonts w:hint="eastAsia" w:asciiTheme="minorEastAsia" w:hAnsiTheme="minorEastAsia" w:cstheme="minorEastAsia"/>
                <w:sz w:val="24"/>
                <w:szCs w:val="24"/>
              </w:rPr>
              <w:t>序号</w:t>
            </w:r>
            <w:bookmarkEnd w:id="9"/>
          </w:p>
        </w:tc>
        <w:tc>
          <w:tcPr>
            <w:tcW w:w="37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bookmarkStart w:id="10" w:name="_Toc148970014"/>
            <w:r>
              <w:rPr>
                <w:rFonts w:hint="eastAsia" w:asciiTheme="minorEastAsia" w:hAnsiTheme="minorEastAsia" w:cstheme="minorEastAsia"/>
                <w:sz w:val="24"/>
                <w:szCs w:val="24"/>
              </w:rPr>
              <w:t>招标文件</w:t>
            </w:r>
            <w:bookmarkEnd w:id="10"/>
          </w:p>
        </w:tc>
        <w:tc>
          <w:tcPr>
            <w:tcW w:w="387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bookmarkStart w:id="11" w:name="_Toc148970015"/>
            <w:r>
              <w:rPr>
                <w:rFonts w:hint="eastAsia" w:asciiTheme="minorEastAsia" w:hAnsiTheme="minorEastAsia" w:cstheme="minorEastAsia"/>
                <w:sz w:val="24"/>
                <w:szCs w:val="24"/>
              </w:rPr>
              <w:t>投标文件</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50"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p>
        </w:tc>
        <w:tc>
          <w:tcPr>
            <w:tcW w:w="136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bookmarkStart w:id="12" w:name="_Toc148970016"/>
            <w:r>
              <w:rPr>
                <w:rFonts w:hint="eastAsia" w:asciiTheme="minorEastAsia" w:hAnsiTheme="minorEastAsia" w:cstheme="minorEastAsia"/>
                <w:sz w:val="24"/>
                <w:szCs w:val="24"/>
              </w:rPr>
              <w:t>条目</w:t>
            </w:r>
            <w:bookmarkEnd w:id="12"/>
          </w:p>
        </w:tc>
        <w:tc>
          <w:tcPr>
            <w:tcW w:w="241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bookmarkStart w:id="13" w:name="_Toc148970017"/>
            <w:r>
              <w:rPr>
                <w:rFonts w:hint="eastAsia" w:asciiTheme="minorEastAsia" w:hAnsiTheme="minorEastAsia" w:cstheme="minorEastAsia"/>
                <w:sz w:val="24"/>
                <w:szCs w:val="24"/>
              </w:rPr>
              <w:t>简要内容</w:t>
            </w:r>
            <w:bookmarkEnd w:id="13"/>
          </w:p>
        </w:tc>
        <w:tc>
          <w:tcPr>
            <w:tcW w:w="1644"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满足程度</w:t>
            </w:r>
          </w:p>
        </w:tc>
        <w:tc>
          <w:tcPr>
            <w:tcW w:w="2230"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1</w:t>
            </w:r>
          </w:p>
        </w:tc>
        <w:tc>
          <w:tcPr>
            <w:tcW w:w="136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w:t>
            </w:r>
          </w:p>
        </w:tc>
        <w:tc>
          <w:tcPr>
            <w:tcW w:w="241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w:t>
            </w:r>
          </w:p>
        </w:tc>
        <w:tc>
          <w:tcPr>
            <w:tcW w:w="1644"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优于/部分满足/不满足</w:t>
            </w:r>
          </w:p>
        </w:tc>
        <w:tc>
          <w:tcPr>
            <w:tcW w:w="2230"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2</w:t>
            </w:r>
          </w:p>
        </w:tc>
        <w:tc>
          <w:tcPr>
            <w:tcW w:w="136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w:t>
            </w:r>
          </w:p>
        </w:tc>
        <w:tc>
          <w:tcPr>
            <w:tcW w:w="241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w:t>
            </w:r>
          </w:p>
        </w:tc>
        <w:tc>
          <w:tcPr>
            <w:tcW w:w="1644"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优于/部分满足/不满足</w:t>
            </w:r>
          </w:p>
        </w:tc>
        <w:tc>
          <w:tcPr>
            <w:tcW w:w="2230"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w:t>
            </w:r>
          </w:p>
        </w:tc>
      </w:tr>
    </w:tbl>
    <w:p>
      <w:pPr>
        <w:spacing w:line="360" w:lineRule="auto"/>
        <w:ind w:firstLine="280" w:firstLineChars="100"/>
        <w:rPr>
          <w:rFonts w:hint="eastAsia" w:ascii="宋体" w:hAnsi="宋体" w:eastAsia="宋体" w:cs="Times New Roman"/>
          <w:sz w:val="28"/>
          <w:szCs w:val="28"/>
        </w:rPr>
      </w:pP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2、投标方需要说明的其它问题</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2BA"/>
    <w:rsid w:val="0000347D"/>
    <w:rsid w:val="000A3B26"/>
    <w:rsid w:val="000C6D20"/>
    <w:rsid w:val="000E5E5B"/>
    <w:rsid w:val="00132F0B"/>
    <w:rsid w:val="00191DE0"/>
    <w:rsid w:val="00192F60"/>
    <w:rsid w:val="001A29E4"/>
    <w:rsid w:val="001B5C1B"/>
    <w:rsid w:val="00210E02"/>
    <w:rsid w:val="00237B17"/>
    <w:rsid w:val="002F34D6"/>
    <w:rsid w:val="003B32BA"/>
    <w:rsid w:val="004F1594"/>
    <w:rsid w:val="005252E2"/>
    <w:rsid w:val="00555852"/>
    <w:rsid w:val="005649F5"/>
    <w:rsid w:val="00596F79"/>
    <w:rsid w:val="005A6480"/>
    <w:rsid w:val="005E4095"/>
    <w:rsid w:val="00660D42"/>
    <w:rsid w:val="006659FD"/>
    <w:rsid w:val="00671434"/>
    <w:rsid w:val="006737E9"/>
    <w:rsid w:val="00674768"/>
    <w:rsid w:val="006E0B10"/>
    <w:rsid w:val="00730762"/>
    <w:rsid w:val="007A7F32"/>
    <w:rsid w:val="007C2D9B"/>
    <w:rsid w:val="0085126E"/>
    <w:rsid w:val="008A1E49"/>
    <w:rsid w:val="008C05C9"/>
    <w:rsid w:val="00942304"/>
    <w:rsid w:val="00977501"/>
    <w:rsid w:val="009A5C63"/>
    <w:rsid w:val="00A14834"/>
    <w:rsid w:val="00AE41F5"/>
    <w:rsid w:val="00B618A5"/>
    <w:rsid w:val="00B917D5"/>
    <w:rsid w:val="00C12DD9"/>
    <w:rsid w:val="00C70FD7"/>
    <w:rsid w:val="00CD7AC5"/>
    <w:rsid w:val="00E05DC7"/>
    <w:rsid w:val="00E23D91"/>
    <w:rsid w:val="00E3531B"/>
    <w:rsid w:val="00ED7349"/>
    <w:rsid w:val="00EF68A3"/>
    <w:rsid w:val="00F524B0"/>
    <w:rsid w:val="00F82C64"/>
    <w:rsid w:val="00FA7369"/>
    <w:rsid w:val="00FD5232"/>
    <w:rsid w:val="00FF2E87"/>
    <w:rsid w:val="03AF4F68"/>
    <w:rsid w:val="095F4F6E"/>
    <w:rsid w:val="09D9505B"/>
    <w:rsid w:val="0C8711CC"/>
    <w:rsid w:val="15AD5F8B"/>
    <w:rsid w:val="239327F0"/>
    <w:rsid w:val="267D55BB"/>
    <w:rsid w:val="2D4A75F3"/>
    <w:rsid w:val="3B645C09"/>
    <w:rsid w:val="3B9F4427"/>
    <w:rsid w:val="3E8308D2"/>
    <w:rsid w:val="44522523"/>
    <w:rsid w:val="4A6E1422"/>
    <w:rsid w:val="4CD25091"/>
    <w:rsid w:val="50CC4A0D"/>
    <w:rsid w:val="572A4459"/>
    <w:rsid w:val="612D746F"/>
    <w:rsid w:val="63FB0FE4"/>
    <w:rsid w:val="749234CF"/>
    <w:rsid w:val="75EC3368"/>
    <w:rsid w:val="7D420F4A"/>
    <w:rsid w:val="FDFE24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semiHidden/>
    <w:unhideWhenUsed/>
    <w:qFormat/>
    <w:uiPriority w:val="9"/>
    <w:pPr>
      <w:spacing w:beforeAutospacing="1" w:afterAutospacing="1"/>
      <w:jc w:val="left"/>
      <w:outlineLvl w:val="2"/>
    </w:pPr>
    <w:rPr>
      <w:rFonts w:hint="eastAsia" w:ascii="宋体" w:hAnsi="宋体" w:eastAsia="宋体" w:cs="Times New Roman"/>
      <w:b/>
      <w:bCs/>
      <w:kern w:val="0"/>
      <w:sz w:val="27"/>
      <w:szCs w:val="27"/>
    </w:rPr>
  </w:style>
  <w:style w:type="character" w:default="1" w:styleId="14">
    <w:name w:val="Default Paragraph Font"/>
    <w:semiHidden/>
    <w:unhideWhenUsed/>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6">
    <w:name w:val="Balloon Text"/>
    <w:basedOn w:val="1"/>
    <w:link w:val="22"/>
    <w:semiHidden/>
    <w:unhideWhenUsed/>
    <w:qFormat/>
    <w:uiPriority w:val="99"/>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semiHidden/>
    <w:unhideWhenUsed/>
    <w:qFormat/>
    <w:uiPriority w:val="39"/>
  </w:style>
  <w:style w:type="paragraph" w:styleId="10">
    <w:name w:val="toc 2"/>
    <w:basedOn w:val="1"/>
    <w:next w:val="1"/>
    <w:unhideWhenUsed/>
    <w:qFormat/>
    <w:uiPriority w:val="39"/>
    <w:pPr>
      <w:ind w:left="420" w:leftChars="200"/>
    </w:pPr>
  </w:style>
  <w:style w:type="paragraph" w:styleId="11">
    <w:name w:val="Title"/>
    <w:basedOn w:val="1"/>
    <w:next w:val="1"/>
    <w:qFormat/>
    <w:uiPriority w:val="0"/>
    <w:pPr>
      <w:spacing w:before="240" w:after="60"/>
      <w:jc w:val="center"/>
      <w:outlineLvl w:val="0"/>
    </w:pPr>
    <w:rPr>
      <w:rFonts w:ascii="Arial" w:hAnsi="Arial" w:cs="Arial"/>
      <w:b/>
      <w:bCs/>
      <w:sz w:val="32"/>
      <w:szCs w:val="32"/>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Strong"/>
    <w:basedOn w:val="14"/>
    <w:qFormat/>
    <w:uiPriority w:val="22"/>
    <w:rPr>
      <w:b/>
    </w:rPr>
  </w:style>
  <w:style w:type="character" w:styleId="16">
    <w:name w:val="Hyperlink"/>
    <w:basedOn w:val="14"/>
    <w:unhideWhenUsed/>
    <w:qFormat/>
    <w:uiPriority w:val="99"/>
    <w:rPr>
      <w:color w:val="0000FF" w:themeColor="hyperlink"/>
      <w:u w:val="single"/>
      <w14:textFill>
        <w14:solidFill>
          <w14:schemeClr w14:val="hlink"/>
        </w14:solidFill>
      </w14:textFill>
    </w:rPr>
  </w:style>
  <w:style w:type="character" w:customStyle="1" w:styleId="17">
    <w:name w:val="页眉 字符"/>
    <w:basedOn w:val="14"/>
    <w:link w:val="8"/>
    <w:qFormat/>
    <w:uiPriority w:val="99"/>
    <w:rPr>
      <w:sz w:val="18"/>
      <w:szCs w:val="18"/>
    </w:rPr>
  </w:style>
  <w:style w:type="character" w:customStyle="1" w:styleId="18">
    <w:name w:val="页脚 字符"/>
    <w:basedOn w:val="14"/>
    <w:link w:val="7"/>
    <w:qFormat/>
    <w:uiPriority w:val="99"/>
    <w:rPr>
      <w:sz w:val="18"/>
      <w:szCs w:val="18"/>
    </w:rPr>
  </w:style>
  <w:style w:type="character" w:customStyle="1" w:styleId="19">
    <w:name w:val="标题 2 字符"/>
    <w:basedOn w:val="14"/>
    <w:link w:val="4"/>
    <w:qFormat/>
    <w:uiPriority w:val="9"/>
    <w:rPr>
      <w:rFonts w:asciiTheme="majorHAnsi" w:hAnsiTheme="majorHAnsi" w:eastAsiaTheme="majorEastAsia" w:cstheme="majorBidi"/>
      <w:b/>
      <w:bCs/>
      <w:sz w:val="32"/>
      <w:szCs w:val="32"/>
    </w:rPr>
  </w:style>
  <w:style w:type="character" w:customStyle="1" w:styleId="20">
    <w:name w:val="标题 1 字符"/>
    <w:basedOn w:val="14"/>
    <w:link w:val="3"/>
    <w:qFormat/>
    <w:uiPriority w:val="9"/>
    <w:rPr>
      <w:b/>
      <w:bCs/>
      <w:kern w:val="44"/>
      <w:sz w:val="44"/>
      <w:szCs w:val="44"/>
    </w:rPr>
  </w:style>
  <w:style w:type="paragraph" w:customStyle="1" w:styleId="21">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2">
    <w:name w:val="批注框文本 字符"/>
    <w:basedOn w:val="14"/>
    <w:link w:val="6"/>
    <w:semiHidden/>
    <w:qFormat/>
    <w:uiPriority w:val="99"/>
    <w:rPr>
      <w:sz w:val="18"/>
      <w:szCs w:val="18"/>
    </w:rPr>
  </w:style>
  <w:style w:type="paragraph" w:customStyle="1" w:styleId="23">
    <w:name w:val="正文2"/>
    <w:basedOn w:val="1"/>
    <w:qFormat/>
    <w:uiPriority w:val="0"/>
    <w:pPr>
      <w:spacing w:after="80" w:line="360" w:lineRule="auto"/>
      <w:ind w:firstLine="420" w:firstLineChars="200"/>
    </w:pPr>
    <w:rPr>
      <w:rFonts w:ascii="楷体" w:hAnsi="楷体" w:eastAsia="楷体"/>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04247A-B4FE-47AC-8CD1-DA47B1BE7605}">
  <ds:schemaRefs/>
</ds:datastoreItem>
</file>

<file path=docProps/app.xml><?xml version="1.0" encoding="utf-8"?>
<Properties xmlns="http://schemas.openxmlformats.org/officeDocument/2006/extended-properties" xmlns:vt="http://schemas.openxmlformats.org/officeDocument/2006/docPropsVTypes">
  <Template>Normal</Template>
  <Pages>13</Pages>
  <Words>901</Words>
  <Characters>5142</Characters>
  <Lines>42</Lines>
  <Paragraphs>12</Paragraphs>
  <TotalTime>102</TotalTime>
  <ScaleCrop>false</ScaleCrop>
  <LinksUpToDate>false</LinksUpToDate>
  <CharactersWithSpaces>6031</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2023-10-07T23:28:00Z</dcterms:created>
  <dc:creator>admin</dc:creator>
  <cp:lastModifiedBy>陈欣</cp:lastModifiedBy>
  <dcterms:modified xsi:type="dcterms:W3CDTF">2025-11-17T02:41:34Z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1CA4B86A42C61843164714699B2CC4C0_43</vt:lpwstr>
  </property>
  <property fmtid="{D5CDD505-2E9C-101B-9397-08002B2CF9AE}" pid="4" name="KSOTemplateDocerSaveRecord">
    <vt:lpwstr>eyJoZGlkIjoiMTFmYjg0ODkxNWJlYWJmYjk1MjM4MWMyMDYxZmI0NzQifQ==</vt:lpwstr>
  </property>
</Properties>
</file>