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napToGrid w:val="0"/>
        <w:spacing w:line="276" w:lineRule="auto"/>
        <w:jc w:val="center"/>
        <w:outlineLvl w:val="0"/>
        <w:rPr>
          <w:rFonts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 xml:space="preserve"> </w:t>
      </w:r>
    </w:p>
    <w:p>
      <w:pPr>
        <w:pStyle w:val="5"/>
        <w:snapToGrid w:val="0"/>
        <w:spacing w:line="276" w:lineRule="auto"/>
        <w:jc w:val="center"/>
        <w:outlineLvl w:val="0"/>
        <w:rPr>
          <w:rFonts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>评审方法及</w:t>
      </w:r>
      <w:r>
        <w:rPr>
          <w:rFonts w:hAnsi="宋体"/>
          <w:b/>
          <w:sz w:val="28"/>
          <w:szCs w:val="28"/>
        </w:rPr>
        <w:t>评审</w:t>
      </w:r>
      <w:r>
        <w:rPr>
          <w:rFonts w:hint="eastAsia" w:hAnsi="宋体"/>
          <w:b/>
          <w:sz w:val="28"/>
          <w:szCs w:val="28"/>
        </w:rPr>
        <w:t>标准</w:t>
      </w:r>
    </w:p>
    <w:p>
      <w:pPr>
        <w:pStyle w:val="5"/>
        <w:spacing w:line="276" w:lineRule="auto"/>
        <w:ind w:firstLine="422" w:firstLineChars="200"/>
        <w:rPr>
          <w:rFonts w:hAnsi="宋体"/>
          <w:b/>
          <w:bCs/>
        </w:rPr>
      </w:pPr>
      <w:r>
        <w:rPr>
          <w:rFonts w:hint="eastAsia" w:hAnsi="宋体"/>
          <w:b/>
          <w:bCs/>
        </w:rPr>
        <w:t>一、评审原则：</w:t>
      </w:r>
    </w:p>
    <w:p>
      <w:pPr>
        <w:pStyle w:val="5"/>
        <w:spacing w:line="276" w:lineRule="auto"/>
        <w:rPr>
          <w:rFonts w:hAnsi="宋体"/>
          <w:b/>
          <w:bCs/>
        </w:rPr>
      </w:pPr>
      <w:r>
        <w:rPr>
          <w:rFonts w:hint="eastAsia" w:hAnsi="宋体"/>
          <w:bCs/>
        </w:rPr>
        <w:t>（一）评审依据：评审小组将以</w:t>
      </w:r>
      <w:r>
        <w:rPr>
          <w:rFonts w:hint="eastAsia" w:hAnsi="宋体"/>
        </w:rPr>
        <w:t>采购文件、响应文件为评审依据</w:t>
      </w:r>
      <w:r>
        <w:rPr>
          <w:rFonts w:hint="eastAsia" w:hAnsi="宋体"/>
          <w:bCs/>
        </w:rPr>
        <w:t>，对响应文件进行评分。</w:t>
      </w:r>
    </w:p>
    <w:p>
      <w:pPr>
        <w:pStyle w:val="5"/>
        <w:spacing w:line="276" w:lineRule="auto"/>
        <w:ind w:firstLine="422"/>
        <w:jc w:val="left"/>
        <w:rPr>
          <w:rFonts w:hAnsi="宋体"/>
          <w:b/>
          <w:bCs/>
        </w:rPr>
      </w:pPr>
      <w:r>
        <w:rPr>
          <w:rFonts w:hint="eastAsia" w:hAnsi="宋体"/>
          <w:b/>
          <w:bCs/>
        </w:rPr>
        <w:t>二、成交候选人推荐原则</w:t>
      </w:r>
    </w:p>
    <w:p>
      <w:pPr>
        <w:pStyle w:val="4"/>
        <w:ind w:firstLine="420"/>
      </w:pPr>
      <w:r>
        <w:rPr>
          <w:rFonts w:hint="eastAsia" w:ascii="宋体" w:hAnsi="宋体"/>
          <w:szCs w:val="21"/>
        </w:rPr>
        <w:t>评审小组应当根据</w:t>
      </w:r>
      <w:r>
        <w:rPr>
          <w:rFonts w:hint="eastAsia" w:ascii="宋体" w:hAnsi="宋体"/>
          <w:bCs/>
          <w:szCs w:val="21"/>
        </w:rPr>
        <w:t>综合</w:t>
      </w:r>
      <w:r>
        <w:rPr>
          <w:rFonts w:hint="eastAsia" w:ascii="宋体" w:hAnsi="宋体"/>
          <w:szCs w:val="21"/>
        </w:rPr>
        <w:t>评分情况，按照评审得分由高到低顺序推荐成交候选供应商。评审得分相同的，按照最后报价由低到高的顺序推荐。评审得分且最后报价相同的，按</w:t>
      </w:r>
      <w:r>
        <w:rPr>
          <w:rFonts w:hint="eastAsia"/>
        </w:rPr>
        <w:t>服务能力</w:t>
      </w:r>
      <w:r>
        <w:rPr>
          <w:rFonts w:ascii="宋体" w:hAnsi="宋体"/>
          <w:szCs w:val="21"/>
        </w:rPr>
        <w:t>由高到低</w:t>
      </w:r>
      <w:r>
        <w:rPr>
          <w:rFonts w:hint="eastAsia" w:ascii="宋体" w:hAnsi="宋体"/>
          <w:szCs w:val="21"/>
        </w:rPr>
        <w:t xml:space="preserve">顺序推荐。 </w:t>
      </w:r>
    </w:p>
    <w:p>
      <w:pPr>
        <w:pStyle w:val="2"/>
      </w:pPr>
    </w:p>
    <w:tbl>
      <w:tblPr>
        <w:tblStyle w:val="9"/>
        <w:tblW w:w="9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134"/>
        <w:gridCol w:w="2299"/>
        <w:gridCol w:w="4073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（一）、商务评审（</w:t>
            </w:r>
            <w:r>
              <w:rPr>
                <w:rFonts w:hint="eastAsia"/>
                <w:b/>
                <w:lang w:val="en-US" w:eastAsia="zh-CN"/>
              </w:rPr>
              <w:t>5</w:t>
            </w:r>
            <w:r>
              <w:rPr>
                <w:rFonts w:hint="eastAsia"/>
                <w:b/>
              </w:rPr>
              <w:t>0</w:t>
            </w:r>
            <w:r>
              <w:rPr>
                <w:b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企业资质证书情况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质量、环境、职业健康安全管理体系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通过质量、环境、职业健康安全管理体系认证。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1.</w:t>
            </w:r>
            <w:r>
              <w:rPr>
                <w:rFonts w:hint="eastAsia"/>
              </w:rPr>
              <w:t>三证齐全且证书在有效期内，得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分；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2.具有两证且证书在有效期内，得2分；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3.</w:t>
            </w:r>
            <w:r>
              <w:rPr>
                <w:rFonts w:hint="eastAsia"/>
              </w:rPr>
              <w:t>仅有一证且证书在有效期内，得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分；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.未提供相关佐证材料或证书不在有效期内，得0分。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3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财务及经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营状况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财务及经营状况，须提供经审计的财务报表。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（</w:t>
            </w:r>
            <w:r>
              <w:t>2022-2024</w:t>
            </w:r>
            <w:r>
              <w:rPr>
                <w:rFonts w:hint="eastAsia"/>
              </w:rPr>
              <w:t xml:space="preserve"> 年经审计的财务报表；若投标人成立年份不足的，需提供自成立以来的财务审计报告，若成立不足一年的需提供开户银行出具的资信证明或验资报告。）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eastAsia"/>
              </w:rPr>
              <w:t xml:space="preserve"> 分＜得分≤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0 分）：具有3年审计报告，且近 3 年利润率、负债率等财务指标。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良（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 xml:space="preserve"> 分＜得分≤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 xml:space="preserve"> 分）：具有</w:t>
            </w:r>
            <w:r>
              <w:t>2</w:t>
            </w:r>
            <w:r>
              <w:rPr>
                <w:rFonts w:hint="eastAsia"/>
              </w:rPr>
              <w:t>年审计报告且近 3 年利润率、负债率等财务指标较。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中（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 xml:space="preserve"> 分＜得分≤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 xml:space="preserve"> 分）：具有</w:t>
            </w:r>
            <w:r>
              <w:t>1</w:t>
            </w:r>
            <w:r>
              <w:rPr>
                <w:rFonts w:hint="eastAsia"/>
              </w:rPr>
              <w:t>年审计报告近 3 年利润率、负债率等财务指标一般。</w:t>
            </w:r>
          </w:p>
          <w:p>
            <w:pPr>
              <w:spacing w:line="400" w:lineRule="exact"/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差（0 分≤得分≤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 xml:space="preserve"> 分）：无审计报告，近 3 年利润率、负债率等财务指标差</w:t>
            </w:r>
            <w:r>
              <w:rPr>
                <w:rFonts w:hint="eastAsia"/>
                <w:lang w:eastAsia="zh-CN"/>
              </w:rPr>
              <w:t>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专业技术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能力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专业技术能力（提供与相关标的分类从事相应专业的人员学历及职称信息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 xml:space="preserve"> 分）：专业技术人员≥</w:t>
            </w:r>
            <w:r>
              <w:t>15</w:t>
            </w:r>
            <w:r>
              <w:rPr>
                <w:rFonts w:hint="eastAsia"/>
              </w:rPr>
              <w:t xml:space="preserve"> 人。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良（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 xml:space="preserve"> 分）：10 人≤专业技术人员＜</w:t>
            </w:r>
            <w:r>
              <w:t>15</w:t>
            </w:r>
            <w:r>
              <w:rPr>
                <w:rFonts w:hint="eastAsia"/>
              </w:rPr>
              <w:t>人。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中（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 xml:space="preserve"> 分）：专业技术人员＜10 人。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差（0 分）：未提供专业技术人员。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商务响应性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其他响应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t>全部响应招标文件和合同要求得满分，出现非实质性条款负偏差（不满足招标要求），每项扣1分，本项最低得0分。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7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业绩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业绩（附相关合同的关键页签订证明等）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t>提供同类项目业绩证明及对应的项目发票凭证及验收证明。起始分为 0 分，</w:t>
            </w:r>
            <w:r>
              <w:rPr>
                <w:rFonts w:hint="eastAsia"/>
              </w:rPr>
              <w:t>提供</w:t>
            </w:r>
            <w:r>
              <w:t>1</w:t>
            </w:r>
            <w:r>
              <w:rPr>
                <w:rFonts w:hint="eastAsia"/>
              </w:rPr>
              <w:t>份合同</w:t>
            </w:r>
            <w:r>
              <w:t>加2分，最高2</w:t>
            </w:r>
            <w:r>
              <w:rPr>
                <w:rFonts w:hint="eastAsia"/>
                <w:lang w:val="en-US" w:eastAsia="zh-CN"/>
              </w:rPr>
              <w:t>5</w:t>
            </w:r>
            <w:r>
              <w:t>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val="en-US" w:eastAsia="zh-CN"/>
              </w:rPr>
            </w:pPr>
            <w:r>
              <w:t>2</w:t>
            </w:r>
            <w:r>
              <w:rPr>
                <w:rFonts w:hint="eastAsia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（二）、技术评审（</w:t>
            </w:r>
            <w:r>
              <w:rPr>
                <w:rFonts w:hint="eastAsia"/>
                <w:b/>
                <w:lang w:val="en-US" w:eastAsia="zh-CN"/>
              </w:rPr>
              <w:t>7</w:t>
            </w:r>
            <w:r>
              <w:rPr>
                <w:b/>
              </w:rPr>
              <w:t>0）分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项目</w:t>
            </w:r>
            <w:r>
              <w:rPr>
                <w:rFonts w:hint="eastAsia"/>
                <w:lang w:val="en-US" w:eastAsia="zh-CN"/>
              </w:rPr>
              <w:t>研发情况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项目研究目标和任务的理解程度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项目研究目标和任务理解透彻，对研究内容、关键难点、技术路线、实施方案分析准确，表述清晰、严谨，具有操作实施性。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优（14 分＜得分≤20 分）；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良（6 分＜得分≤14 分）；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中（1 分＜得分≤6 分）； 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功能、技</w:t>
            </w:r>
          </w:p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术指标及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创新性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功能、技术指标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及创新性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功能、技术指标、研究成果指标满足要求，具有创新性。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优（11 分＜得分≤15 分）；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良（5 分＜得分≤11 分）；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中（1 分＜得分≤5 分）； 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t>15.0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t>技术应答情况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t>技术要求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技术规范书和技术要求应答情况。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优（11 分＜得分≤15 分）：技术应答完整、清晰，对需说明的内容有详细阐述，完全响应招标文件要求。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良（5 分＜得分≤11 分）：技术应答较为完整、清晰，对需说明的内容有相关阐述，基本响应招标文件要求。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中（1 分＜得分≤5 分）：技术应答一般，对需说明的内容阐述不全，部分条款未响应招标文件要求； 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t>15.0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服务承诺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服务承诺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项目服务响应和服务承诺情况。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优（5 分＜得分≤10 分）：服务响应及时，服务措施较完整，服务承诺较优。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中（1 分＜得分≤5 分）：服务响应、服务措施和服务承诺一般； </w:t>
            </w:r>
            <w:bookmarkStart w:id="0" w:name="_GoBack"/>
            <w:bookmarkEnd w:id="0"/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2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>
            <w:pPr>
              <w:spacing w:line="400" w:lineRule="exact"/>
              <w:jc w:val="left"/>
            </w:pPr>
            <w:r>
              <w:rPr>
                <w:b/>
              </w:rPr>
              <w:t>（</w:t>
            </w:r>
            <w:r>
              <w:rPr>
                <w:rFonts w:hint="eastAsia"/>
                <w:b/>
              </w:rPr>
              <w:t>三</w:t>
            </w:r>
            <w:r>
              <w:rPr>
                <w:b/>
              </w:rPr>
              <w:t>）、</w:t>
            </w:r>
            <w:r>
              <w:rPr>
                <w:rFonts w:hint="eastAsia"/>
                <w:b/>
              </w:rPr>
              <w:t>价格</w:t>
            </w:r>
            <w:r>
              <w:rPr>
                <w:b/>
              </w:rPr>
              <w:t>评审（</w:t>
            </w:r>
            <w:r>
              <w:rPr>
                <w:rFonts w:hint="eastAsia"/>
                <w:b/>
                <w:lang w:val="en-US" w:eastAsia="zh-CN"/>
              </w:rPr>
              <w:t>3</w:t>
            </w:r>
            <w:r>
              <w:rPr>
                <w:b/>
              </w:rPr>
              <w:t>0）分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价格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2299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最后报价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4073" w:type="dxa"/>
            <w:vAlign w:val="center"/>
          </w:tcPr>
          <w:p>
            <w:pPr>
              <w:snapToGrid w:val="0"/>
              <w:spacing w:line="276" w:lineRule="auto"/>
              <w:ind w:firstLine="420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（1）以进入综合评分环节的最低评审报价合计金额（指所有供应商代理费合计总金额的平均值）为基准价，计算价格分。本项目价格分为3</w:t>
            </w:r>
            <w:r>
              <w:rPr>
                <w:rFonts w:ascii="宋体" w:hAnsi="宋体"/>
                <w:bCs/>
                <w:szCs w:val="21"/>
              </w:rPr>
              <w:t>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  <w:p>
            <w:pPr>
              <w:spacing w:line="400" w:lineRule="exact"/>
              <w:jc w:val="left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（2）价格分计算公式：某供应商价格分=基准价/某供应商代理费合计总金额×</w:t>
            </w:r>
            <w:r>
              <w:rPr>
                <w:rFonts w:ascii="宋体" w:hAnsi="宋体"/>
                <w:bCs/>
                <w:szCs w:val="21"/>
              </w:rPr>
              <w:t>30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 w:hAnsi="宋体"/>
                <w:b/>
                <w:bCs/>
              </w:rPr>
              <w:t>总得分=商务评审分+技术评审分+价格评审分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616F6E"/>
    <w:rsid w:val="00016AE4"/>
    <w:rsid w:val="000202B6"/>
    <w:rsid w:val="00051E67"/>
    <w:rsid w:val="00072621"/>
    <w:rsid w:val="001D5FE5"/>
    <w:rsid w:val="002818B3"/>
    <w:rsid w:val="002E66EF"/>
    <w:rsid w:val="00314DB6"/>
    <w:rsid w:val="00332B1D"/>
    <w:rsid w:val="003B536A"/>
    <w:rsid w:val="004707F7"/>
    <w:rsid w:val="00491D50"/>
    <w:rsid w:val="004A6B66"/>
    <w:rsid w:val="004E2C44"/>
    <w:rsid w:val="00523636"/>
    <w:rsid w:val="005D4633"/>
    <w:rsid w:val="006331C5"/>
    <w:rsid w:val="007B5C21"/>
    <w:rsid w:val="00840AD7"/>
    <w:rsid w:val="008532C7"/>
    <w:rsid w:val="008D572A"/>
    <w:rsid w:val="009E6606"/>
    <w:rsid w:val="00A62884"/>
    <w:rsid w:val="00B76CBC"/>
    <w:rsid w:val="00BB54A3"/>
    <w:rsid w:val="00D32C41"/>
    <w:rsid w:val="00D72B14"/>
    <w:rsid w:val="00DF5863"/>
    <w:rsid w:val="00EB7F06"/>
    <w:rsid w:val="00F04974"/>
    <w:rsid w:val="00FC3E03"/>
    <w:rsid w:val="031A2823"/>
    <w:rsid w:val="044E7D8A"/>
    <w:rsid w:val="0508058A"/>
    <w:rsid w:val="0CF34297"/>
    <w:rsid w:val="13816ECC"/>
    <w:rsid w:val="17616F6E"/>
    <w:rsid w:val="186D15A1"/>
    <w:rsid w:val="1872382B"/>
    <w:rsid w:val="19C0314D"/>
    <w:rsid w:val="1B185113"/>
    <w:rsid w:val="1C546989"/>
    <w:rsid w:val="1CEE32CF"/>
    <w:rsid w:val="20E9518E"/>
    <w:rsid w:val="21477726"/>
    <w:rsid w:val="21852757"/>
    <w:rsid w:val="23906366"/>
    <w:rsid w:val="26331017"/>
    <w:rsid w:val="27A7649B"/>
    <w:rsid w:val="2A315B45"/>
    <w:rsid w:val="2C333C14"/>
    <w:rsid w:val="2DB43208"/>
    <w:rsid w:val="2E4375F4"/>
    <w:rsid w:val="32326DEE"/>
    <w:rsid w:val="327A0EC0"/>
    <w:rsid w:val="3A2E3E02"/>
    <w:rsid w:val="3AAB1217"/>
    <w:rsid w:val="3BDC4F09"/>
    <w:rsid w:val="3D273115"/>
    <w:rsid w:val="40C66554"/>
    <w:rsid w:val="42B34A7B"/>
    <w:rsid w:val="435509D0"/>
    <w:rsid w:val="44C012D8"/>
    <w:rsid w:val="459245EA"/>
    <w:rsid w:val="48B91E5D"/>
    <w:rsid w:val="497A2022"/>
    <w:rsid w:val="4BA87B8E"/>
    <w:rsid w:val="51B57FA9"/>
    <w:rsid w:val="52A568BB"/>
    <w:rsid w:val="52C24988"/>
    <w:rsid w:val="54234767"/>
    <w:rsid w:val="55014595"/>
    <w:rsid w:val="57913B08"/>
    <w:rsid w:val="582106B6"/>
    <w:rsid w:val="5A8C449C"/>
    <w:rsid w:val="5C2E7B1F"/>
    <w:rsid w:val="5DA479ED"/>
    <w:rsid w:val="5E1D0E75"/>
    <w:rsid w:val="621D3630"/>
    <w:rsid w:val="6BE2040C"/>
    <w:rsid w:val="6FB46AE8"/>
    <w:rsid w:val="7577700C"/>
    <w:rsid w:val="7B5641E6"/>
    <w:rsid w:val="7C410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autoSpaceDE w:val="0"/>
      <w:autoSpaceDN w:val="0"/>
      <w:adjustRightInd w:val="0"/>
      <w:outlineLvl w:val="0"/>
    </w:pPr>
    <w:rPr>
      <w:rFonts w:ascii="Arial" w:hAnsi="Arial" w:eastAsia="宋体" w:cs="Times New Roman"/>
      <w:b/>
      <w:color w:val="000000"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Plain Text"/>
    <w:basedOn w:val="1"/>
    <w:next w:val="1"/>
    <w:qFormat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Body Text First Indent"/>
    <w:basedOn w:val="1"/>
    <w:qFormat/>
    <w:uiPriority w:val="0"/>
    <w:pPr>
      <w:ind w:firstLine="420" w:firstLineChars="100"/>
    </w:pPr>
    <w:rPr>
      <w:rFonts w:ascii="Times New Roman" w:hAnsi="Times New Roman" w:eastAsia="宋体" w:cs="Times New Roman"/>
      <w:szCs w:val="20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  <w:spacing w:line="320" w:lineRule="exact"/>
      <w:ind w:firstLine="200" w:firstLineChars="20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1548</Words>
  <Characters>1607</Characters>
  <Lines>19</Lines>
  <Paragraphs>5</Paragraphs>
  <TotalTime>16</TotalTime>
  <ScaleCrop>false</ScaleCrop>
  <LinksUpToDate>false</LinksUpToDate>
  <CharactersWithSpaces>1665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2025-04-11T10:41:00Z</dcterms:created>
  <dc:creator>2176582E6DB647989B571133181FE602</dc:creator>
  <cp:lastModifiedBy>周俊宇</cp:lastModifiedBy>
  <dcterms:modified xsi:type="dcterms:W3CDTF">2025-11-24T02:01:20Z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D40B7092A83F4E8ABEC4AFFD3D47ACCA_13</vt:lpwstr>
  </property>
  <property fmtid="{D5CDD505-2E9C-101B-9397-08002B2CF9AE}" pid="4" name="KSOTemplateDocerSaveRecord">
    <vt:lpwstr>eyJoZGlkIjoiMzEwNTM5NzYwMDRjMzkwZTVkZjY2ODkwMGIxNGU0OTUiLCJ1c2VySWQiOiI3MTE2Mjc4MTMifQ==</vt:lpwstr>
  </property>
</Properties>
</file>