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default" w:ascii="宋体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bookmarkStart w:id="0" w:name="_Toc8445"/>
      <w:r>
        <w:rPr>
          <w:rFonts w:hint="eastAsia" w:hAnsi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  <w:t>标的1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名称：</w:t>
      </w:r>
      <w:r>
        <w:rPr>
          <w:rFonts w:hint="eastAsia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广东</w:t>
      </w:r>
      <w:r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  <w:t>500千伏乐昌输变电工程施工</w:t>
      </w:r>
    </w:p>
    <w:tbl>
      <w:tblPr>
        <w:tblStyle w:val="14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广东电网有限责任公司韶关供电局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韶关市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南方电网规划〔2025〕15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项目核准、备案文号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韶发改核准〔2025〕11号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广电计财〔2025〕33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南方电网工程【2025】6号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中国能源建设集团广东电力设计研究院有限公司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暂无</w:t>
            </w:r>
          </w:p>
        </w:tc>
      </w:tr>
    </w:tbl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default" w:hAnsi="宋体" w:cs="宋体"/>
          <w:b/>
          <w:color w:val="auto"/>
          <w:sz w:val="28"/>
          <w:szCs w:val="28"/>
          <w:highlight w:val="none"/>
          <w:lang w:val="en-US" w:eastAsia="zh-CN"/>
        </w:rPr>
      </w:pPr>
    </w:p>
    <w:bookmarkEnd w:id="0"/>
    <w:p>
      <w:pPr>
        <w:pStyle w:val="11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建设规模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1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</w:t>
      </w: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工程</w:t>
      </w:r>
    </w:p>
    <w:p>
      <w:pPr>
        <w:pStyle w:val="11"/>
        <w:keepNext w:val="0"/>
        <w:keepLines w:val="0"/>
        <w:suppressLineNumbers w:val="0"/>
        <w:spacing w:before="0" w:beforeAutospacing="0" w:after="0" w:afterAutospacing="0" w:line="360" w:lineRule="auto"/>
        <w:ind w:left="0" w:right="0" w:firstLine="422" w:firstLineChars="20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1、500千伏乐昌变电站新建工程：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本期新建1000兆伏安主变1组、500千伏出线2回、220千伏出线2回。本期新建主变低压侧装设60兆乏低压并联电容器2组、60兆乏低压并联电抗器1组。站区总建筑面积4898.96平方米，均为装配式建筑，其中主控通信楼、500kV继电器小室、380V中央配电室、消防泵房、专用品库、警传室采用钢框架结构，220kVGIS室采用钢筋混凝土柱+钢梁结构</w:t>
      </w:r>
      <w:r>
        <w:rPr>
          <w:rFonts w:hint="eastAsia" w:hAnsi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外墙采用装配式</w:t>
      </w:r>
      <w:r>
        <w:rPr>
          <w:rFonts w:hint="eastAsia" w:hAnsi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墙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板。</w:t>
      </w:r>
    </w:p>
    <w:p>
      <w:pPr>
        <w:pStyle w:val="11"/>
        <w:keepNext w:val="0"/>
        <w:keepLines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="0" w:leftChars="0" w:right="0" w:rightChars="0" w:firstLine="422" w:firstLineChars="20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2、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对侧500千伏曲江变电站保护改造工程：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500kV曲江变电站原坪石B厂线线路保护改造。其他二次系统与前期保持一致，本期无改动。</w:t>
      </w:r>
    </w:p>
    <w:p>
      <w:pPr>
        <w:pStyle w:val="11"/>
        <w:keepNext w:val="0"/>
        <w:keepLines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="0" w:leftChars="0" w:right="0" w:rightChars="0" w:firstLine="422" w:firstLineChars="200"/>
        <w:rPr>
          <w:rFonts w:hint="default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3、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安全稳定控制系统工程：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500kV安全稳定控制装置及系统调试。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1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</w:t>
      </w: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）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线路工程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1、500kV乐昌解口坪曲线线路工程：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1）本工程将已建曲江～坪石B厂500千伏单回线路解口接入500千伏乐昌站，新建线路长度约27.0公里，其中乐昌～坪石B厂侧新建线路路径长约13.5公里，乐昌～曲江侧新建线路路径长约13.5公里。两条解口线路采用2个单回路并行架设。拆除500千伏坪石B厂～曲江线路旧线约2.0公里，拆除旧塔3基。解口后形成乐昌～坪石B厂线路路径长度约16.1公里，乐昌～曲江线路路径长度约118.7公里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2）新建500千伏线路一档跨越110千伏关塘甲、乙线。为避免新建线路施工架线期间引起110千伏关塘甲、乙线同停，影响京广铁路牵引站电力供应，局部迁改110千伏关塘乙线。新建110千伏临时转供电线路路径长度约1公里，新建铁塔6基。拆除110千伏关塘乙线旧导地线路径长度约0.8公里，拆除旧塔4基；调整旧导地线弧垂约0.5公里。临时转供电完成后，该段转供电线路按永久旁路考虑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1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（三）通信工程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1、配套通信设备工程：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本期建设广东省传输ASON网、保底通信网公共域、韶关地区传输ASON网、保底通信网粤北域光纤电路及相应配置。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2、500kV乐昌解口坪曲线线路OPGW工程：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本工程随乐昌站至500kV坪曲线解口点新建的两条单回500kV线路分别架设1根48芯OPGW光缆；随乐昌站至110kV塘口站新建永久站外10kV电源线路建设1根48芯光缆。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具体建设规模以施工图纸为准。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采购范围</w:t>
      </w:r>
      <w:bookmarkStart w:id="1" w:name="施工招标范围综合"/>
    </w:p>
    <w:bookmarkEnd w:id="1"/>
    <w:p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包括施工图范围内的建筑、安装及调试工程。施工图范围内的下列工作内容，无□及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instrText xml:space="preserve"> EQ \o\ac(</w:instrText>
      </w:r>
      <w:r>
        <w:rPr>
          <w:rFonts w:hint="eastAsia" w:ascii="宋体" w:hAnsi="宋体" w:eastAsia="宋体" w:cs="宋体"/>
          <w:b/>
          <w:bCs/>
          <w:color w:val="auto"/>
          <w:position w:val="-4"/>
          <w:sz w:val="31"/>
          <w:szCs w:val="21"/>
          <w:highlight w:val="none"/>
          <w:lang w:val="en-US" w:eastAsia="zh-CN"/>
        </w:rPr>
        <w:instrText xml:space="preserve">□</w:instrText>
      </w:r>
      <w:r>
        <w:rPr>
          <w:rFonts w:hint="eastAsia" w:ascii="宋体" w:hAnsi="宋体" w:eastAsia="宋体" w:cs="宋体"/>
          <w:b/>
          <w:bCs/>
          <w:color w:val="auto"/>
          <w:position w:val="0"/>
          <w:sz w:val="21"/>
          <w:szCs w:val="21"/>
          <w:highlight w:val="none"/>
          <w:lang w:val="en-US" w:eastAsia="zh-CN"/>
        </w:rPr>
        <w:instrText xml:space="preserve">,√)</w:instrTex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的为本次报价范围；□未打√的，不在本次报价范围内，特殊情况在“其他”中说明。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变电部分：</w:t>
      </w:r>
    </w:p>
    <w:p>
      <w:pPr>
        <w:autoSpaceDE w:val="0"/>
        <w:autoSpaceDN w:val="0"/>
        <w:adjustRightInd w:val="0"/>
        <w:spacing w:line="360" w:lineRule="auto"/>
        <w:ind w:firstLine="422" w:firstLineChars="200"/>
        <w:jc w:val="left"/>
        <w:rPr>
          <w:rFonts w:hAnsi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b/>
          <w:color w:val="auto"/>
          <w:sz w:val="21"/>
          <w:szCs w:val="21"/>
          <w:highlight w:val="none"/>
        </w:rPr>
        <w:t>变电</w:t>
      </w: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</w:rPr>
        <w:t>建筑工程：</w:t>
      </w:r>
    </w:p>
    <w:p>
      <w:pPr>
        <w:autoSpaceDE w:val="0"/>
        <w:autoSpaceDN w:val="0"/>
        <w:adjustRightInd w:val="0"/>
        <w:spacing w:line="360" w:lineRule="auto"/>
        <w:ind w:firstLine="422" w:firstLineChars="200"/>
        <w:jc w:val="left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</w:rPr>
        <w:t>（一）主要生产工程：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主要生产建筑，配电装置建筑，供水系统，消防系统；</w:t>
      </w:r>
    </w:p>
    <w:p>
      <w:pPr>
        <w:autoSpaceDE w:val="0"/>
        <w:autoSpaceDN w:val="0"/>
        <w:adjustRightInd w:val="0"/>
        <w:spacing w:line="360" w:lineRule="auto"/>
        <w:ind w:firstLine="422" w:firstLineChars="200"/>
        <w:jc w:val="left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</w:rPr>
        <w:t>（二）辅助生产工程：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辅助生产建筑，站区性建筑，特殊构筑物，全站沉降观测点，站区绿化；</w:t>
      </w:r>
    </w:p>
    <w:p>
      <w:pPr>
        <w:autoSpaceDE w:val="0"/>
        <w:autoSpaceDN w:val="0"/>
        <w:adjustRightInd w:val="0"/>
        <w:spacing w:line="360" w:lineRule="auto"/>
        <w:ind w:firstLine="422" w:firstLineChars="200"/>
        <w:jc w:val="left"/>
        <w:rPr>
          <w:rFonts w:ascii="宋体" w:hAnsi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</w:rPr>
        <w:t>（三）与站址有关的单项工程</w:t>
      </w:r>
      <w:r>
        <w:rPr>
          <w:rFonts w:hint="eastAsia" w:hAnsi="宋体"/>
          <w:b/>
          <w:bCs/>
          <w:color w:val="auto"/>
          <w:sz w:val="21"/>
          <w:szCs w:val="21"/>
          <w:highlight w:val="none"/>
        </w:rPr>
        <w:t>：</w:t>
      </w:r>
    </w:p>
    <w:p>
      <w:pPr>
        <w:autoSpaceDE w:val="0"/>
        <w:autoSpaceDN w:val="0"/>
        <w:adjustRightInd w:val="0"/>
        <w:spacing w:line="360" w:lineRule="auto"/>
        <w:ind w:firstLine="420"/>
        <w:jc w:val="left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地基处理，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站外道路（其中□桥涵）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站外水源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，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站外排水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□站外蒸发池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施工降水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临时施工电源，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□临时施工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水源，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□临时施工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道路，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hAnsi="宋体"/>
          <w:bCs/>
          <w:color w:val="auto"/>
          <w:sz w:val="21"/>
          <w:szCs w:val="21"/>
          <w:highlight w:val="none"/>
        </w:rPr>
        <w:t>临时施工通信线路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临时施工防护工程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；</w:t>
      </w:r>
    </w:p>
    <w:p>
      <w:pPr>
        <w:autoSpaceDE w:val="0"/>
        <w:autoSpaceDN w:val="0"/>
        <w:adjustRightInd w:val="0"/>
        <w:spacing w:line="360" w:lineRule="auto"/>
        <w:ind w:firstLine="420"/>
        <w:jc w:val="left"/>
        <w:rPr>
          <w:rFonts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（四）其他费用工程：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hAnsi="宋体" w:cs="宋体"/>
          <w:color w:val="auto"/>
          <w:sz w:val="21"/>
          <w:szCs w:val="21"/>
          <w:highlight w:val="none"/>
        </w:rPr>
        <w:t>白蚁防治，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hAnsi="宋体" w:cs="宋体"/>
          <w:color w:val="auto"/>
          <w:sz w:val="21"/>
          <w:szCs w:val="21"/>
          <w:highlight w:val="none"/>
        </w:rPr>
        <w:t>拆除工程；</w:t>
      </w:r>
    </w:p>
    <w:p>
      <w:pPr>
        <w:autoSpaceDE w:val="0"/>
        <w:autoSpaceDN w:val="0"/>
        <w:adjustRightInd w:val="0"/>
        <w:spacing w:line="360" w:lineRule="auto"/>
        <w:ind w:firstLine="420"/>
        <w:jc w:val="left"/>
        <w:rPr>
          <w:rFonts w:ascii="宋体" w:hAnsi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（五）其他：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eastAsia="zh-CN"/>
        </w:rPr>
        <w:t>☑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  <w:t>站外水源，按实际发生的费用（经发包人确认）结算</w:t>
      </w:r>
      <w:r>
        <w:rPr>
          <w:rFonts w:hint="eastAsia" w:hAnsi="宋体" w:cs="宋体"/>
          <w:b w:val="0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变电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安装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工程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：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主要生产工程：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主变压器系统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配电装置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无功补偿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，控制及直流系统，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站用电系统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，电缆及接地，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远动系统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含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总调、中调、地调调度端的扩容）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，计费系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统，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highlight w:val="none"/>
          <w:lang w:eastAsia="zh-CN"/>
        </w:rPr>
        <w:t>全站调试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其中特殊调试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以合同附件特殊调试项目为准）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autoSpaceDE w:val="0"/>
        <w:autoSpaceDN w:val="0"/>
        <w:adjustRightInd w:val="0"/>
        <w:spacing w:line="360" w:lineRule="auto"/>
        <w:ind w:firstLine="420"/>
        <w:jc w:val="left"/>
        <w:rPr>
          <w:rFonts w:hint="eastAsia" w:ascii="宋体" w:hAnsi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  <w:lang w:val="en-US" w:eastAsia="zh-CN"/>
        </w:rPr>
        <w:t>二</w:t>
      </w: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  <w:lang w:eastAsia="zh-CN"/>
        </w:rPr>
        <w:t>）辅助生产工程：</w:t>
      </w:r>
      <w:r>
        <w:rPr>
          <w:rFonts w:hint="eastAsia" w:ascii="宋体" w:hAnsi="宋体"/>
          <w:b w:val="0"/>
          <w:bCs w:val="0"/>
          <w:color w:val="auto"/>
          <w:sz w:val="21"/>
          <w:szCs w:val="21"/>
          <w:highlight w:val="none"/>
          <w:lang w:eastAsia="zh-CN"/>
        </w:rPr>
        <w:t>检修及修配设备；</w:t>
      </w:r>
    </w:p>
    <w:p>
      <w:pPr>
        <w:autoSpaceDE w:val="0"/>
        <w:autoSpaceDN w:val="0"/>
        <w:adjustRightInd w:val="0"/>
        <w:spacing w:line="360" w:lineRule="auto"/>
        <w:ind w:firstLine="420"/>
        <w:jc w:val="left"/>
        <w:rPr>
          <w:rFonts w:hint="eastAsia" w:ascii="宋体" w:hAnsi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eastAsia="zh-CN"/>
        </w:rPr>
        <w:t>（三）</w:t>
      </w: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  <w:lang w:eastAsia="zh-CN"/>
        </w:rPr>
        <w:t>与站址有关的单项工程</w:t>
      </w:r>
      <w:r>
        <w:rPr>
          <w:rFonts w:hint="eastAsia" w:hAnsi="宋体"/>
          <w:b/>
          <w:bCs/>
          <w:color w:val="auto"/>
          <w:sz w:val="21"/>
          <w:szCs w:val="21"/>
          <w:highlight w:val="none"/>
          <w:lang w:val="en-US" w:eastAsia="zh-CN"/>
        </w:rPr>
        <w:t>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/>
          <w:color w:val="auto"/>
          <w:sz w:val="21"/>
          <w:szCs w:val="21"/>
          <w:highlight w:val="none"/>
        </w:rPr>
        <w:t>站外电源，□站外通信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eastAsia="zh-CN"/>
        </w:rPr>
        <w:t>；</w:t>
      </w:r>
    </w:p>
    <w:p>
      <w:pPr>
        <w:autoSpaceDE w:val="0"/>
        <w:autoSpaceDN w:val="0"/>
        <w:adjustRightInd w:val="0"/>
        <w:spacing w:line="360" w:lineRule="auto"/>
        <w:ind w:firstLine="420"/>
        <w:jc w:val="left"/>
        <w:rPr>
          <w:rFonts w:hint="eastAsia" w:hAnsi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eastAsia="zh-CN"/>
        </w:rPr>
        <w:t>（四）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eastAsia="zh-CN"/>
        </w:rPr>
        <w:t>费用工程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/>
          <w:color w:val="auto"/>
          <w:sz w:val="21"/>
          <w:szCs w:val="21"/>
          <w:highlight w:val="none"/>
          <w:u w:val="none"/>
          <w:lang w:eastAsia="zh-CN"/>
        </w:rPr>
        <w:t>标志牌</w:t>
      </w:r>
      <w:r>
        <w:rPr>
          <w:rFonts w:hint="eastAsia"/>
          <w:color w:val="auto"/>
          <w:sz w:val="21"/>
          <w:szCs w:val="21"/>
          <w:highlight w:val="none"/>
          <w:u w:val="none"/>
        </w:rPr>
        <w:t>安</w:t>
      </w:r>
      <w:r>
        <w:rPr>
          <w:rFonts w:hint="eastAsia"/>
          <w:color w:val="auto"/>
          <w:sz w:val="21"/>
          <w:szCs w:val="21"/>
          <w:highlight w:val="none"/>
          <w:u w:val="none"/>
          <w:lang w:eastAsia="zh-CN"/>
        </w:rPr>
        <w:t>装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拆除工程；</w:t>
      </w:r>
    </w:p>
    <w:p>
      <w:pPr>
        <w:autoSpaceDE w:val="0"/>
        <w:autoSpaceDN w:val="0"/>
        <w:adjustRightInd w:val="0"/>
        <w:spacing w:line="360" w:lineRule="auto"/>
        <w:ind w:firstLine="420"/>
        <w:jc w:val="left"/>
        <w:rPr>
          <w:rFonts w:hint="eastAsia" w:ascii="宋体" w:hAnsi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eastAsia="zh-CN"/>
        </w:rPr>
        <w:t>（五）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其他：</w:t>
      </w:r>
    </w:p>
    <w:p>
      <w:pPr>
        <w:autoSpaceDE w:val="0"/>
        <w:autoSpaceDN w:val="0"/>
        <w:adjustRightInd w:val="0"/>
        <w:spacing w:line="360" w:lineRule="auto"/>
        <w:ind w:firstLine="420"/>
        <w:jc w:val="left"/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1、☑本次限价范围不包括二次清册开列的（1）电力监控系统并网前测评（安全评估）、主机加固；（2）网络安全等级保护测评。</w:t>
      </w:r>
    </w:p>
    <w:p>
      <w:pPr>
        <w:autoSpaceDE w:val="0"/>
        <w:autoSpaceDN w:val="0"/>
        <w:adjustRightInd w:val="0"/>
        <w:spacing w:line="360" w:lineRule="auto"/>
        <w:ind w:firstLine="630" w:firstLineChars="300"/>
        <w:jc w:val="left"/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  <w:t>2、☑站外电源10kV迁改工程由中标承包方负责完成，相关费用计入限价，具体以施工图工程量为准</w:t>
      </w:r>
      <w:r>
        <w:rPr>
          <w:rFonts w:hint="eastAsia" w:hAnsi="宋体"/>
          <w:bCs/>
          <w:color w:val="auto"/>
          <w:sz w:val="21"/>
          <w:szCs w:val="21"/>
          <w:highlight w:val="none"/>
          <w:u w:val="single"/>
          <w:lang w:val="en-US" w:eastAsia="zh-CN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422" w:firstLineChars="200"/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※架空线路部分：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基础工程：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基础工程材料工地运输，土石方工程，基础砌筑，基础防腐，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基础防护，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地基处理；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杆塔工程：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杆塔工程材料工地运输，杆塔组立；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接地工程：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接地工程材料工地运输，接地土石方，接地安装；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架线工程：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架线工程材料工地运输，导地线架设（不含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OPGW接续与测量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），导地线跨越架设（其中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带电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10千伏及以下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电力线路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带电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35千伏及以上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电力线路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跨越铁路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☑高速公路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☑一、二级公路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Cs/>
          <w:strike w:val="0"/>
          <w:dstrike w:val="0"/>
          <w:color w:val="auto"/>
          <w:sz w:val="21"/>
          <w:szCs w:val="21"/>
          <w:highlight w:val="none"/>
        </w:rPr>
        <w:t>河流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），其他架线工程；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附件安装工程：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附件安装工程材料工地运输，绝缘子串及金具安装；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（六）辅助工程：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永久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</w:rPr>
        <w:t>施工道路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修筑，</w:t>
      </w:r>
      <w:r>
        <w:rPr>
          <w:rFonts w:hint="eastAsia" w:hAnsi="宋体"/>
          <w:bCs/>
          <w:color w:val="auto"/>
          <w:sz w:val="21"/>
          <w:szCs w:val="21"/>
          <w:highlight w:val="none"/>
          <w:lang w:eastAsia="zh-CN"/>
        </w:rPr>
        <w:t>尖峰、施工基面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土石方工程，护坡、挡土墙及排洪沟，基础永久性围堰，索道站安装，杆塔上装的各类辅助生产装置（其中：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/>
          <w:color w:val="auto"/>
          <w:sz w:val="21"/>
          <w:szCs w:val="21"/>
          <w:highlight w:val="none"/>
          <w:u w:val="none"/>
          <w:lang w:eastAsia="zh-CN"/>
        </w:rPr>
        <w:t>标志牌</w:t>
      </w:r>
      <w:r>
        <w:rPr>
          <w:rFonts w:hint="eastAsia"/>
          <w:color w:val="auto"/>
          <w:sz w:val="21"/>
          <w:szCs w:val="21"/>
          <w:highlight w:val="none"/>
          <w:u w:val="none"/>
        </w:rPr>
        <w:t>安</w:t>
      </w:r>
      <w:r>
        <w:rPr>
          <w:rFonts w:hint="eastAsia"/>
          <w:color w:val="auto"/>
          <w:sz w:val="21"/>
          <w:szCs w:val="21"/>
          <w:highlight w:val="none"/>
          <w:u w:val="none"/>
          <w:lang w:eastAsia="zh-CN"/>
        </w:rPr>
        <w:t>装，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防坠地装置，□防鸟刺装置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输、送电线路试运；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（七）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费用工程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拆除工程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</w:rPr>
        <w:t>施工临时占用地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补偿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</w:rPr>
        <w:t>（含牵引场地租用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费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</w:rPr>
        <w:t>）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，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</w:rPr>
        <w:t>□施工临时占用地（含牵引场地）青苗赔偿，□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临时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</w:rPr>
        <w:t>施工道路的青苗赔偿，□塔基占地及其青苗赔偿，□架线青苗赔偿，□接地线铺设的青苗赔偿，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</w:rPr>
        <w:t>塔基绿化恢复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临时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</w:rPr>
        <w:t>施工道路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修筑费（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>单价/总价均报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），输电线路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跨越补偿费（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hAnsi="宋体"/>
          <w:bCs/>
          <w:color w:val="auto"/>
          <w:sz w:val="21"/>
          <w:szCs w:val="21"/>
          <w:highlight w:val="none"/>
          <w:u w:val="none"/>
        </w:rPr>
        <w:t>跨越铁路</w:t>
      </w:r>
      <w:r>
        <w:rPr>
          <w:rFonts w:hint="eastAsia" w:hAnsi="宋体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hAnsi="宋体"/>
          <w:bCs/>
          <w:color w:val="auto"/>
          <w:sz w:val="21"/>
          <w:szCs w:val="21"/>
          <w:highlight w:val="none"/>
          <w:u w:val="none"/>
        </w:rPr>
        <w:t>跨越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高速公路</w:t>
      </w:r>
      <w:r>
        <w:rPr>
          <w:rFonts w:hint="eastAsia" w:hAnsi="宋体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hAnsi="宋体"/>
          <w:bCs/>
          <w:color w:val="auto"/>
          <w:sz w:val="21"/>
          <w:szCs w:val="21"/>
          <w:highlight w:val="none"/>
          <w:u w:val="none"/>
        </w:rPr>
        <w:t>跨越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一、二级公路</w:t>
      </w:r>
      <w:r>
        <w:rPr>
          <w:rFonts w:hint="eastAsia" w:hAnsi="宋体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☑跨越通</w:t>
      </w:r>
      <w:r>
        <w:rPr>
          <w:rFonts w:hint="eastAsia" w:hAnsi="宋体"/>
          <w:bCs/>
          <w:color w:val="auto"/>
          <w:sz w:val="21"/>
          <w:szCs w:val="21"/>
          <w:highlight w:val="none"/>
          <w:u w:val="none"/>
        </w:rPr>
        <w:t>航河流</w:t>
      </w:r>
      <w:r>
        <w:rPr>
          <w:rFonts w:hint="eastAsia" w:hAnsi="宋体"/>
          <w:bCs/>
          <w:color w:val="auto"/>
          <w:sz w:val="21"/>
          <w:szCs w:val="21"/>
          <w:highlight w:val="none"/>
          <w:u w:val="none"/>
          <w:lang w:eastAsia="zh-CN"/>
        </w:rPr>
        <w:t>补偿费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）；</w:t>
      </w:r>
    </w:p>
    <w:p>
      <w:pPr>
        <w:autoSpaceDE w:val="0"/>
        <w:autoSpaceDN w:val="0"/>
        <w:adjustRightInd w:val="0"/>
        <w:spacing w:line="360" w:lineRule="auto"/>
        <w:ind w:firstLine="420"/>
        <w:jc w:val="left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（八）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其他：</w:t>
      </w:r>
    </w:p>
    <w:p>
      <w:pPr>
        <w:autoSpaceDE w:val="0"/>
        <w:autoSpaceDN w:val="0"/>
        <w:adjustRightInd w:val="0"/>
        <w:spacing w:line="360" w:lineRule="auto"/>
        <w:ind w:firstLine="420"/>
        <w:jc w:val="left"/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  <w:t>1、☑跨越等级公路4处，施工措施费及其施工申请手续费按5万元/处综合单价包干，结算不予调整。</w:t>
      </w:r>
    </w:p>
    <w:p>
      <w:pPr>
        <w:autoSpaceDE w:val="0"/>
        <w:autoSpaceDN w:val="0"/>
        <w:adjustRightInd w:val="0"/>
        <w:spacing w:line="360" w:lineRule="auto"/>
        <w:ind w:firstLine="420"/>
        <w:jc w:val="left"/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  <w:t>2、☑跨越高速公路2处，施工措施费及其施工申请手续费按20万元/处综合单价包干，结算不予调整。</w:t>
      </w:r>
    </w:p>
    <w:p>
      <w:pPr>
        <w:autoSpaceDE w:val="0"/>
        <w:autoSpaceDN w:val="0"/>
        <w:adjustRightInd w:val="0"/>
        <w:spacing w:line="360" w:lineRule="auto"/>
        <w:ind w:firstLine="420"/>
        <w:jc w:val="left"/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  <w:t>3、☑跨越通航河流（含航标、封航费）、油气管道等施工措施补偿费、评估费及其施工申请手续不计入限价，按实际发生的费用（经发包人确认）结算。</w:t>
      </w:r>
    </w:p>
    <w:p>
      <w:pPr>
        <w:autoSpaceDE w:val="0"/>
        <w:autoSpaceDN w:val="0"/>
        <w:adjustRightInd w:val="0"/>
        <w:spacing w:line="360" w:lineRule="auto"/>
        <w:ind w:firstLine="420"/>
        <w:jc w:val="left"/>
        <w:rPr>
          <w:rFonts w:hint="default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  <w:t>4、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>110kV关塘乙线迁改工程、35kV电力线路迁移（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>如有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>）、10kV电力线迁移（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>如有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>均由中标承包方负责完成，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>相关费用计入限价，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>具体以施工图工程量为准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420"/>
        <w:jc w:val="left"/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>5、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>☑通信塔迁移1座（如有）及通信线迁移（如有）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>均由中标承包方负责完成，</w:t>
      </w:r>
      <w:r>
        <w:rPr>
          <w:rFonts w:hint="eastAsia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>费用不列入限价，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  <w:t>按实际发生的费用（经发包人确认）结算。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360" w:lineRule="auto"/>
        <w:jc w:val="left"/>
        <w:textAlignment w:val="auto"/>
        <w:outlineLvl w:val="9"/>
        <w:rPr>
          <w:rFonts w:hint="default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</w:pPr>
    </w:p>
    <w:p>
      <w:pPr>
        <w:pStyle w:val="11"/>
        <w:spacing w:line="360" w:lineRule="auto"/>
        <w:ind w:firstLine="422" w:firstLineChars="200"/>
        <w:jc w:val="left"/>
        <w:rPr>
          <w:rFonts w:hint="eastAsia" w:hAnsi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hAnsi="宋体" w:cs="宋体"/>
          <w:b/>
          <w:bCs/>
          <w:color w:val="auto"/>
          <w:sz w:val="21"/>
          <w:szCs w:val="21"/>
          <w:highlight w:val="none"/>
        </w:rPr>
        <w:t>※通信部分：</w:t>
      </w:r>
    </w:p>
    <w:p>
      <w:pPr>
        <w:autoSpaceDE w:val="0"/>
        <w:autoSpaceDN w:val="0"/>
        <w:adjustRightInd w:val="0"/>
        <w:spacing w:line="360" w:lineRule="auto"/>
        <w:ind w:firstLine="422" w:firstLineChars="200"/>
        <w:jc w:val="left"/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变电站工程：</w:t>
      </w: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施工图纸范围内的通信设备安装及测试、光缆单盘测试、中继测试、接续、光缆及联络光缆敷设、通信子管敷设、通道开通及业务接入、割接等；设备、光缆及金具卸车清点、验收及保管，与施工相关的所有其他费用项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val="en-US" w:eastAsia="zh-CN"/>
        </w:rPr>
        <w:t>架空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线路部分：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施工图纸范围内的光缆单盘测量、接续、全程测量；与施工相关的所有其他费用项目；不包含光缆架设、拆除、跨越及青苗赔偿。</w:t>
      </w:r>
    </w:p>
    <w:p>
      <w:pPr>
        <w:rPr>
          <w:rFonts w:hint="default"/>
          <w:color w:val="auto"/>
          <w:highlight w:val="none"/>
          <w:lang w:val="en-US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承包方式</w:t>
      </w: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 xml:space="preserve"> 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包工、部分包料，施工图纸范围内如有下列设备、材料，无□及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instrText xml:space="preserve"> EQ \o\ac(</w:instrText>
      </w:r>
      <w:r>
        <w:rPr>
          <w:rFonts w:hint="eastAsia" w:ascii="宋体" w:hAnsi="宋体" w:eastAsia="宋体" w:cs="宋体"/>
          <w:b/>
          <w:bCs/>
          <w:color w:val="auto"/>
          <w:position w:val="-4"/>
          <w:sz w:val="31"/>
          <w:szCs w:val="21"/>
          <w:highlight w:val="none"/>
          <w:lang w:val="en-US" w:eastAsia="zh-CN"/>
        </w:rPr>
        <w:instrText xml:space="preserve">□</w:instrText>
      </w:r>
      <w:r>
        <w:rPr>
          <w:rFonts w:hint="eastAsia" w:ascii="宋体" w:hAnsi="宋体" w:eastAsia="宋体" w:cs="宋体"/>
          <w:b/>
          <w:bCs/>
          <w:color w:val="auto"/>
          <w:position w:val="0"/>
          <w:sz w:val="21"/>
          <w:szCs w:val="21"/>
          <w:highlight w:val="none"/>
          <w:lang w:val="en-US" w:eastAsia="zh-CN"/>
        </w:rPr>
        <w:instrText xml:space="preserve">,√)</w:instrTex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的为甲供，□未打√的</w:t>
      </w:r>
      <w:r>
        <w:rPr>
          <w:rFonts w:hint="eastAsia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及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不在下列的为乙供。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※变电部分：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（一）甲供物资：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变电建筑工程：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检修电源箱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，不锈钢材质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配电箱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（含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照明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动力配电箱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电力电缆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控制电缆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，低压电线，铜铝端子，铜端子，构支架钢结构（含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构支架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横梁，爬梯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避雷针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val="en-US" w:eastAsia="zh-CN"/>
        </w:rPr>
        <w:t>标准成品预制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电缆沟盖板（包括混凝土盖板和复合盖板）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，装配式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变电站围墙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主变防火墙（含混凝土和复合材质，厂家包安装及基础灌浆）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电缆支架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（铝合金、角钢、复合材质），电杆（含混凝土和复合材料）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电缆保护管材（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HDPE管、涂塑钢管、PVC管、MPP管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trike w:val="0"/>
          <w:dstrike w:val="0"/>
          <w:color w:val="auto"/>
          <w:sz w:val="21"/>
          <w:szCs w:val="21"/>
          <w:highlight w:val="none"/>
          <w:lang w:eastAsia="zh-CN"/>
        </w:rPr>
        <w:t>，电缆管塞封堵器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空调（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精密空调、中央空调（换流站阀厅用）、工业空调（STATCOM集装箱用）、防爆空调（蓄电池室）），智能围栏。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装配式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电缆沟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□消防电缆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□电梯（不含货物电梯）、□嵌入式空调（天井式）、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专用空调（生产场所、带自动启动功能）。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变电安装工程：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电气一、二次设备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，预制舱配电房，机载高速光电吊舱设备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铝镁合金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管形母线及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其配套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金具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，金具及附件（含线夹），钢绞线，铝绞线，红外热像仪，变电站智能巡检机器人，独立五防系统，检修隔离装置，视频及环境监控系统，监测装置，变压器配电箱（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SMC材质、不锈钢材质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端子箱，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检修电源箱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发电车开关箱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配电箱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（含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照明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动力配电箱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电力电缆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控制电缆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strike w:val="0"/>
          <w:dstrike w:val="0"/>
          <w:color w:val="auto"/>
          <w:sz w:val="21"/>
          <w:szCs w:val="21"/>
          <w:highlight w:val="none"/>
          <w:lang w:eastAsia="zh-CN"/>
        </w:rPr>
        <w:t>计量用电线，</w:t>
      </w:r>
      <w:r>
        <w:rPr>
          <w:rFonts w:hint="eastAsia" w:ascii="宋体" w:hAnsi="宋体" w:eastAsia="宋体" w:cs="宋体"/>
          <w:strike w:val="0"/>
          <w:color w:val="auto"/>
          <w:sz w:val="21"/>
          <w:szCs w:val="21"/>
          <w:highlight w:val="none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0kV及以上电缆头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trike w:val="0"/>
          <w:dstrike w:val="0"/>
          <w:color w:val="auto"/>
          <w:sz w:val="21"/>
          <w:szCs w:val="21"/>
          <w:highlight w:val="none"/>
          <w:lang w:eastAsia="zh-CN"/>
        </w:rPr>
        <w:t>各种类型</w:t>
      </w:r>
      <w:r>
        <w:rPr>
          <w:rFonts w:hint="eastAsia" w:ascii="宋体" w:hAnsi="宋体" w:eastAsia="宋体" w:cs="宋体"/>
          <w:strike w:val="0"/>
          <w:color w:val="auto"/>
          <w:sz w:val="21"/>
          <w:szCs w:val="21"/>
          <w:highlight w:val="none"/>
        </w:rPr>
        <w:t>绝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缘子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封闭母线桥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10kV绝缘铜管母线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穿墙套管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电缆支架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（铝合金、角钢、复合材质）、铝合金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电缆桥架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、计量接引装置、电抗器接地装置、小电流接地选线装置、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通用型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标志牌（包括：禁止攀登、高压危险、禁止抛物、高压危险等提醒类标志牌及相线牌、安装支架，不涉及资产名称、编号或位置）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hAnsi="宋体"/>
          <w:bCs/>
          <w:color w:val="auto"/>
          <w:sz w:val="21"/>
          <w:szCs w:val="21"/>
          <w:highlight w:val="none"/>
          <w:lang w:eastAsia="zh-CN"/>
        </w:rPr>
        <w:t>□吊车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/ 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※架空线路部分：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（一）甲供物资：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杆塔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（水泥杆），铁塔加固器装置，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高空防坠落装置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，攀爬机轨道，钢绞线，铝绞线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，导地线，绝缘子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、绝缘横担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，金具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，标准铁构件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，光缆，光缆金具，线路避雷器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，故障指示器，故障精确定位装置，监测装置，视频监控系统，防鸟装置，铜覆钢接地极，</w:t>
      </w:r>
      <w:r>
        <w:rPr>
          <w:rFonts w:hint="eastAsia" w:ascii="宋体" w:hAnsi="宋体" w:eastAsia="宋体" w:cs="宋体"/>
          <w:b w:val="0"/>
          <w:bCs/>
          <w:strike w:val="0"/>
          <w:dstrike w:val="0"/>
          <w:color w:val="auto"/>
          <w:sz w:val="21"/>
          <w:szCs w:val="21"/>
          <w:highlight w:val="none"/>
          <w:lang w:eastAsia="zh-CN"/>
        </w:rPr>
        <w:t>石墨基接地体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通用型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标志牌（包括：禁止攀登、高压危险、禁止抛物、高压危险等提醒类标志牌及相线牌、安装支架，不涉及资产名称、编号或位置）、警示灯（航空、航道）、航道牌及支架。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地脚螺栓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，☑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直升机巡视作业标志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/  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※电缆线路部分：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建设单位提供部分设备及材料：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（一）甲供物资：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电力电缆，电缆终端头，电缆直通接头，电缆绝缘接头，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电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缆T接头，电缆固定夹，带保护器接地箱，直接接地箱，同轴电缆，接地线，回流线，接地箱，避雷器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，故障指示器，故障精确定位装置，监测装置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，光缆及光缆附件</w:t>
      </w:r>
      <w:r>
        <w:rPr>
          <w:rFonts w:hint="eastAsia" w:ascii="宋体" w:hAnsi="宋体" w:eastAsia="宋体" w:cs="宋体"/>
          <w:b w:val="0"/>
          <w:bCs/>
          <w:iCs/>
          <w:color w:val="auto"/>
          <w:sz w:val="21"/>
          <w:szCs w:val="21"/>
          <w:highlight w:val="none"/>
          <w:lang w:eastAsia="zh-CN"/>
        </w:rPr>
        <w:t>，电缆隧道装置（含电缆隧道综合监测系统、隧道专用LED灯具、电缆隧道巡检机器人轨道、电缆隧道智能巡检机器人、电缆防火防爆装置、电缆隧道立柱支架、电缆隧道户外动力箱（IP66）），隧道风机，海缆保护区航标，接头区灭火装置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电缆支架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（铝合金、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val="en-US" w:eastAsia="zh-CN"/>
        </w:rPr>
        <w:t>槽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钢、复合材质）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，电缆保护管材（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包括HDPE管、涂塑钢管、PVC管、MPP管）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、电缆管塞封堵器，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val="en-US" w:eastAsia="zh-CN"/>
        </w:rPr>
        <w:t>标准成品预制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电缆沟盖板（包括混凝土盖板和复合盖板）</w:t>
      </w:r>
      <w:r>
        <w:rPr>
          <w:rFonts w:hint="eastAsia" w:ascii="宋体" w:hAnsi="宋体" w:eastAsia="宋体" w:cs="宋体"/>
          <w:iCs/>
          <w:strike w:val="0"/>
          <w:dstrike w:val="0"/>
          <w:color w:val="auto"/>
          <w:sz w:val="21"/>
          <w:szCs w:val="21"/>
          <w:highlight w:val="none"/>
          <w:lang w:eastAsia="zh-CN"/>
        </w:rPr>
        <w:t>、智能围栏，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标志牌（电缆标志牌、警示牌、标示桩、走向标志、安装支架）。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none"/>
          <w:lang w:val="en-US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装配式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电缆沟，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none"/>
        </w:rPr>
        <w:t>□玻璃钢管。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/     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通信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部分：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建设单位提供部分设备及材料：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变电部分：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信相关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设备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（含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光传输设备、无线设备、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电话、电池、监控、视频会议系统等），数据网设备，机架，通信电源，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通信光缆及其金具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，综合配线设备及材料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电缆保护管材（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HDPE管、涂塑钢管、PVC管、MPP管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/      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</w:rPr>
        <w:t>。</w:t>
      </w:r>
    </w:p>
    <w:p>
      <w:pPr>
        <w:spacing w:line="360" w:lineRule="auto"/>
        <w:rPr>
          <w:rFonts w:hint="default"/>
          <w:color w:val="auto"/>
          <w:highlight w:val="none"/>
          <w:lang w:val="en-US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注：建设单位提供的设备、材料以合同附件（甲供设备材料明细表）为准。</w:t>
      </w:r>
    </w:p>
    <w:p>
      <w:pP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bookmarkStart w:id="2" w:name="_GoBack"/>
      <w:bookmarkEnd w:id="2"/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3F47E8"/>
    <w:multiLevelType w:val="singleLevel"/>
    <w:tmpl w:val="273F47E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862E749"/>
    <w:multiLevelType w:val="singleLevel"/>
    <w:tmpl w:val="5862E74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AFE7F4F"/>
    <w:multiLevelType w:val="singleLevel"/>
    <w:tmpl w:val="5AFE7F4F"/>
    <w:lvl w:ilvl="0" w:tentative="0">
      <w:start w:val="1"/>
      <w:numFmt w:val="chineseCounting"/>
      <w:suff w:val="nothing"/>
      <w:lvlText w:val="（%1）"/>
      <w:lvlJc w:val="left"/>
    </w:lvl>
  </w:abstractNum>
  <w:abstractNum w:abstractNumId="3">
    <w:nsid w:val="5B0B691A"/>
    <w:multiLevelType w:val="singleLevel"/>
    <w:tmpl w:val="5B0B691A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mOGUyZmFiZDQ3NmE5NzU1OWEyZWQxZGI0NDIzNTMifQ=="/>
  </w:docVars>
  <w:rsids>
    <w:rsidRoot w:val="24F737D8"/>
    <w:rsid w:val="00503881"/>
    <w:rsid w:val="00675492"/>
    <w:rsid w:val="00C073B0"/>
    <w:rsid w:val="01000F1F"/>
    <w:rsid w:val="014D50AE"/>
    <w:rsid w:val="0270337E"/>
    <w:rsid w:val="0465127D"/>
    <w:rsid w:val="04A603D8"/>
    <w:rsid w:val="04D31677"/>
    <w:rsid w:val="050E07AE"/>
    <w:rsid w:val="05B87515"/>
    <w:rsid w:val="05E259E1"/>
    <w:rsid w:val="068D71D9"/>
    <w:rsid w:val="06E7030B"/>
    <w:rsid w:val="07751D79"/>
    <w:rsid w:val="09F62510"/>
    <w:rsid w:val="0BC07002"/>
    <w:rsid w:val="0C6B30AA"/>
    <w:rsid w:val="0CE66BB4"/>
    <w:rsid w:val="0D0758F3"/>
    <w:rsid w:val="0D882D55"/>
    <w:rsid w:val="0D9432B7"/>
    <w:rsid w:val="0E7F20D3"/>
    <w:rsid w:val="0FAD7348"/>
    <w:rsid w:val="10A919C2"/>
    <w:rsid w:val="11444D6C"/>
    <w:rsid w:val="116419AD"/>
    <w:rsid w:val="11DF6CFE"/>
    <w:rsid w:val="11FC1228"/>
    <w:rsid w:val="1221206F"/>
    <w:rsid w:val="12374CB3"/>
    <w:rsid w:val="12617BA5"/>
    <w:rsid w:val="13C71878"/>
    <w:rsid w:val="14137767"/>
    <w:rsid w:val="142C4DA5"/>
    <w:rsid w:val="14440D4B"/>
    <w:rsid w:val="15056A61"/>
    <w:rsid w:val="15A52AEE"/>
    <w:rsid w:val="15D46CBD"/>
    <w:rsid w:val="15F1120D"/>
    <w:rsid w:val="16BE50DE"/>
    <w:rsid w:val="17241016"/>
    <w:rsid w:val="17311749"/>
    <w:rsid w:val="18B14F30"/>
    <w:rsid w:val="18E57496"/>
    <w:rsid w:val="190C67D7"/>
    <w:rsid w:val="193066EB"/>
    <w:rsid w:val="196B23E3"/>
    <w:rsid w:val="1A2F2F81"/>
    <w:rsid w:val="1B1435D1"/>
    <w:rsid w:val="1B663F82"/>
    <w:rsid w:val="1BA9108A"/>
    <w:rsid w:val="1C660CB1"/>
    <w:rsid w:val="1D592E11"/>
    <w:rsid w:val="1EA379B5"/>
    <w:rsid w:val="20E776A4"/>
    <w:rsid w:val="216F4D5B"/>
    <w:rsid w:val="22B30023"/>
    <w:rsid w:val="22BD2637"/>
    <w:rsid w:val="22D01CE9"/>
    <w:rsid w:val="23290A9A"/>
    <w:rsid w:val="24E46BF4"/>
    <w:rsid w:val="24F737D8"/>
    <w:rsid w:val="250E3A49"/>
    <w:rsid w:val="274170EE"/>
    <w:rsid w:val="2785030E"/>
    <w:rsid w:val="278F57AD"/>
    <w:rsid w:val="27E47C4B"/>
    <w:rsid w:val="283C354C"/>
    <w:rsid w:val="28F46A2A"/>
    <w:rsid w:val="296555D1"/>
    <w:rsid w:val="29A55C56"/>
    <w:rsid w:val="29FC239E"/>
    <w:rsid w:val="2BED7EC0"/>
    <w:rsid w:val="2BFF0E0F"/>
    <w:rsid w:val="2D8D50EF"/>
    <w:rsid w:val="2D8E3667"/>
    <w:rsid w:val="2E816236"/>
    <w:rsid w:val="2E9A5E18"/>
    <w:rsid w:val="2F362DFB"/>
    <w:rsid w:val="2F893A97"/>
    <w:rsid w:val="2FF65FF8"/>
    <w:rsid w:val="30035F08"/>
    <w:rsid w:val="300D195C"/>
    <w:rsid w:val="3044134F"/>
    <w:rsid w:val="30BF37B5"/>
    <w:rsid w:val="30F30EC2"/>
    <w:rsid w:val="312C2AE5"/>
    <w:rsid w:val="3178798B"/>
    <w:rsid w:val="3220664F"/>
    <w:rsid w:val="3244265D"/>
    <w:rsid w:val="32F2736E"/>
    <w:rsid w:val="3396714A"/>
    <w:rsid w:val="35B73053"/>
    <w:rsid w:val="35D458E0"/>
    <w:rsid w:val="361736AD"/>
    <w:rsid w:val="36676B65"/>
    <w:rsid w:val="36905D28"/>
    <w:rsid w:val="36A54835"/>
    <w:rsid w:val="36D200CF"/>
    <w:rsid w:val="38382DC3"/>
    <w:rsid w:val="384D1ACC"/>
    <w:rsid w:val="38F32560"/>
    <w:rsid w:val="39446F46"/>
    <w:rsid w:val="3B2A0F67"/>
    <w:rsid w:val="3B304812"/>
    <w:rsid w:val="3BB261E1"/>
    <w:rsid w:val="3BC85F62"/>
    <w:rsid w:val="3BCA27B8"/>
    <w:rsid w:val="3C114F9E"/>
    <w:rsid w:val="3C1E17EA"/>
    <w:rsid w:val="3C4A35F1"/>
    <w:rsid w:val="3D984ECA"/>
    <w:rsid w:val="3E9D7E49"/>
    <w:rsid w:val="3F9B7EF1"/>
    <w:rsid w:val="415A7E63"/>
    <w:rsid w:val="42795B9B"/>
    <w:rsid w:val="42E701E3"/>
    <w:rsid w:val="43193F4E"/>
    <w:rsid w:val="44A8314C"/>
    <w:rsid w:val="44D414C9"/>
    <w:rsid w:val="45AE252B"/>
    <w:rsid w:val="45BA6458"/>
    <w:rsid w:val="45C37365"/>
    <w:rsid w:val="460D1423"/>
    <w:rsid w:val="46472D5E"/>
    <w:rsid w:val="468E0BD5"/>
    <w:rsid w:val="469B4709"/>
    <w:rsid w:val="46A85B41"/>
    <w:rsid w:val="477D42C0"/>
    <w:rsid w:val="47CB2C71"/>
    <w:rsid w:val="47DA48B3"/>
    <w:rsid w:val="49332FB5"/>
    <w:rsid w:val="4B3A1BDA"/>
    <w:rsid w:val="4C1966EB"/>
    <w:rsid w:val="4D3063ED"/>
    <w:rsid w:val="4D392B7F"/>
    <w:rsid w:val="4DC759F3"/>
    <w:rsid w:val="4DD3333C"/>
    <w:rsid w:val="4E040B17"/>
    <w:rsid w:val="4EA560D6"/>
    <w:rsid w:val="4EAB70C1"/>
    <w:rsid w:val="525522E2"/>
    <w:rsid w:val="528404F0"/>
    <w:rsid w:val="53463775"/>
    <w:rsid w:val="53523D60"/>
    <w:rsid w:val="53AA5AAD"/>
    <w:rsid w:val="547776C9"/>
    <w:rsid w:val="55734D49"/>
    <w:rsid w:val="55C3156A"/>
    <w:rsid w:val="57593089"/>
    <w:rsid w:val="579207A6"/>
    <w:rsid w:val="599017B7"/>
    <w:rsid w:val="5A492CEC"/>
    <w:rsid w:val="5DE84119"/>
    <w:rsid w:val="5EB72BF2"/>
    <w:rsid w:val="5F8E0C51"/>
    <w:rsid w:val="5FE724D4"/>
    <w:rsid w:val="60395037"/>
    <w:rsid w:val="60546075"/>
    <w:rsid w:val="608606DE"/>
    <w:rsid w:val="60E00C13"/>
    <w:rsid w:val="639D46DC"/>
    <w:rsid w:val="6424058D"/>
    <w:rsid w:val="661E08B8"/>
    <w:rsid w:val="663511C3"/>
    <w:rsid w:val="663B2A3B"/>
    <w:rsid w:val="66A2045B"/>
    <w:rsid w:val="66C35559"/>
    <w:rsid w:val="66D91A76"/>
    <w:rsid w:val="67977F0F"/>
    <w:rsid w:val="67F06780"/>
    <w:rsid w:val="68B337CC"/>
    <w:rsid w:val="69311D38"/>
    <w:rsid w:val="6A287B5E"/>
    <w:rsid w:val="6A485E7E"/>
    <w:rsid w:val="6A6B37FA"/>
    <w:rsid w:val="6B303A1A"/>
    <w:rsid w:val="6BC37D13"/>
    <w:rsid w:val="6C141EE0"/>
    <w:rsid w:val="6CF02B48"/>
    <w:rsid w:val="6D897695"/>
    <w:rsid w:val="6DAA2FDF"/>
    <w:rsid w:val="6E121228"/>
    <w:rsid w:val="70873960"/>
    <w:rsid w:val="70B81233"/>
    <w:rsid w:val="70D1495F"/>
    <w:rsid w:val="7129638F"/>
    <w:rsid w:val="73435C4E"/>
    <w:rsid w:val="73641402"/>
    <w:rsid w:val="74E73186"/>
    <w:rsid w:val="74F238E6"/>
    <w:rsid w:val="76015DEA"/>
    <w:rsid w:val="763B2CF0"/>
    <w:rsid w:val="764E470D"/>
    <w:rsid w:val="76850D49"/>
    <w:rsid w:val="76887A48"/>
    <w:rsid w:val="76EB7161"/>
    <w:rsid w:val="77E67240"/>
    <w:rsid w:val="7842124A"/>
    <w:rsid w:val="79435213"/>
    <w:rsid w:val="79527737"/>
    <w:rsid w:val="79D51B6D"/>
    <w:rsid w:val="7B2B3FE2"/>
    <w:rsid w:val="7B3B73B5"/>
    <w:rsid w:val="7C233754"/>
    <w:rsid w:val="7C540394"/>
    <w:rsid w:val="7C766170"/>
    <w:rsid w:val="7CC45B07"/>
    <w:rsid w:val="7CC84BE5"/>
    <w:rsid w:val="7D26550D"/>
    <w:rsid w:val="7D2D6A7C"/>
    <w:rsid w:val="7D3A3102"/>
    <w:rsid w:val="7DDA007A"/>
    <w:rsid w:val="7E3420E0"/>
    <w:rsid w:val="7E405052"/>
    <w:rsid w:val="7F1A0C44"/>
    <w:rsid w:val="7F8F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6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7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line="360" w:lineRule="auto"/>
      <w:ind w:firstLine="200" w:firstLineChars="200"/>
      <w:jc w:val="both"/>
    </w:pPr>
    <w:rPr>
      <w:kern w:val="0"/>
      <w:sz w:val="24"/>
      <w:lang w:val="en-US" w:eastAsia="zh-CN"/>
    </w:rPr>
  </w:style>
  <w:style w:type="paragraph" w:styleId="3">
    <w:name w:val="Body Text"/>
    <w:basedOn w:val="4"/>
    <w:next w:val="4"/>
    <w:unhideWhenUsed/>
    <w:qFormat/>
    <w:uiPriority w:val="99"/>
    <w:pPr>
      <w:spacing w:after="120"/>
    </w:pPr>
  </w:style>
  <w:style w:type="paragraph" w:styleId="4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8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9">
    <w:name w:val="annotation text"/>
    <w:basedOn w:val="1"/>
    <w:qFormat/>
    <w:uiPriority w:val="0"/>
    <w:pPr>
      <w:jc w:val="left"/>
    </w:pPr>
  </w:style>
  <w:style w:type="paragraph" w:styleId="10">
    <w:name w:val="Body Text Indent"/>
    <w:basedOn w:val="1"/>
    <w:qFormat/>
    <w:uiPriority w:val="0"/>
    <w:pPr>
      <w:spacing w:after="120"/>
      <w:ind w:left="420" w:leftChars="200"/>
    </w:pPr>
  </w:style>
  <w:style w:type="paragraph" w:styleId="11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7">
    <w:name w:val="_Style 5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8">
    <w:name w:val="报告正文"/>
    <w:basedOn w:val="1"/>
    <w:qFormat/>
    <w:uiPriority w:val="0"/>
    <w:pPr>
      <w:ind w:firstLine="200" w:firstLineChars="200"/>
      <w:textAlignment w:val="baseline"/>
    </w:pPr>
    <w:rPr>
      <w:color w:val="FF0000"/>
      <w:kern w:val="0"/>
    </w:rPr>
  </w:style>
  <w:style w:type="character" w:customStyle="1" w:styleId="19">
    <w:name w:val="font3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0">
    <w:name w:val="font1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1">
    <w:name w:val="font21"/>
    <w:basedOn w:val="15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7111</Words>
  <Characters>7982</Characters>
  <Lines>0</Lines>
  <Paragraphs>0</Paragraphs>
  <TotalTime>0</TotalTime>
  <ScaleCrop>false</ScaleCrop>
  <LinksUpToDate>false</LinksUpToDate>
  <CharactersWithSpaces>8069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杨莉</cp:lastModifiedBy>
  <cp:lastPrinted>2022-02-11T02:00:00Z</cp:lastPrinted>
  <dcterms:modified xsi:type="dcterms:W3CDTF">2025-11-21T03:46:11Z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506D04B1DBAB42E5A61D8B8F354873BB</vt:lpwstr>
  </property>
</Properties>
</file>