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default" w:ascii="宋体" w:hAnsi="宋体" w:eastAsia="宋体" w:cs="宋体"/>
          <w:b/>
          <w:bCs/>
          <w:snapToGrid w:val="0"/>
          <w:color w:val="auto"/>
          <w:kern w:val="0"/>
          <w:sz w:val="32"/>
          <w:szCs w:val="32"/>
          <w:highlight w:val="none"/>
          <w:u w:val="none"/>
          <w:lang w:val="en-US" w:eastAsia="zh-CN"/>
        </w:rPr>
      </w:pPr>
      <w:bookmarkStart w:id="0" w:name="_Toc8445"/>
      <w:r>
        <w:rPr>
          <w:rFonts w:hint="eastAsia" w:hAnsi="宋体" w:cs="宋体"/>
          <w:b/>
          <w:bCs/>
          <w:snapToGrid w:val="0"/>
          <w:color w:val="auto"/>
          <w:kern w:val="0"/>
          <w:sz w:val="32"/>
          <w:szCs w:val="32"/>
          <w:highlight w:val="none"/>
          <w:u w:val="none"/>
          <w:lang w:val="en-US" w:eastAsia="zh-CN"/>
        </w:rPr>
        <w:t>标的2</w:t>
      </w:r>
    </w:p>
    <w:p>
      <w:pPr>
        <w:pStyle w:val="11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562" w:firstLineChars="200"/>
        <w:jc w:val="center"/>
        <w:textAlignment w:val="auto"/>
        <w:outlineLvl w:val="0"/>
        <w:rPr>
          <w:rFonts w:hint="eastAsia" w:hAnsi="宋体" w:cs="宋体"/>
          <w:b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hAnsi="宋体" w:cs="宋体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  <w:t>项目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  <w:t>名称：</w:t>
      </w:r>
      <w:r>
        <w:rPr>
          <w:rFonts w:hint="eastAsia" w:hAnsi="宋体" w:cs="宋体"/>
          <w:b/>
          <w:color w:val="auto"/>
          <w:sz w:val="28"/>
          <w:szCs w:val="28"/>
          <w:highlight w:val="none"/>
          <w:lang w:val="en-US" w:eastAsia="zh-CN"/>
        </w:rPr>
        <w:t>惠州220千伏东风输变电工程、中海壳牌惠州三期乙烯项目用户站配套220千伏接入间隔扩建工程施工</w:t>
      </w:r>
    </w:p>
    <w:tbl>
      <w:tblPr>
        <w:tblStyle w:val="14"/>
        <w:tblW w:w="1084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"/>
        <w:gridCol w:w="2911"/>
        <w:gridCol w:w="3476"/>
        <w:gridCol w:w="34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eastAsia="宋体" w:cs="宋体"/>
                <w:b/>
                <w:bCs/>
                <w:snapToGrid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内容</w:t>
            </w:r>
            <w:r>
              <w:rPr>
                <w:rFonts w:hint="eastAsia" w:hAnsi="宋体" w:cs="宋体"/>
                <w:b/>
                <w:bCs/>
                <w:snapToGrid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（</w:t>
            </w:r>
            <w:r>
              <w:rPr>
                <w:rFonts w:hint="eastAsia" w:hAnsi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惠州220千伏东风输变电工程</w:t>
            </w:r>
            <w:r>
              <w:rPr>
                <w:rFonts w:hint="eastAsia" w:hAnsi="宋体" w:cs="宋体"/>
                <w:b/>
                <w:bCs/>
                <w:snapToGrid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）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hAnsi="宋体" w:eastAsia="宋体" w:cs="宋体"/>
                <w:b/>
                <w:bCs/>
                <w:snapToGrid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hAnsi="宋体" w:eastAsia="宋体" w:cs="宋体"/>
                <w:b/>
                <w:bCs/>
                <w:snapToGrid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内容</w:t>
            </w:r>
            <w:r>
              <w:rPr>
                <w:rFonts w:hint="eastAsia" w:hAnsi="宋体" w:cs="宋体"/>
                <w:b/>
                <w:bCs/>
                <w:snapToGrid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（</w:t>
            </w:r>
            <w:r>
              <w:rPr>
                <w:rFonts w:hint="eastAsia" w:hAnsi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中海壳牌惠州三期乙烯项目用户站配套220千伏接入间隔扩建工程</w:t>
            </w:r>
            <w:r>
              <w:rPr>
                <w:rFonts w:hint="eastAsia" w:hAnsi="宋体" w:cs="宋体"/>
                <w:b/>
                <w:bCs/>
                <w:snapToGrid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项目建设单位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惠州</w:t>
            </w: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供电局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惠州</w:t>
            </w: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供电局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项目建设地点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惠州市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惠州市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可研批复文号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广电规〔2024〕120号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广电规〔2024〕206号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项目核准、备案文号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惠能重核准〔2024〕22 号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惠能重核准</w:t>
            </w: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〔2024〕26号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资金落实情况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惠供电计〔2025〕33号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惠供电计〔2025〕33号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初设批复文号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  <w:t>广电建〔2025〕81 号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广电建〔2025〕101号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施工图预算批复文号</w:t>
            </w:r>
          </w:p>
        </w:tc>
        <w:tc>
          <w:tcPr>
            <w:tcW w:w="34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  <w:t>广电建〔2025〕187 号</w:t>
            </w:r>
          </w:p>
        </w:tc>
        <w:tc>
          <w:tcPr>
            <w:tcW w:w="34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广电建〔2025〕169号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前期的设计或咨询服务单位名称</w:t>
            </w:r>
          </w:p>
        </w:tc>
        <w:tc>
          <w:tcPr>
            <w:tcW w:w="34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  <w:t>惠州电力勘察设计院有限公司/广东省惠勘建设工程有限责任公司</w:t>
            </w:r>
          </w:p>
        </w:tc>
        <w:tc>
          <w:tcPr>
            <w:tcW w:w="34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  <w:t>惠州电力勘察设计院有限公司/广东省惠勘建设工程有限责任公司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9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项目监理单位</w:t>
            </w:r>
          </w:p>
        </w:tc>
        <w:tc>
          <w:tcPr>
            <w:tcW w:w="34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FFC000"/>
                <w:kern w:val="0"/>
                <w:sz w:val="21"/>
                <w:szCs w:val="21"/>
                <w:highlight w:val="yellow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  <w:t>公诚管理咨询有限公司</w:t>
            </w:r>
          </w:p>
        </w:tc>
        <w:tc>
          <w:tcPr>
            <w:tcW w:w="34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暂无</w:t>
            </w:r>
          </w:p>
        </w:tc>
      </w:tr>
    </w:tbl>
    <w:p>
      <w:pPr>
        <w:pStyle w:val="11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562" w:firstLineChars="200"/>
        <w:jc w:val="center"/>
        <w:textAlignment w:val="auto"/>
        <w:outlineLvl w:val="0"/>
        <w:rPr>
          <w:rFonts w:hint="default" w:hAnsi="宋体" w:cs="宋体"/>
          <w:b/>
          <w:color w:val="auto"/>
          <w:sz w:val="28"/>
          <w:szCs w:val="28"/>
          <w:highlight w:val="none"/>
          <w:lang w:val="en-US" w:eastAsia="zh-CN"/>
        </w:rPr>
      </w:pPr>
    </w:p>
    <w:bookmarkEnd w:id="0"/>
    <w:p>
      <w:pPr>
        <w:pStyle w:val="11"/>
        <w:keepNext w:val="0"/>
        <w:keepLines w:val="0"/>
        <w:pageBreakBefore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outlineLvl w:val="0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建设规模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outlineLvl w:val="1"/>
        <w:rPr>
          <w:rFonts w:hint="eastAsia" w:hAnsi="宋体" w:cs="宋体"/>
          <w:b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hAnsi="宋体" w:cs="宋体"/>
          <w:b/>
          <w:color w:val="auto"/>
          <w:sz w:val="21"/>
          <w:szCs w:val="21"/>
          <w:highlight w:val="none"/>
          <w:lang w:val="en-US" w:eastAsia="zh-CN"/>
        </w:rPr>
        <w:t>1.惠州220千伏东风输变电工程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1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（一）</w:t>
      </w: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变电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  <w:t>工程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1"/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1、220KV东风变电站工程：电气部分本期新建主变压器2×240MVA，均为户外布置；220kV 出线本期4回架空，2回主变架空进线；110KV出线本期6回，进线本期2回。10KV本期出线20回，10kV无功补偿装置2×(6×8016)Mvzr，相应二次及土建部分。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1"/>
        <w:rPr>
          <w:rFonts w:hint="default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2、500kV惠州站保护改造工程：对500kV惠州站进行保护改造。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1"/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3、220KV维布站扩建110KV间隔工程：220kkV维布站扩建110KV间隔1个。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1"/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4、110kV鸿兴站扩建110KV间隔工程：110kV鸿兴站扩建110kV间隔2个。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1"/>
        <w:rPr>
          <w:rFonts w:hint="default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5、110kV坑塘站110kV间隔改造工程：在110kV坑塘站侧110kV布田丙线-1T坑塘丙支线、布田乙线-1T坑塘乙线各增加1组110kV干式电流互感器。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1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</w:t>
      </w: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二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  <w:t>架空线路工程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1、220kV 惠维甲乙线解口入东风站线路工程（架空部分）：新建220kV同塔双回架空线路长2×4.623km（维布站侧）+2×5.028km（惠州站侧）。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2、110kV维布约场祥云T接线T接入东风站线路工程（架空部分）：自东风站侧电缆终端塔建设双回架空线路分别T接110kV布约线-2T祥云支线、110kV布田甲线-3T祥云分支线。新建双回线路长2×0.966km。调整110kV布约线-2T祥云支线T接点位置利用110kV布约线#14塔、110kV布田甲线-1T约场支线#4-#14段双回塔备用横担挂线，加挂单回导线长1×3.175km;配合挂线涉及110kV布约线新建单回架空线路长1×0.428km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</w:pP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3、110kV东风至鸿兴线路工程（架空部分）：自220kV东风站至龙湖站，新建110kV单回架空线路长1×（0.267+0.360）km，新建110kV同塔双回线路长2×2.424km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  <w:t>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2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1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电缆线路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  <w:t>工程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1、220kV维布站110kV线路改接工程：新建110kV单回电缆线路长1×0.078km；110kV布田乙线-1T坑塘乙支线，改T至110kV维布至龙湖甲线，利用原有电缆敷设单回电缆线路长约 1×0.038km；110kV布田丙线-1T坑塘丙支线改T至110kV维布至龙湖乙线。利用原有电缆敷设单回电缆线路长约1×0.044km。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2、110kV 维布约场祥云T接线T接入东风站线路工程(电缆部分)：自220kV东风站南侧电缆出线至本期新建电缆终端塔,新建单回电缆线路长1×(0.162+0.180)km。土建部分：新建双回路浮面电缆沟83m，单回路浮面电缆沟19m。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3、110kV东风至鸿兴线路工程（电缆部分）：自220kV东风站南侧电缆出线至新建电缆终端塔，新建单回电缆线路长1×(0.152+0.154)。土建部分：新建双回路浮面电缆沟51m，单回浮面电缆沟26.5m。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2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1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通信工程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1、配套通信设备工程：本期工程配置2套ASON光传输设备、1套调度数据网设备、1套综合数据网设备、1套配电数据网设备、配线设备及材料、无线设备一套，并完成配套措施。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2、220kV惠维甲乙线解口入东风站线路工程（OPGW 光缆部分）：沿解口点至东风站新建220kV线路建设2条48芯OPGW光缆，新建惠州至东风48芯OPGW光缆长1×5.028km，新建维布至东风48芯OPGW光缆长1×4.567km，维布至东风利用原有48芯OPGW光缆挂线长1×0.056km。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3、110kV维布约场祥云T接线T接入东风站线路工程（OPGW光缆部分）：沿东风站至解口点110kV新建线路建设2条48芯OPGW光缆，新建OPGW光缆长1×（0.452+1×0.694）km；#7-#9利用原有24芯OPGW光缆重新挂线长2×0.272km+1×0.242km，调整#9-#13已有维布至祥云侧光缆长1×1.267km；沿110kV布约线-2T祥云支线#14至110kV约场线#14档架设一根48芯OPGW光缆（做防雷地线用）长1×0.049km，沿110kV布约线#4-#5段新建线路架设1根48芯OPGW光缆长1×0.428km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4、110kV维布约场祥云T接线T接入东风站线路工程（管道光缆部分）：沿东风站至解口点110kV新建线路建设2条48芯管道光缆，沿东风站站内及站外电缆通道敷2根芯管道光缆长2×0.180km 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5、110kV东风至鸿兴线路工程（OPGW光缆部分）：沿东风站至龙湖站110kV新建架空线路建设2条48芯OPGW长1×(2.691+2.784）km，新建 OPGW光缆2根同塔挂线长2×2.424km，单根挂线长1×（0.267+0.360）km。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default" w:hAnsi="宋体" w:cs="宋体"/>
          <w:b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6、110kV东风至鸿兴线路工程（管道光缆部分）：自220kV东风站至110kV龙湖(鸿兴)站新建线路建设2根管道光缆，形成东风至龙湖(鸿兴)2根48芯光缆路，本工程沿东风站站内及站外电缆通道敷设2根48芯管道光缆长2×0.154km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outlineLvl w:val="1"/>
        <w:rPr>
          <w:rFonts w:hint="eastAsia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2.中海壳牌惠州三期乙烯项目用户站配套220千伏接入间隔扩建工程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1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（一）</w:t>
      </w: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变电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  <w:t>工程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  <w:t>1、500kV崇文站扩建220kV间隔工程：前期采用GIS户内布置，本期不改变其接线方式及配电装置型式，利用原有备用间隔扩建出线，间隔内设备已建，本期仅完善设备连接线。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  <w:t>2、220kV伟业站扩建220kV间隔工程：前期采用GIS户内布置，本期不改变其接线方式及配电装置型式，在备用间隔位置扩建1个电缆出线间隔。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1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</w:t>
      </w: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二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）通信工程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  <w:t>1、配套通信设备工程：配套建设站端通信设备。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single"/>
          <w:lang w:val="en-US" w:eastAsia="zh-CN"/>
        </w:rPr>
        <w:t>注：具体建设规模以施工图纸为准。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single"/>
          <w:lang w:val="en-US" w:eastAsia="zh-CN"/>
        </w:rPr>
      </w:pPr>
    </w:p>
    <w:p>
      <w:pPr>
        <w:pStyle w:val="11"/>
        <w:keepNext w:val="0"/>
        <w:keepLines w:val="0"/>
        <w:pageBreakBefore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outlineLvl w:val="0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采购范围</w:t>
      </w:r>
      <w:bookmarkStart w:id="1" w:name="施工招标范围综合"/>
      <w:r>
        <w:rPr>
          <w:rFonts w:hint="eastAsia" w:hAnsi="宋体" w:cs="宋体"/>
          <w:b/>
          <w:color w:val="auto"/>
          <w:sz w:val="24"/>
          <w:szCs w:val="24"/>
          <w:highlight w:val="none"/>
          <w:lang w:val="en-US" w:eastAsia="zh-CN"/>
        </w:rPr>
        <w:t>：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包括施工图范围内的建筑、安装及调试工程。施工图范围内的下列工作内容，无□及</w:t>
      </w:r>
      <w:r>
        <w:rPr>
          <w:rFonts w:hint="eastAsia" w:hAnsi="宋体" w:cs="宋体"/>
          <w:b/>
          <w:color w:val="auto"/>
          <w:sz w:val="24"/>
          <w:szCs w:val="24"/>
          <w:highlight w:val="none"/>
          <w:lang w:val="en-US" w:eastAsia="zh-CN"/>
        </w:rPr>
        <w:t>☑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的为本次报价范围；</w:t>
      </w:r>
      <w:r>
        <w:rPr>
          <w:rFonts w:hint="eastAsia" w:hAnsi="宋体" w:cs="宋体"/>
          <w:b/>
          <w:color w:val="auto"/>
          <w:sz w:val="24"/>
          <w:szCs w:val="24"/>
          <w:highlight w:val="none"/>
          <w:lang w:val="en-US" w:eastAsia="zh-CN"/>
        </w:rPr>
        <w:t>□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未打√的，不在本次报价范围内，特殊情况在“其他”中说明。</w:t>
      </w:r>
    </w:p>
    <w:bookmarkEnd w:id="1"/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outlineLvl w:val="1"/>
        <w:rPr>
          <w:rFonts w:hint="eastAsia" w:hAnsi="宋体" w:cs="宋体"/>
          <w:b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hAnsi="宋体" w:cs="宋体"/>
          <w:b/>
          <w:color w:val="auto"/>
          <w:sz w:val="21"/>
          <w:szCs w:val="21"/>
          <w:highlight w:val="none"/>
          <w:lang w:val="en-US" w:eastAsia="zh-CN"/>
        </w:rPr>
        <w:t>1.惠州220千伏东风输变电工程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※变电部分：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变电建筑工程：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（一）主要生产工程：主要生产建筑，配电装置建筑，供水系统，消防系统；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（二）辅助生产工程：辅助生产建筑，站区性建筑，特殊构筑物，全站沉降观测点，站区绿化；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（三）与站址有关的单项工程：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☑地基处理， ☑站外道路（其中□桥涵）， ☑站外水源， ☑站外排水，□站外蒸发池，□施工降水，☑临时施工电源， □临时施工水源，□临时施工道路，□临时施工通信线路，□临时施工防护工程；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（四）其他费用工程：☑白蚁防治，☑拆除工程；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（五）其他：</w:t>
      </w: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single"/>
          <w:lang w:val="en-US" w:eastAsia="zh-CN"/>
        </w:rPr>
        <w:t xml:space="preserve"> ☑余土消纳。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变电安装工程：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一）主要生产工程：主变压器系统，配电装置，无功补偿，控制及直流系统，站用电系统，电缆及接地，远动系统（含总调、中调、地调调度端的扩容），计费系统，全站调试（其中特殊调试以合同附件特殊调试项目为准）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（二）辅助生产工程：检修及修配设备；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（三）与站址有关的单项工程：□站外电源，□站外通信；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（四）其他费用工程：☑标志牌安装，☑拆除工程；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（五）其他：</w:t>
      </w: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single"/>
          <w:lang w:val="en-US" w:eastAsia="zh-CN"/>
        </w:rPr>
        <w:t>☑不含二次开列的等保测评。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※架空线路部分：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（一）基础工程：基础工程材料工地运输，土石方工程，基础砌筑，基础防腐，基础防护，地基处理；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（二）杆塔工程：杆塔工程材料工地运输，杆塔组立；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（三）接地工程：接地工程材料工地运输，接地土石方，接地安装；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四）架线工程：架线工程材料工地运输，导地线架设（不含OPGW接续与测量），导地线跨越架设（其中☑带电跨越10千伏及以下电力线路、□带电跨越35千伏及以上电力线路、□跨越铁路、☑高速公路、☑一、二级公路、□河流），其他架线工程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（五）附件安装工程：附件安装工程材料工地运输，绝缘子串及金具安装；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六）辅助工程：永久施工道路修筑，尖峰、施工基面土石方工程，护坡、挡土墙及排洪沟，基础永久性围堰，索道站安装，杆塔上装的各类辅助生产装置（其中：☑标志牌安装，☑防坠地装置，☑防鸟刺装置），☑输、送电线路试运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七）其他费用工程：☑拆除工程，□施工临时占用地补偿（含牵引场地租用费），□施工临时占用地（含牵引场地）青苗赔偿，□临时施工道路的青苗赔偿，□塔基占地及其青苗赔偿，□架线青苗赔偿，□接地线铺设的青苗赔偿，☑塔基绿化恢复，☑临时施工道路修筑费（单价/总价均报），输电线路跨越补偿费（□跨越铁路补偿费、☑跨越高速公路补偿费、☑跨越一、二级公路补偿费、□跨越通航河流补偿费）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（八）其他：</w:t>
      </w: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single"/>
          <w:lang w:val="en-US" w:eastAsia="zh-CN"/>
        </w:rPr>
        <w:t>☑余土消纳。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※电缆线路部分：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施工图纸范围内的电缆建筑：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（一）土石方：材料运输，土石方挖填，开挖路面，修复路面，隧道挖填；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（二）构筑物：材料运输，直埋电缆垫层及盖板，电缆沟、浅槽，工作井，电缆埋管，隧道，隧道工作井，栈桥，基础；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（三）辅助工程：材料运输，通风，照明，排水，消防，围护，地基处理；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（四）其他费用工程：□白蚁防治，□拆除工程，□电缆走廊绿化赔偿，□沿线建（构）筑物的拆除，☑与城市规划、市政、园林、交警、城监、公路等部门联系办理施工许可手续，□施工临时占用地补偿费；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（五）其他：</w:t>
      </w: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single"/>
          <w:lang w:val="en-US" w:eastAsia="zh-CN"/>
        </w:rPr>
        <w:t xml:space="preserve"> ☑余土消纳。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施工图纸范围内的电缆安装：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（一）电缆桥、支架制作安装：材料运输，电缆桥架，电缆支架；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（二）电缆敷设：材料运输，直埋敷设，电缆沟、浅槽敷设，埋管内敷设，电缆隧道敷设，桥架敷设，栈桥敷设；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（三）电缆附件：材料运输，终端头制作安装，中间接头制作安装，接地安装，设备安装，电缆保护管；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（四）电缆防火：材料运输，构筑物防火，电缆本体防火；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（五）调试与试验：电缆试验（其中：☑电缆局部放电试验，☑电缆参数测定），设备试验；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（六）电缆监测（控）系统：材料运输，在线监测，安保监控；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（七）其他费用工程：☑标志牌安装，☑拆除工程，☑线路牌挂牌；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（八）其他：</w:t>
      </w: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single"/>
          <w:lang w:val="en-US" w:eastAsia="zh-CN"/>
        </w:rPr>
        <w:t xml:space="preserve"> /。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※通信部分：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变电站工程：施工图纸范围内的通信设备安装及测试、光缆单盘测试、中继测试、接续、光缆及联络光缆敷设、通信子管敷设、通道开通及业务接入、割接等；设备、光缆及金具卸车清点、验收及保管，与施工相关的所有其他费用项目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架空线路部分：施工图纸范围内的光缆单盘测量、接续、全程测量；与施工相关的所有其他费用项目；不包含光缆架设、拆除、跨越及青苗赔偿。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电缆线路部分：施工图纸范围内的光缆单盘测试、中继测试、接续、光缆及联络光缆敷设、通信子管敷设、通道开通及业务接入、割接等；光缆及金具卸车清点、验收及保管，与施工相关的所有其他费用项目。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outlineLvl w:val="1"/>
        <w:rPr>
          <w:rFonts w:hint="eastAsia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2.中海壳牌惠州三期乙烯项目用户站配套220千伏接入间隔扩建工程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※变电部分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/>
          <w:color w:val="auto"/>
          <w:sz w:val="21"/>
          <w:szCs w:val="21"/>
          <w:highlight w:val="none"/>
          <w:lang w:val="en-US" w:eastAsia="zh-CN"/>
        </w:rPr>
        <w:t>变电安装工程：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/>
          <w:color w:val="auto"/>
          <w:sz w:val="21"/>
          <w:szCs w:val="21"/>
          <w:highlight w:val="none"/>
          <w:lang w:val="en-US" w:eastAsia="zh-CN"/>
        </w:rPr>
        <w:t>（一）主要生产工程：主变压器系统，配电装置，无功补偿，控制及直流系统，站用电系统，电缆及接地，远动系统（含总调、中调、地调调度端的扩容），计费系统，全站调试（其中特殊调试以合同附件特殊调试项目为准）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/>
          <w:color w:val="auto"/>
          <w:sz w:val="21"/>
          <w:szCs w:val="21"/>
          <w:highlight w:val="none"/>
          <w:lang w:val="en-US" w:eastAsia="zh-CN"/>
        </w:rPr>
        <w:t>（二）辅助生产工程：检修及修配设备；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/>
          <w:color w:val="auto"/>
          <w:sz w:val="21"/>
          <w:szCs w:val="21"/>
          <w:highlight w:val="none"/>
          <w:lang w:val="en-US" w:eastAsia="zh-CN"/>
        </w:rPr>
        <w:t>（三）与站址有关的单项工程：□站外电源，□站外通信；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/>
          <w:color w:val="auto"/>
          <w:sz w:val="21"/>
          <w:szCs w:val="21"/>
          <w:highlight w:val="none"/>
          <w:lang w:val="en-US" w:eastAsia="zh-CN"/>
        </w:rPr>
        <w:t>（四）其他费用工程：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☑标志牌安装，☑拆除工程</w:t>
      </w:r>
      <w:r>
        <w:rPr>
          <w:rFonts w:hint="eastAsia"/>
          <w:color w:val="auto"/>
          <w:sz w:val="21"/>
          <w:szCs w:val="21"/>
          <w:highlight w:val="none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※通信部分: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变电站工程：施工图纸范围内的通信设备安装及测试、光缆单盘测试、中继测试、接续、光缆及联络光缆敷设、通信子管敷设、通道开通及业务接入、割接等；设备、光缆及金具卸车清点、验收及保管，与施工相关的所有其他费用项目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注：特殊调试以合同附件特殊调试项目为准；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default"/>
          <w:color w:val="auto"/>
          <w:highlight w:val="none"/>
          <w:lang w:val="en-US"/>
        </w:rPr>
      </w:pPr>
    </w:p>
    <w:p>
      <w:pPr>
        <w:pStyle w:val="11"/>
        <w:keepNext w:val="0"/>
        <w:keepLines w:val="0"/>
        <w:pageBreakBefore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outlineLvl w:val="0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承包方式</w:t>
      </w:r>
      <w:r>
        <w:rPr>
          <w:rFonts w:hint="eastAsia" w:hAnsi="宋体" w:cs="宋体"/>
          <w:b/>
          <w:color w:val="auto"/>
          <w:sz w:val="24"/>
          <w:szCs w:val="24"/>
          <w:highlight w:val="none"/>
          <w:lang w:val="en-US" w:eastAsia="zh-CN"/>
        </w:rPr>
        <w:t>：包工、部分包料，施工图纸范围内如有下列设备、材料，无□及☑的为甲供，□未打√的及不在下列的为乙供。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outlineLvl w:val="1"/>
        <w:rPr>
          <w:rFonts w:hint="eastAsia" w:hAnsi="宋体" w:cs="宋体"/>
          <w:b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hAnsi="宋体" w:cs="宋体"/>
          <w:b/>
          <w:color w:val="auto"/>
          <w:sz w:val="21"/>
          <w:szCs w:val="21"/>
          <w:highlight w:val="none"/>
          <w:lang w:val="en-US" w:eastAsia="zh-CN"/>
        </w:rPr>
        <w:t>1.惠州220千伏东风输变电工程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default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包工、部分包料</w:t>
      </w: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※变电部分：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（一）甲供物资：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变电建筑工程：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1、不锈钢材质检修电源箱，不锈钢材质配电箱（含照明和动力配电箱），电力电缆，控制电缆，低压电线，铜铝端子，铜端子，构支架钢结构（含构支架、横梁，爬梯、避雷针），标准成品预制电缆沟盖板（包括混凝土盖板和复合盖板），装配式变电站围墙和主变防火墙（含混凝土和复合材质，厂家包安装及基础灌浆），电缆支架（铝合金、角钢、复合材质），电杆（含混凝土和复合材料），电缆保护管材（HDPE管、涂塑钢管、PVC管、MPP管），电缆管塞封堵器，空调（精密空调、中央空调（换流站阀厅用）、工业空调（STATCOM集装箱用）、防爆空调（蓄电池室）），智能围栏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2、□装配式电缆沟、□消防电缆、□电梯（不含货物电梯）、□嵌入式空调（天井式）、☑专用空调（生产场所、带自动启动功能）。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变电安装工程：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1、电气一、二次设备，预制舱配电房，机载高速光电吊舱设备，铝镁合金管形母线及其配套金具，金具及附件（含线夹），钢绞线，铝绞线，红外热像仪，变电站智能巡检机器人，独立五防系统，检修隔离装置，视频及环境监控系统，监测装置，变压器配电箱（SMC材质、不锈钢材质），不锈钢材质端子箱，不锈钢材质检修电源箱，不锈钢材质发电车开关箱，不锈钢材质配电箱（含照明和动力配电箱），电力电缆，控制电缆，计量用电线，10kV及以上电缆头，各种类型绝缘子，封闭母线桥，10kV绝缘铜管母线，穿墙套管，电缆支架（铝合金、角钢、复合材质）、铝合金电缆桥架、计量接引装置、电抗器接地装置、小电流接地选线装置、通用型标志牌（包括：禁止攀登、高压危险、禁止抛物、高压危险等提醒类标志牌及相线牌、安装支架，不涉及资产名称、编号或位置）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2、□吊车。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（二）其他甲供物资：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single"/>
          <w:lang w:val="en-US" w:eastAsia="zh-CN"/>
        </w:rPr>
        <w:t xml:space="preserve">  /    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※架空线路部分：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（一）甲供物资：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1、杆塔（水泥杆），铁塔加固器装置，高空防坠落装置，攀爬机轨道，钢绞线，铝绞线，导地线，绝缘子、绝缘横担，金具，标准铁构件，光缆，光缆金具，线路避雷器，故障指示器，故障精确定位装置，监测装置，视频监控系统，防鸟装置，铜覆钢接地极，石墨基接地体，通用型标志牌（包括：禁止攀登、高压危险、禁止抛物、高压危险等提醒类标志牌及相线牌、安装支架，不涉及资产名称、编号或位置）、警示灯（航空、航道）、航道牌及支架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2、☑地脚螺栓，☑直升机巡视作业标志牌。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（二）其他甲供物资：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single"/>
          <w:lang w:val="en-US" w:eastAsia="zh-CN"/>
        </w:rPr>
        <w:t xml:space="preserve">  /    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※电缆线路部分：建设单位提供部分设备及材料：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（一）甲供物资：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1、电力电缆，电缆终端头，电缆直通接头，电缆绝缘接头，电缆T接头，电缆固定夹，带保护器接地箱，直接接地箱，同轴电缆，接地线，回流线，接地箱，避雷器，故障指示器，故障精确定位装置，监测装置，光缆及光缆附件，电缆隧道装置（含电缆隧道综合监测系统、隧道专用LED灯具、电缆隧道巡检机器人轨道、电缆隧道智能巡检机器人、电缆防火防爆装置、电缆隧道立柱支架、电缆隧道户外动力箱（IP66）），隧道风机，海缆保护区航标，接头区灭火装置，电缆支架（铝合金、槽钢、复合材质），电缆保护管材（包括HDPE管、涂塑钢管、PVC管、MPP管）、电缆管塞封堵器，标准成品预制电缆沟盖板（包括混凝土盖板和复合盖板）、智能围栏，标志牌（电缆标志牌、警示牌、标示桩、走向标志、安装支架）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2、□装配式电缆沟，□玻璃钢管。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（二）其他甲供物资：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single"/>
          <w:lang w:val="en-US" w:eastAsia="zh-CN"/>
        </w:rPr>
        <w:t xml:space="preserve">  /    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※通信部分：建设单位提供部分设备及材料：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变电部分：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一）甲供物资：通信相关设备（含光传输设备、无线设备、电话、电池、监控、视频会议系统等），数据网设备，机架，通信电源，通信光缆及其金具，综合配线设备及材料，电缆保护管材（HDPE管、涂塑钢管、PVC管、MPP管）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（二）其他甲供物资：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single"/>
          <w:lang w:val="en-US" w:eastAsia="zh-CN"/>
        </w:rPr>
        <w:t xml:space="preserve">  /    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架空线路部分：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（一）甲供物资：光缆。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（二）其他甲供物资：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single"/>
          <w:lang w:val="en-US" w:eastAsia="zh-CN"/>
        </w:rPr>
        <w:t>☑光缆金具；☑接续盒。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电缆线路部分：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（一）甲供物资：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1、光缆及光缆附件，电缆保护管材（HDPE管、涂塑钢管、PVC管、MPP管）。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2、□装配式电缆沟，□玻璃钢管。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（二）其他甲供物资：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single"/>
          <w:lang w:val="en-US" w:eastAsia="zh-CN"/>
        </w:rPr>
        <w:t xml:space="preserve">  /    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outlineLvl w:val="1"/>
        <w:rPr>
          <w:rFonts w:hint="eastAsia" w:hAnsi="宋体" w:cs="宋体"/>
          <w:b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2.中海壳牌惠州三期乙烯项目用户站配套220千伏接入间隔扩建工程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※变电部分：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（一）甲供物资：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变电安装工程：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1、电气一、二次设备，预制舱配电房，机载高速光电吊舱设备，铝镁合金管形母线及其配套金具，金具及附件（含线夹），钢绞线，铝绞线，红外热像仪，变电站智能巡检机器人，独立五防系统，检修隔离装置，视频及环境监控系统，监测装置，变压器配电箱（SMC材质、不锈钢材质），不锈钢材质端子箱，不锈钢材质检修电源箱，不锈钢材质发电车开关箱，不锈钢材质配电箱（含照明和动力配电箱），电力电缆，控制电缆，计量用电线，10kV及以上电缆头，各种类型绝缘子，封闭母线桥，10kV绝缘铜管母线，穿墙套管，电缆支架（铝合金、角钢、复合材质）、铝合金电缆桥架、计量接引装置、电抗器接地装置、小电流接地选线装置、通用型标志牌（包括：禁止攀登、高压危险、禁止抛物、高压危险等提醒类标志牌及相线牌、安装支架，不涉及资产名称、编号或位置）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2、□吊车。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（二）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其他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甲供物资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 /    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※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通信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部分：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建设单位提供部分设备及材料：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变电部分：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甲供物资：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信相关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设备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（含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光传输设备、无线设备、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电话、电池、监控、视频会议系统等），数据网设备，机架，通信电源，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通信光缆及其金具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，综合配线设备及材料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，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电缆保护管材（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HDPE管、涂塑钢管、PVC管、MPP管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。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其他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甲供物资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 /    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注：建设单位提供的设备、材料以合同附件（甲供设备材料明细表）为准。</w:t>
      </w:r>
      <w:bookmarkStart w:id="2" w:name="_GoBack"/>
      <w:bookmarkEnd w:id="2"/>
    </w:p>
    <w:sectPr>
      <w:pgSz w:w="16838" w:h="11906" w:orient="landscape"/>
      <w:pgMar w:top="1803" w:right="1440" w:bottom="1803" w:left="1440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73F47E8"/>
    <w:multiLevelType w:val="singleLevel"/>
    <w:tmpl w:val="273F47E8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29484609"/>
    <w:multiLevelType w:val="singleLevel"/>
    <w:tmpl w:val="29484609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5B0B691A"/>
    <w:multiLevelType w:val="singleLevel"/>
    <w:tmpl w:val="5B0B691A"/>
    <w:lvl w:ilvl="0" w:tentative="0">
      <w:start w:val="1"/>
      <w:numFmt w:val="chineseCounting"/>
      <w:suff w:val="nothing"/>
      <w:lvlText w:val="（%1）"/>
      <w:lvlJc w:val="left"/>
      <w:rPr>
        <w:rFonts w:hint="eastAsia"/>
        <w:b/>
        <w:bCs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mOGUyZmFiZDQ3NmE5NzU1OWEyZWQxZGI0NDIzNTMifQ=="/>
  </w:docVars>
  <w:rsids>
    <w:rsidRoot w:val="24F737D8"/>
    <w:rsid w:val="00503881"/>
    <w:rsid w:val="00675492"/>
    <w:rsid w:val="0086286A"/>
    <w:rsid w:val="009B4D8E"/>
    <w:rsid w:val="00C073B0"/>
    <w:rsid w:val="00FB5937"/>
    <w:rsid w:val="01000F1F"/>
    <w:rsid w:val="01145951"/>
    <w:rsid w:val="012723F3"/>
    <w:rsid w:val="014D50AE"/>
    <w:rsid w:val="01C95043"/>
    <w:rsid w:val="0270337E"/>
    <w:rsid w:val="027D0CA1"/>
    <w:rsid w:val="02E4587F"/>
    <w:rsid w:val="02FA5B72"/>
    <w:rsid w:val="03215A31"/>
    <w:rsid w:val="03C255BA"/>
    <w:rsid w:val="0465127D"/>
    <w:rsid w:val="04827BAF"/>
    <w:rsid w:val="04D31677"/>
    <w:rsid w:val="050E07AE"/>
    <w:rsid w:val="05511549"/>
    <w:rsid w:val="05685F65"/>
    <w:rsid w:val="05B87515"/>
    <w:rsid w:val="05E259E1"/>
    <w:rsid w:val="068D71D9"/>
    <w:rsid w:val="06A607F6"/>
    <w:rsid w:val="06BC079B"/>
    <w:rsid w:val="07751D79"/>
    <w:rsid w:val="077730CD"/>
    <w:rsid w:val="07E9598A"/>
    <w:rsid w:val="08C90A20"/>
    <w:rsid w:val="08ED6EE8"/>
    <w:rsid w:val="09F124DC"/>
    <w:rsid w:val="09F62510"/>
    <w:rsid w:val="0A002AF6"/>
    <w:rsid w:val="0AA66B07"/>
    <w:rsid w:val="0B5C7530"/>
    <w:rsid w:val="0BC07002"/>
    <w:rsid w:val="0C4C26BB"/>
    <w:rsid w:val="0C6B30AA"/>
    <w:rsid w:val="0C894C41"/>
    <w:rsid w:val="0D0758F3"/>
    <w:rsid w:val="0D305BFD"/>
    <w:rsid w:val="0D612203"/>
    <w:rsid w:val="0D882D55"/>
    <w:rsid w:val="0D9432B7"/>
    <w:rsid w:val="0E7F20D3"/>
    <w:rsid w:val="0E9534FA"/>
    <w:rsid w:val="100827DD"/>
    <w:rsid w:val="10A919C2"/>
    <w:rsid w:val="11444D6C"/>
    <w:rsid w:val="116419AD"/>
    <w:rsid w:val="11DF6CFE"/>
    <w:rsid w:val="11F62C07"/>
    <w:rsid w:val="11FC1228"/>
    <w:rsid w:val="12117034"/>
    <w:rsid w:val="1221206F"/>
    <w:rsid w:val="12617BA5"/>
    <w:rsid w:val="12943D8A"/>
    <w:rsid w:val="13C71878"/>
    <w:rsid w:val="142C4DA5"/>
    <w:rsid w:val="14440D4B"/>
    <w:rsid w:val="14445CCF"/>
    <w:rsid w:val="14576EEE"/>
    <w:rsid w:val="15056A61"/>
    <w:rsid w:val="1556100F"/>
    <w:rsid w:val="15F1120D"/>
    <w:rsid w:val="16920D97"/>
    <w:rsid w:val="16B67CD2"/>
    <w:rsid w:val="16BE50DE"/>
    <w:rsid w:val="17241016"/>
    <w:rsid w:val="17311749"/>
    <w:rsid w:val="180D34D0"/>
    <w:rsid w:val="18147C0E"/>
    <w:rsid w:val="18725A29"/>
    <w:rsid w:val="18820F94"/>
    <w:rsid w:val="18B14F30"/>
    <w:rsid w:val="18DE0842"/>
    <w:rsid w:val="18E57496"/>
    <w:rsid w:val="19055B2A"/>
    <w:rsid w:val="190C67D7"/>
    <w:rsid w:val="193066EB"/>
    <w:rsid w:val="196B23E3"/>
    <w:rsid w:val="19883764"/>
    <w:rsid w:val="198A4263"/>
    <w:rsid w:val="1A1F0F68"/>
    <w:rsid w:val="1A2F2F81"/>
    <w:rsid w:val="1AC52469"/>
    <w:rsid w:val="1B1435D1"/>
    <w:rsid w:val="1B663F82"/>
    <w:rsid w:val="1B6C5C69"/>
    <w:rsid w:val="1BA9108A"/>
    <w:rsid w:val="1C660CB1"/>
    <w:rsid w:val="1D592E11"/>
    <w:rsid w:val="1DDE16D6"/>
    <w:rsid w:val="1EA379B5"/>
    <w:rsid w:val="1F29061C"/>
    <w:rsid w:val="1F6F7384"/>
    <w:rsid w:val="201715B2"/>
    <w:rsid w:val="2099410A"/>
    <w:rsid w:val="20E776A4"/>
    <w:rsid w:val="20F14BC7"/>
    <w:rsid w:val="216F4D5B"/>
    <w:rsid w:val="22AA156C"/>
    <w:rsid w:val="22B30023"/>
    <w:rsid w:val="22BD2637"/>
    <w:rsid w:val="22D01CE9"/>
    <w:rsid w:val="23290A9A"/>
    <w:rsid w:val="23880F5A"/>
    <w:rsid w:val="239D347E"/>
    <w:rsid w:val="23BC5F31"/>
    <w:rsid w:val="24046325"/>
    <w:rsid w:val="240C3970"/>
    <w:rsid w:val="24884B4B"/>
    <w:rsid w:val="24CA4DE9"/>
    <w:rsid w:val="24E46BF4"/>
    <w:rsid w:val="24F737D8"/>
    <w:rsid w:val="250E3A49"/>
    <w:rsid w:val="26810E4F"/>
    <w:rsid w:val="26B26E88"/>
    <w:rsid w:val="26CB623E"/>
    <w:rsid w:val="2709648F"/>
    <w:rsid w:val="271A0E36"/>
    <w:rsid w:val="274170EE"/>
    <w:rsid w:val="2785030E"/>
    <w:rsid w:val="278739E8"/>
    <w:rsid w:val="278F57AD"/>
    <w:rsid w:val="27E47C4B"/>
    <w:rsid w:val="280426CF"/>
    <w:rsid w:val="28110850"/>
    <w:rsid w:val="28190CFD"/>
    <w:rsid w:val="28F46A2A"/>
    <w:rsid w:val="291E4D83"/>
    <w:rsid w:val="295377DC"/>
    <w:rsid w:val="296555D1"/>
    <w:rsid w:val="299F6D84"/>
    <w:rsid w:val="29A55C56"/>
    <w:rsid w:val="29C0458C"/>
    <w:rsid w:val="29C17EFD"/>
    <w:rsid w:val="29FC239E"/>
    <w:rsid w:val="29FD22B4"/>
    <w:rsid w:val="2AAA1F8B"/>
    <w:rsid w:val="2AF97B0C"/>
    <w:rsid w:val="2B8D166E"/>
    <w:rsid w:val="2BED7EC0"/>
    <w:rsid w:val="2BFF0E0F"/>
    <w:rsid w:val="2C9A2ABC"/>
    <w:rsid w:val="2CD5741D"/>
    <w:rsid w:val="2D8D50EF"/>
    <w:rsid w:val="2D8E3667"/>
    <w:rsid w:val="2D960FD0"/>
    <w:rsid w:val="2DF41570"/>
    <w:rsid w:val="2E644C2A"/>
    <w:rsid w:val="2E816236"/>
    <w:rsid w:val="2E986CFE"/>
    <w:rsid w:val="2E9A5E18"/>
    <w:rsid w:val="2F110F46"/>
    <w:rsid w:val="2F362DFB"/>
    <w:rsid w:val="2F521218"/>
    <w:rsid w:val="2F5A5701"/>
    <w:rsid w:val="2F6F34DE"/>
    <w:rsid w:val="2F806FFC"/>
    <w:rsid w:val="2F893A97"/>
    <w:rsid w:val="2FF65FF8"/>
    <w:rsid w:val="30035F08"/>
    <w:rsid w:val="300D195C"/>
    <w:rsid w:val="3044134F"/>
    <w:rsid w:val="30742D8C"/>
    <w:rsid w:val="30BF37B5"/>
    <w:rsid w:val="30D22D2F"/>
    <w:rsid w:val="312C2AE5"/>
    <w:rsid w:val="3178798B"/>
    <w:rsid w:val="319B7BDC"/>
    <w:rsid w:val="3220664F"/>
    <w:rsid w:val="3244265D"/>
    <w:rsid w:val="32E20F4F"/>
    <w:rsid w:val="32E5510F"/>
    <w:rsid w:val="32F2736E"/>
    <w:rsid w:val="32F47928"/>
    <w:rsid w:val="33C83593"/>
    <w:rsid w:val="34086B59"/>
    <w:rsid w:val="34972557"/>
    <w:rsid w:val="34C26C1E"/>
    <w:rsid w:val="35B73053"/>
    <w:rsid w:val="35FC1068"/>
    <w:rsid w:val="3604633A"/>
    <w:rsid w:val="361736AD"/>
    <w:rsid w:val="364B3EDD"/>
    <w:rsid w:val="36676B65"/>
    <w:rsid w:val="36905D28"/>
    <w:rsid w:val="36A54835"/>
    <w:rsid w:val="36D200CF"/>
    <w:rsid w:val="37CD4298"/>
    <w:rsid w:val="38382DC3"/>
    <w:rsid w:val="38910B5D"/>
    <w:rsid w:val="38EB6C6E"/>
    <w:rsid w:val="38F32560"/>
    <w:rsid w:val="39446F46"/>
    <w:rsid w:val="3984546C"/>
    <w:rsid w:val="39BD6FC6"/>
    <w:rsid w:val="3A3C0B99"/>
    <w:rsid w:val="3A985A30"/>
    <w:rsid w:val="3AA76E83"/>
    <w:rsid w:val="3B2A0F67"/>
    <w:rsid w:val="3BB261E1"/>
    <w:rsid w:val="3BC21C9A"/>
    <w:rsid w:val="3BCA27B8"/>
    <w:rsid w:val="3C114F9E"/>
    <w:rsid w:val="3C1A13DF"/>
    <w:rsid w:val="3C1E17EA"/>
    <w:rsid w:val="3C4A35F1"/>
    <w:rsid w:val="3CB52AF5"/>
    <w:rsid w:val="3D004604"/>
    <w:rsid w:val="3DDD67A7"/>
    <w:rsid w:val="3E556C1E"/>
    <w:rsid w:val="3E912D31"/>
    <w:rsid w:val="3E972790"/>
    <w:rsid w:val="3E9D7E49"/>
    <w:rsid w:val="3EF44FD4"/>
    <w:rsid w:val="3F5440F4"/>
    <w:rsid w:val="3F9B7EF1"/>
    <w:rsid w:val="3FDC2D53"/>
    <w:rsid w:val="412232E3"/>
    <w:rsid w:val="413F7118"/>
    <w:rsid w:val="41546D80"/>
    <w:rsid w:val="415A7E63"/>
    <w:rsid w:val="4185310F"/>
    <w:rsid w:val="428A301F"/>
    <w:rsid w:val="42A47CE4"/>
    <w:rsid w:val="42E142C5"/>
    <w:rsid w:val="42E701E3"/>
    <w:rsid w:val="43193F4E"/>
    <w:rsid w:val="43754443"/>
    <w:rsid w:val="437A6E33"/>
    <w:rsid w:val="43B63024"/>
    <w:rsid w:val="440E3217"/>
    <w:rsid w:val="44501024"/>
    <w:rsid w:val="44827275"/>
    <w:rsid w:val="44A8314C"/>
    <w:rsid w:val="44D414C9"/>
    <w:rsid w:val="44F55A8B"/>
    <w:rsid w:val="45A66B7E"/>
    <w:rsid w:val="45AE252B"/>
    <w:rsid w:val="45BA6458"/>
    <w:rsid w:val="45C37365"/>
    <w:rsid w:val="460D1423"/>
    <w:rsid w:val="4635486E"/>
    <w:rsid w:val="46472D5E"/>
    <w:rsid w:val="46772BA7"/>
    <w:rsid w:val="468247BC"/>
    <w:rsid w:val="468E0BD5"/>
    <w:rsid w:val="469211D3"/>
    <w:rsid w:val="469B4709"/>
    <w:rsid w:val="46A85B41"/>
    <w:rsid w:val="46B502C1"/>
    <w:rsid w:val="4748547E"/>
    <w:rsid w:val="474D5751"/>
    <w:rsid w:val="47CB2C71"/>
    <w:rsid w:val="48D23DC3"/>
    <w:rsid w:val="49332FB5"/>
    <w:rsid w:val="497C0092"/>
    <w:rsid w:val="499C7ED1"/>
    <w:rsid w:val="4AB5099E"/>
    <w:rsid w:val="4B3A1BDA"/>
    <w:rsid w:val="4B892F45"/>
    <w:rsid w:val="4C1966EB"/>
    <w:rsid w:val="4CE924D7"/>
    <w:rsid w:val="4CED014A"/>
    <w:rsid w:val="4D392B7F"/>
    <w:rsid w:val="4DC759F3"/>
    <w:rsid w:val="4DD3333C"/>
    <w:rsid w:val="4DDE68FF"/>
    <w:rsid w:val="4E040B17"/>
    <w:rsid w:val="4EA560D6"/>
    <w:rsid w:val="4EAB70C1"/>
    <w:rsid w:val="4EB11923"/>
    <w:rsid w:val="5006624C"/>
    <w:rsid w:val="508012D6"/>
    <w:rsid w:val="50C2570B"/>
    <w:rsid w:val="50EE4AFC"/>
    <w:rsid w:val="51417051"/>
    <w:rsid w:val="5160430F"/>
    <w:rsid w:val="525522E2"/>
    <w:rsid w:val="528404F0"/>
    <w:rsid w:val="529E0DE5"/>
    <w:rsid w:val="531A6B64"/>
    <w:rsid w:val="53463775"/>
    <w:rsid w:val="53523D60"/>
    <w:rsid w:val="53A0483E"/>
    <w:rsid w:val="53AA5AAD"/>
    <w:rsid w:val="547776C9"/>
    <w:rsid w:val="54B1452A"/>
    <w:rsid w:val="54CD572E"/>
    <w:rsid w:val="55734D49"/>
    <w:rsid w:val="55886263"/>
    <w:rsid w:val="55C3156A"/>
    <w:rsid w:val="560C4938"/>
    <w:rsid w:val="56B64DD1"/>
    <w:rsid w:val="56C358D0"/>
    <w:rsid w:val="56EA4326"/>
    <w:rsid w:val="57593089"/>
    <w:rsid w:val="57871C26"/>
    <w:rsid w:val="57FE2B69"/>
    <w:rsid w:val="580E3E6D"/>
    <w:rsid w:val="582B703A"/>
    <w:rsid w:val="59874BEF"/>
    <w:rsid w:val="599017B7"/>
    <w:rsid w:val="5A1A79E1"/>
    <w:rsid w:val="5A492CEC"/>
    <w:rsid w:val="5ACC1A03"/>
    <w:rsid w:val="5B821531"/>
    <w:rsid w:val="5BC53585"/>
    <w:rsid w:val="5BD623F0"/>
    <w:rsid w:val="5C784F41"/>
    <w:rsid w:val="5CBE7C34"/>
    <w:rsid w:val="5DBB5D9A"/>
    <w:rsid w:val="5DDE1A54"/>
    <w:rsid w:val="5DE84119"/>
    <w:rsid w:val="5E3C172A"/>
    <w:rsid w:val="5EB72BF2"/>
    <w:rsid w:val="5ECA6A10"/>
    <w:rsid w:val="5EF23899"/>
    <w:rsid w:val="5F8E0C51"/>
    <w:rsid w:val="5F8E5468"/>
    <w:rsid w:val="5FE724D4"/>
    <w:rsid w:val="60395037"/>
    <w:rsid w:val="60432554"/>
    <w:rsid w:val="60546075"/>
    <w:rsid w:val="608606DE"/>
    <w:rsid w:val="611A085E"/>
    <w:rsid w:val="612E2659"/>
    <w:rsid w:val="6185598F"/>
    <w:rsid w:val="61B31956"/>
    <w:rsid w:val="62090166"/>
    <w:rsid w:val="624A1C05"/>
    <w:rsid w:val="62642848"/>
    <w:rsid w:val="626671FB"/>
    <w:rsid w:val="626D2409"/>
    <w:rsid w:val="628F4BF3"/>
    <w:rsid w:val="639D46DC"/>
    <w:rsid w:val="6424058D"/>
    <w:rsid w:val="64355278"/>
    <w:rsid w:val="65732D60"/>
    <w:rsid w:val="663511C3"/>
    <w:rsid w:val="663B2A3B"/>
    <w:rsid w:val="66C35559"/>
    <w:rsid w:val="66D91A76"/>
    <w:rsid w:val="670E24A3"/>
    <w:rsid w:val="67977F0F"/>
    <w:rsid w:val="68814582"/>
    <w:rsid w:val="68B337CC"/>
    <w:rsid w:val="68BF1E69"/>
    <w:rsid w:val="69311D38"/>
    <w:rsid w:val="6A090B86"/>
    <w:rsid w:val="6A287B5E"/>
    <w:rsid w:val="6A485E7E"/>
    <w:rsid w:val="6A6B37FA"/>
    <w:rsid w:val="6A7214AF"/>
    <w:rsid w:val="6AAE7116"/>
    <w:rsid w:val="6B303A1A"/>
    <w:rsid w:val="6B377A4D"/>
    <w:rsid w:val="6B635940"/>
    <w:rsid w:val="6C141EE0"/>
    <w:rsid w:val="6C523F43"/>
    <w:rsid w:val="6C7A646F"/>
    <w:rsid w:val="6CC87405"/>
    <w:rsid w:val="6CF02B48"/>
    <w:rsid w:val="6D1E5C16"/>
    <w:rsid w:val="6D897695"/>
    <w:rsid w:val="6D910C36"/>
    <w:rsid w:val="6DAA2FDF"/>
    <w:rsid w:val="6E121228"/>
    <w:rsid w:val="6E3942B6"/>
    <w:rsid w:val="6F2A2F55"/>
    <w:rsid w:val="6FC40F54"/>
    <w:rsid w:val="6FF45107"/>
    <w:rsid w:val="70873960"/>
    <w:rsid w:val="70B81233"/>
    <w:rsid w:val="70D1495F"/>
    <w:rsid w:val="7129638F"/>
    <w:rsid w:val="71411B5D"/>
    <w:rsid w:val="72396872"/>
    <w:rsid w:val="724B2010"/>
    <w:rsid w:val="733B519B"/>
    <w:rsid w:val="73641402"/>
    <w:rsid w:val="736B376C"/>
    <w:rsid w:val="73900B61"/>
    <w:rsid w:val="73DA5F9E"/>
    <w:rsid w:val="73E26C2E"/>
    <w:rsid w:val="74077D67"/>
    <w:rsid w:val="74E73186"/>
    <w:rsid w:val="74F238E6"/>
    <w:rsid w:val="757A3B2C"/>
    <w:rsid w:val="76015DEA"/>
    <w:rsid w:val="763B2CF0"/>
    <w:rsid w:val="764E470D"/>
    <w:rsid w:val="76850D49"/>
    <w:rsid w:val="76EB7161"/>
    <w:rsid w:val="77414717"/>
    <w:rsid w:val="7782457D"/>
    <w:rsid w:val="779D1CDF"/>
    <w:rsid w:val="77A700F8"/>
    <w:rsid w:val="77E67240"/>
    <w:rsid w:val="7842124A"/>
    <w:rsid w:val="78B64B97"/>
    <w:rsid w:val="78D6764B"/>
    <w:rsid w:val="78E80676"/>
    <w:rsid w:val="79435213"/>
    <w:rsid w:val="79527737"/>
    <w:rsid w:val="79D51B6D"/>
    <w:rsid w:val="7B2B3FE2"/>
    <w:rsid w:val="7B3B73B5"/>
    <w:rsid w:val="7B4C1BE3"/>
    <w:rsid w:val="7B7A3121"/>
    <w:rsid w:val="7BA936B9"/>
    <w:rsid w:val="7BE2764E"/>
    <w:rsid w:val="7C233754"/>
    <w:rsid w:val="7C766170"/>
    <w:rsid w:val="7CC45B07"/>
    <w:rsid w:val="7CC84BE5"/>
    <w:rsid w:val="7D26550D"/>
    <w:rsid w:val="7D2D6A7C"/>
    <w:rsid w:val="7D3A3102"/>
    <w:rsid w:val="7D7F4AF0"/>
    <w:rsid w:val="7DC06BDF"/>
    <w:rsid w:val="7E3420E0"/>
    <w:rsid w:val="7E405052"/>
    <w:rsid w:val="7E7056FE"/>
    <w:rsid w:val="7EDB4DAD"/>
    <w:rsid w:val="7F1A0C44"/>
    <w:rsid w:val="7F8F7043"/>
    <w:rsid w:val="7FFC2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99" w:semiHidden="0" w:name="heading 1"/>
    <w:lsdException w:qFormat="1" w:uiPriority="99" w:semiHidden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5">
    <w:name w:val="heading 1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color w:val="000000"/>
      <w:sz w:val="32"/>
    </w:rPr>
  </w:style>
  <w:style w:type="paragraph" w:styleId="6">
    <w:name w:val="heading 2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i/>
      <w:color w:val="000000"/>
      <w:sz w:val="28"/>
    </w:rPr>
  </w:style>
  <w:style w:type="paragraph" w:styleId="7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5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pacing w:line="360" w:lineRule="auto"/>
      <w:ind w:firstLine="200" w:firstLineChars="200"/>
      <w:jc w:val="both"/>
    </w:pPr>
    <w:rPr>
      <w:kern w:val="0"/>
      <w:sz w:val="24"/>
      <w:lang w:val="en-US" w:eastAsia="zh-CN"/>
    </w:rPr>
  </w:style>
  <w:style w:type="paragraph" w:styleId="3">
    <w:name w:val="Body Text"/>
    <w:basedOn w:val="4"/>
    <w:next w:val="4"/>
    <w:unhideWhenUsed/>
    <w:qFormat/>
    <w:uiPriority w:val="99"/>
    <w:pPr>
      <w:spacing w:after="120"/>
    </w:pPr>
  </w:style>
  <w:style w:type="paragraph" w:styleId="4">
    <w:name w:val="Title"/>
    <w:basedOn w:val="1"/>
    <w:next w:val="1"/>
    <w:qFormat/>
    <w:uiPriority w:val="0"/>
    <w:pPr>
      <w:widowControl/>
      <w:spacing w:before="240" w:after="60" w:line="560" w:lineRule="exact"/>
      <w:jc w:val="center"/>
      <w:outlineLvl w:val="0"/>
    </w:pPr>
    <w:rPr>
      <w:rFonts w:ascii="Arial" w:hAnsi="Arial" w:eastAsia="华文中宋" w:cs="Arial"/>
      <w:b/>
      <w:bCs/>
      <w:color w:val="FF0000"/>
      <w:kern w:val="0"/>
      <w:sz w:val="84"/>
      <w:szCs w:val="32"/>
    </w:rPr>
  </w:style>
  <w:style w:type="paragraph" w:styleId="8">
    <w:name w:val="Normal Indent"/>
    <w:basedOn w:val="1"/>
    <w:qFormat/>
    <w:uiPriority w:val="0"/>
    <w:pPr>
      <w:ind w:firstLine="420"/>
    </w:pPr>
    <w:rPr>
      <w:rFonts w:ascii="Times New Roman" w:hAnsi="Times New Roman" w:cs="Times New Roman"/>
      <w:kern w:val="0"/>
      <w:sz w:val="20"/>
      <w:szCs w:val="20"/>
    </w:rPr>
  </w:style>
  <w:style w:type="paragraph" w:styleId="9">
    <w:name w:val="annotation text"/>
    <w:basedOn w:val="1"/>
    <w:qFormat/>
    <w:uiPriority w:val="0"/>
    <w:pPr>
      <w:jc w:val="left"/>
    </w:pPr>
  </w:style>
  <w:style w:type="paragraph" w:styleId="10">
    <w:name w:val="Body Text Indent"/>
    <w:basedOn w:val="1"/>
    <w:qFormat/>
    <w:uiPriority w:val="0"/>
    <w:pPr>
      <w:spacing w:after="120"/>
      <w:ind w:left="420" w:leftChars="200"/>
    </w:pPr>
  </w:style>
  <w:style w:type="paragraph" w:styleId="11">
    <w:name w:val="Plain Text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宋体" w:hAnsi="Courier New"/>
      <w:kern w:val="0"/>
      <w:sz w:val="20"/>
      <w:szCs w:val="20"/>
      <w:lang w:val="en-US" w:eastAsia="zh-CN"/>
    </w:rPr>
  </w:style>
  <w:style w:type="paragraph" w:styleId="1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4">
    <w:name w:val="Table Grid"/>
    <w:basedOn w:val="1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">
    <w:name w:val="目录 21"/>
    <w:basedOn w:val="1"/>
    <w:next w:val="1"/>
    <w:qFormat/>
    <w:uiPriority w:val="0"/>
    <w:pPr>
      <w:spacing w:before="100" w:beforeAutospacing="1" w:after="100" w:afterAutospacing="1"/>
      <w:ind w:left="420" w:leftChars="200"/>
    </w:pPr>
  </w:style>
  <w:style w:type="paragraph" w:customStyle="1" w:styleId="17">
    <w:name w:val="_Style 5"/>
    <w:basedOn w:val="1"/>
    <w:qFormat/>
    <w:uiPriority w:val="0"/>
    <w:pPr>
      <w:adjustRightInd/>
      <w:spacing w:line="240" w:lineRule="auto"/>
      <w:ind w:firstLine="420" w:firstLineChars="200"/>
      <w:textAlignment w:val="auto"/>
    </w:pPr>
    <w:rPr>
      <w:rFonts w:ascii="Calibri" w:hAnsi="Calibri" w:eastAsia="宋体" w:cs="Times New Roman"/>
      <w:kern w:val="2"/>
      <w:sz w:val="21"/>
      <w:szCs w:val="22"/>
    </w:rPr>
  </w:style>
  <w:style w:type="paragraph" w:customStyle="1" w:styleId="18">
    <w:name w:val="报告正文"/>
    <w:basedOn w:val="1"/>
    <w:qFormat/>
    <w:uiPriority w:val="0"/>
    <w:pPr>
      <w:ind w:firstLine="200" w:firstLineChars="200"/>
      <w:textAlignment w:val="baseline"/>
    </w:pPr>
    <w:rPr>
      <w:color w:val="FF0000"/>
      <w:kern w:val="0"/>
    </w:rPr>
  </w:style>
  <w:style w:type="character" w:customStyle="1" w:styleId="19">
    <w:name w:val="font31"/>
    <w:basedOn w:val="1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7111</Words>
  <Characters>7982</Characters>
  <Lines>0</Lines>
  <Paragraphs>0</Paragraphs>
  <TotalTime>1</TotalTime>
  <ScaleCrop>false</ScaleCrop>
  <LinksUpToDate>false</LinksUpToDate>
  <CharactersWithSpaces>8069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2021-02-24T07:45:00Z</dcterms:created>
  <dc:creator>maja</dc:creator>
  <cp:lastModifiedBy>杨莉</cp:lastModifiedBy>
  <cp:lastPrinted>2022-02-11T02:00:00Z</cp:lastPrinted>
  <dcterms:modified xsi:type="dcterms:W3CDTF">2025-11-21T03:43:38Z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3481125D14104150805EE2A1826FA6CF</vt:lpwstr>
  </property>
</Properties>
</file>