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napToGrid w:val="0"/>
        <w:spacing w:line="360" w:lineRule="auto"/>
        <w:jc w:val="center"/>
        <w:outlineLvl w:val="0"/>
        <w:rPr>
          <w:rFonts w:hint="default" w:hAnsi="宋体" w:eastAsia="宋体" w:cs="宋体"/>
          <w:b/>
          <w:bCs/>
          <w:snapToGrid w:val="0"/>
          <w:sz w:val="32"/>
          <w:szCs w:val="32"/>
          <w:lang w:val="en-US" w:eastAsia="zh-CN"/>
        </w:rPr>
      </w:pPr>
      <w:bookmarkStart w:id="0" w:name="_Toc8445"/>
      <w:r>
        <w:rPr>
          <w:rFonts w:hint="eastAsia" w:hAnsi="宋体" w:cs="宋体"/>
          <w:b/>
          <w:bCs/>
          <w:snapToGrid w:val="0"/>
          <w:sz w:val="32"/>
          <w:szCs w:val="32"/>
          <w:lang w:val="en-US" w:eastAsia="zh-CN"/>
        </w:rPr>
        <w:t>标的4</w:t>
      </w:r>
    </w:p>
    <w:p>
      <w:pPr>
        <w:pStyle w:val="11"/>
        <w:adjustRightInd w:val="0"/>
        <w:snapToGrid w:val="0"/>
        <w:spacing w:line="360" w:lineRule="auto"/>
        <w:jc w:val="center"/>
        <w:rPr>
          <w:rFonts w:hAnsi="宋体" w:cs="宋体"/>
          <w:snapToGrid w:val="0"/>
          <w:sz w:val="28"/>
          <w:szCs w:val="28"/>
        </w:rPr>
      </w:pPr>
      <w:r>
        <w:rPr>
          <w:rFonts w:hint="eastAsia" w:hAnsi="宋体" w:cs="宋体"/>
          <w:b/>
          <w:bCs/>
          <w:snapToGrid w:val="0"/>
          <w:sz w:val="28"/>
          <w:szCs w:val="28"/>
        </w:rPr>
        <w:t>项目名称：广西500千伏金陵站接线完善工程（超高压部分）施工</w:t>
      </w:r>
    </w:p>
    <w:tbl>
      <w:tblPr>
        <w:tblStyle w:val="16"/>
        <w:tblW w:w="78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"/>
        <w:gridCol w:w="3114"/>
        <w:gridCol w:w="3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046" w:type="dxa"/>
            <w:vAlign w:val="center"/>
          </w:tcPr>
          <w:p>
            <w:pPr>
              <w:pStyle w:val="11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4"/>
                <w:szCs w:val="24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4"/>
                <w:szCs w:val="24"/>
              </w:rPr>
              <w:t>序号</w:t>
            </w:r>
          </w:p>
        </w:tc>
        <w:tc>
          <w:tcPr>
            <w:tcW w:w="3114" w:type="dxa"/>
            <w:vAlign w:val="center"/>
          </w:tcPr>
          <w:p>
            <w:pPr>
              <w:pStyle w:val="11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4"/>
                <w:szCs w:val="24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4"/>
                <w:szCs w:val="24"/>
              </w:rPr>
              <w:t>文件名称</w:t>
            </w:r>
          </w:p>
        </w:tc>
        <w:tc>
          <w:tcPr>
            <w:tcW w:w="3719" w:type="dxa"/>
            <w:vAlign w:val="center"/>
          </w:tcPr>
          <w:p>
            <w:pPr>
              <w:pStyle w:val="11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4"/>
                <w:szCs w:val="24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4"/>
                <w:szCs w:val="24"/>
              </w:rPr>
              <w:t>文件文号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046" w:type="dxa"/>
            <w:vAlign w:val="center"/>
          </w:tcPr>
          <w:p>
            <w:pPr>
              <w:pStyle w:val="11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</w:rPr>
              <w:t>1</w:t>
            </w:r>
          </w:p>
        </w:tc>
        <w:tc>
          <w:tcPr>
            <w:tcW w:w="3114" w:type="dxa"/>
            <w:vAlign w:val="center"/>
          </w:tcPr>
          <w:p>
            <w:pPr>
              <w:pStyle w:val="11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</w:rPr>
              <w:t>可研批复文号</w:t>
            </w:r>
          </w:p>
        </w:tc>
        <w:tc>
          <w:tcPr>
            <w:tcW w:w="3719" w:type="dxa"/>
          </w:tcPr>
          <w:p>
            <w:pPr>
              <w:pStyle w:val="11"/>
              <w:spacing w:line="360" w:lineRule="auto"/>
              <w:jc w:val="center"/>
              <w:rPr>
                <w:rFonts w:hAnsi="宋体" w:cs="宋体"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sz w:val="21"/>
              </w:rPr>
              <w:t>南方电网规划〔202</w:t>
            </w:r>
            <w:r>
              <w:rPr>
                <w:rFonts w:hAnsi="宋体" w:cs="宋体"/>
                <w:sz w:val="21"/>
              </w:rPr>
              <w:t>4</w:t>
            </w:r>
            <w:r>
              <w:rPr>
                <w:rFonts w:hint="eastAsia" w:hAnsi="宋体" w:cs="宋体"/>
                <w:sz w:val="21"/>
              </w:rPr>
              <w:t>〕</w:t>
            </w:r>
            <w:r>
              <w:rPr>
                <w:rFonts w:hAnsi="宋体" w:cs="宋体"/>
                <w:sz w:val="21"/>
              </w:rPr>
              <w:t>126</w:t>
            </w:r>
            <w:r>
              <w:rPr>
                <w:rFonts w:hint="eastAsia" w:hAnsi="宋体" w:cs="宋体"/>
                <w:sz w:val="21"/>
              </w:rPr>
              <w:t>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046" w:type="dxa"/>
            <w:vAlign w:val="center"/>
          </w:tcPr>
          <w:p>
            <w:pPr>
              <w:pStyle w:val="11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</w:rPr>
              <w:t>2</w:t>
            </w:r>
          </w:p>
        </w:tc>
        <w:tc>
          <w:tcPr>
            <w:tcW w:w="3114" w:type="dxa"/>
            <w:vAlign w:val="center"/>
          </w:tcPr>
          <w:p>
            <w:pPr>
              <w:pStyle w:val="11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</w:rPr>
              <w:t>项目备案文号</w:t>
            </w:r>
          </w:p>
        </w:tc>
        <w:tc>
          <w:tcPr>
            <w:tcW w:w="3719" w:type="dxa"/>
          </w:tcPr>
          <w:p>
            <w:pPr>
              <w:pStyle w:val="11"/>
              <w:spacing w:line="360" w:lineRule="auto"/>
              <w:jc w:val="center"/>
              <w:rPr>
                <w:rFonts w:hAnsi="宋体" w:cs="宋体"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sz w:val="21"/>
              </w:rPr>
              <w:t>桂发改电力</w:t>
            </w:r>
            <w:r>
              <w:rPr>
                <w:rFonts w:hAnsi="宋体" w:cs="宋体"/>
                <w:sz w:val="21"/>
              </w:rPr>
              <w:t>〔2025〕336号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046" w:type="dxa"/>
            <w:vAlign w:val="center"/>
          </w:tcPr>
          <w:p>
            <w:pPr>
              <w:pStyle w:val="11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</w:rPr>
              <w:t>3</w:t>
            </w:r>
          </w:p>
        </w:tc>
        <w:tc>
          <w:tcPr>
            <w:tcW w:w="3114" w:type="dxa"/>
            <w:vAlign w:val="center"/>
          </w:tcPr>
          <w:p>
            <w:pPr>
              <w:pStyle w:val="11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</w:rPr>
              <w:t>初设批复文号</w:t>
            </w:r>
          </w:p>
        </w:tc>
        <w:tc>
          <w:tcPr>
            <w:tcW w:w="371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hAnsi="宋体" w:eastAsia="宋体" w:cs="宋体"/>
                <w:snapToGrid w:val="0"/>
                <w:kern w:val="0"/>
                <w:sz w:val="21"/>
                <w:szCs w:val="21"/>
                <w:highlight w:val="none"/>
                <w:lang w:val="en-US" w:eastAsia="zh-CN" w:bidi="ar-SA"/>
              </w:rPr>
              <w:t>南方电网输配电〔2025〕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21"/>
                <w:szCs w:val="21"/>
                <w:highlight w:val="none"/>
                <w:lang w:val="en-US" w:eastAsia="zh-CN" w:bidi="ar-SA"/>
              </w:rPr>
              <w:t>72</w:t>
            </w:r>
            <w:r>
              <w:rPr>
                <w:rFonts w:ascii="宋体" w:hAnsi="宋体" w:eastAsia="宋体" w:cs="宋体"/>
                <w:snapToGrid w:val="0"/>
                <w:kern w:val="0"/>
                <w:sz w:val="21"/>
                <w:szCs w:val="21"/>
                <w:highlight w:val="none"/>
                <w:lang w:val="en-US" w:eastAsia="zh-CN" w:bidi="ar-SA"/>
              </w:rPr>
              <w:t>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046" w:type="dxa"/>
            <w:vAlign w:val="center"/>
          </w:tcPr>
          <w:p>
            <w:pPr>
              <w:pStyle w:val="11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</w:rPr>
              <w:t>4</w:t>
            </w:r>
          </w:p>
        </w:tc>
        <w:tc>
          <w:tcPr>
            <w:tcW w:w="3114" w:type="dxa"/>
            <w:vAlign w:val="center"/>
          </w:tcPr>
          <w:p>
            <w:pPr>
              <w:pStyle w:val="11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</w:rPr>
              <w:t>资金落实情况</w:t>
            </w:r>
          </w:p>
        </w:tc>
        <w:tc>
          <w:tcPr>
            <w:tcW w:w="371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kern w:val="0"/>
                <w:szCs w:val="21"/>
              </w:rPr>
              <w:t>桂发改电力〔2025〕336号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046" w:type="dxa"/>
            <w:vAlign w:val="center"/>
          </w:tcPr>
          <w:p>
            <w:pPr>
              <w:pStyle w:val="11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</w:rPr>
              <w:t>5</w:t>
            </w:r>
          </w:p>
        </w:tc>
        <w:tc>
          <w:tcPr>
            <w:tcW w:w="3114" w:type="dxa"/>
            <w:vAlign w:val="center"/>
          </w:tcPr>
          <w:p>
            <w:pPr>
              <w:pStyle w:val="11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</w:rPr>
              <w:t>施工图预算批复文号</w:t>
            </w:r>
          </w:p>
        </w:tc>
        <w:tc>
          <w:tcPr>
            <w:tcW w:w="3719" w:type="dxa"/>
            <w:vAlign w:val="center"/>
          </w:tcPr>
          <w:p>
            <w:pPr>
              <w:pStyle w:val="11"/>
              <w:snapToGrid w:val="0"/>
              <w:jc w:val="center"/>
              <w:rPr>
                <w:rFonts w:hAnsi="宋体" w:cs="宋体"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snapToGrid w:val="0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046" w:type="dxa"/>
            <w:vAlign w:val="center"/>
          </w:tcPr>
          <w:p>
            <w:pPr>
              <w:pStyle w:val="11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</w:rPr>
              <w:t>6</w:t>
            </w:r>
          </w:p>
        </w:tc>
        <w:tc>
          <w:tcPr>
            <w:tcW w:w="3114" w:type="dxa"/>
            <w:vAlign w:val="center"/>
          </w:tcPr>
          <w:p>
            <w:pPr>
              <w:pStyle w:val="11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</w:rPr>
              <w:t>项目建设单位</w:t>
            </w:r>
          </w:p>
        </w:tc>
        <w:tc>
          <w:tcPr>
            <w:tcW w:w="3719" w:type="dxa"/>
            <w:vAlign w:val="center"/>
          </w:tcPr>
          <w:p>
            <w:pPr>
              <w:pStyle w:val="11"/>
              <w:snapToGrid w:val="0"/>
              <w:jc w:val="center"/>
              <w:rPr>
                <w:rFonts w:hAnsi="宋体" w:cs="宋体"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snapToGrid w:val="0"/>
                <w:sz w:val="21"/>
                <w:szCs w:val="21"/>
              </w:rPr>
              <w:t>南网超高压公司南宁局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1046" w:type="dxa"/>
            <w:vAlign w:val="center"/>
          </w:tcPr>
          <w:p>
            <w:pPr>
              <w:pStyle w:val="11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</w:rPr>
              <w:t>7</w:t>
            </w:r>
          </w:p>
        </w:tc>
        <w:tc>
          <w:tcPr>
            <w:tcW w:w="3114" w:type="dxa"/>
            <w:vAlign w:val="center"/>
          </w:tcPr>
          <w:p>
            <w:pPr>
              <w:pStyle w:val="11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</w:rPr>
              <w:t>项目建设地点</w:t>
            </w:r>
          </w:p>
        </w:tc>
        <w:tc>
          <w:tcPr>
            <w:tcW w:w="3719" w:type="dxa"/>
            <w:vAlign w:val="center"/>
          </w:tcPr>
          <w:p>
            <w:pPr>
              <w:pStyle w:val="11"/>
              <w:snapToGrid w:val="0"/>
              <w:jc w:val="center"/>
              <w:rPr>
                <w:rFonts w:hAnsi="宋体" w:cs="宋体"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snapToGrid w:val="0"/>
                <w:sz w:val="21"/>
                <w:szCs w:val="21"/>
              </w:rPr>
              <w:t>广西壮族自治区南宁市江南区500kV南宁变电站</w:t>
            </w:r>
          </w:p>
          <w:p>
            <w:pPr>
              <w:pStyle w:val="11"/>
              <w:snapToGrid w:val="0"/>
              <w:jc w:val="center"/>
              <w:rPr>
                <w:rFonts w:hAnsi="宋体" w:cs="宋体"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snapToGrid w:val="0"/>
                <w:sz w:val="21"/>
                <w:szCs w:val="21"/>
              </w:rPr>
              <w:t>广西壮族自治区百色市平果县上马头镇500kV平果变电站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046" w:type="dxa"/>
            <w:vAlign w:val="center"/>
          </w:tcPr>
          <w:p>
            <w:pPr>
              <w:pStyle w:val="11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</w:rPr>
              <w:t>8</w:t>
            </w:r>
          </w:p>
        </w:tc>
        <w:tc>
          <w:tcPr>
            <w:tcW w:w="3114" w:type="dxa"/>
            <w:vAlign w:val="center"/>
          </w:tcPr>
          <w:p>
            <w:pPr>
              <w:pStyle w:val="11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</w:rPr>
              <w:t>前期的设计或咨询服务单位名称</w:t>
            </w:r>
          </w:p>
        </w:tc>
        <w:tc>
          <w:tcPr>
            <w:tcW w:w="3719" w:type="dxa"/>
            <w:vAlign w:val="center"/>
          </w:tcPr>
          <w:p>
            <w:pPr>
              <w:pStyle w:val="11"/>
              <w:snapToGrid w:val="0"/>
              <w:jc w:val="center"/>
              <w:rPr>
                <w:rFonts w:hAnsi="宋体" w:cs="宋体"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sz w:val="21"/>
                <w:szCs w:val="21"/>
              </w:rPr>
              <w:t>中国能源建设集团广东省电力设计研究院有限公司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046" w:type="dxa"/>
            <w:vAlign w:val="center"/>
          </w:tcPr>
          <w:p>
            <w:pPr>
              <w:pStyle w:val="11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</w:rPr>
              <w:t>9</w:t>
            </w:r>
          </w:p>
        </w:tc>
        <w:tc>
          <w:tcPr>
            <w:tcW w:w="3114" w:type="dxa"/>
            <w:vAlign w:val="center"/>
          </w:tcPr>
          <w:p>
            <w:pPr>
              <w:pStyle w:val="11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</w:rPr>
              <w:t>项目监理单位</w:t>
            </w:r>
          </w:p>
        </w:tc>
        <w:tc>
          <w:tcPr>
            <w:tcW w:w="3719" w:type="dxa"/>
            <w:vAlign w:val="center"/>
          </w:tcPr>
          <w:p>
            <w:pPr>
              <w:pStyle w:val="11"/>
              <w:snapToGrid w:val="0"/>
              <w:jc w:val="center"/>
              <w:rPr>
                <w:rFonts w:hAnsi="宋体" w:cs="宋体"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snapToGrid w:val="0"/>
                <w:sz w:val="21"/>
                <w:szCs w:val="21"/>
              </w:rPr>
              <w:t>/</w:t>
            </w:r>
          </w:p>
        </w:tc>
      </w:tr>
      <w:bookmarkEnd w:id="0"/>
    </w:tbl>
    <w:p>
      <w:pPr>
        <w:pStyle w:val="11"/>
        <w:adjustRightInd w:val="0"/>
        <w:snapToGrid w:val="0"/>
        <w:spacing w:line="360" w:lineRule="auto"/>
        <w:rPr>
          <w:rFonts w:hAnsi="宋体" w:cs="宋体"/>
          <w:b/>
          <w:sz w:val="24"/>
          <w:szCs w:val="24"/>
        </w:rPr>
      </w:pPr>
      <w:r>
        <w:rPr>
          <w:rFonts w:hint="eastAsia" w:hAnsi="宋体" w:cs="宋体"/>
          <w:b/>
          <w:sz w:val="24"/>
          <w:szCs w:val="24"/>
        </w:rPr>
        <w:t>一、项目概况</w:t>
      </w:r>
      <w:bookmarkStart w:id="1" w:name="_Toc13498"/>
      <w:bookmarkStart w:id="2" w:name="_Toc4755"/>
      <w:bookmarkStart w:id="3" w:name="_Toc28718"/>
    </w:p>
    <w:bookmarkEnd w:id="1"/>
    <w:bookmarkEnd w:id="2"/>
    <w:bookmarkEnd w:id="3"/>
    <w:p>
      <w:pPr>
        <w:pStyle w:val="11"/>
        <w:adjustRightInd w:val="0"/>
        <w:snapToGrid w:val="0"/>
        <w:spacing w:line="360" w:lineRule="auto"/>
        <w:ind w:firstLine="422" w:firstLineChars="200"/>
        <w:rPr>
          <w:rFonts w:hAnsi="宋体" w:cs="宋体"/>
          <w:b/>
          <w:sz w:val="21"/>
          <w:szCs w:val="21"/>
        </w:rPr>
      </w:pPr>
      <w:r>
        <w:rPr>
          <w:rFonts w:hint="eastAsia" w:hAnsi="宋体" w:cs="宋体"/>
          <w:b/>
          <w:sz w:val="21"/>
          <w:szCs w:val="21"/>
        </w:rPr>
        <w:t>（一）广西500千伏金陵站接线完善工程（超高压部分）施工</w:t>
      </w:r>
    </w:p>
    <w:p>
      <w:pPr>
        <w:pStyle w:val="11"/>
        <w:adjustRightInd w:val="0"/>
        <w:snapToGrid w:val="0"/>
        <w:spacing w:line="360" w:lineRule="auto"/>
        <w:ind w:firstLine="422" w:firstLineChars="200"/>
        <w:jc w:val="left"/>
        <w:rPr>
          <w:rFonts w:hAnsi="宋体" w:cs="宋体"/>
          <w:b/>
          <w:sz w:val="21"/>
          <w:szCs w:val="21"/>
        </w:rPr>
      </w:pPr>
      <w:r>
        <w:rPr>
          <w:rFonts w:hint="eastAsia" w:hAnsi="宋体" w:cs="宋体"/>
          <w:b/>
          <w:sz w:val="21"/>
          <w:szCs w:val="21"/>
        </w:rPr>
        <w:t>※变电部分: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szCs w:val="21"/>
        </w:rPr>
        <w:t>变电</w:t>
      </w:r>
      <w:r>
        <w:rPr>
          <w:rFonts w:hint="eastAsia" w:ascii="宋体" w:hAnsi="宋体" w:cs="宋体"/>
          <w:b/>
          <w:bCs/>
          <w:szCs w:val="21"/>
        </w:rPr>
        <w:t>建筑工程：</w:t>
      </w:r>
    </w:p>
    <w:p>
      <w:pPr>
        <w:tabs>
          <w:tab w:val="left" w:pos="1146"/>
        </w:tabs>
        <w:snapToGrid w:val="0"/>
        <w:spacing w:line="360" w:lineRule="auto"/>
        <w:ind w:firstLine="420" w:firstLineChars="200"/>
        <w:jc w:val="left"/>
      </w:pPr>
      <w:r>
        <w:rPr>
          <w:rFonts w:hint="eastAsia" w:ascii="宋体" w:hAnsi="宋体" w:cs="宋体"/>
          <w:bCs/>
          <w:szCs w:val="21"/>
        </w:rPr>
        <w:t>本项目不涉及。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/>
          <w:szCs w:val="21"/>
        </w:rPr>
        <w:t>变电</w:t>
      </w:r>
      <w:r>
        <w:rPr>
          <w:rFonts w:hint="eastAsia" w:ascii="宋体" w:hAnsi="宋体" w:cs="宋体"/>
          <w:b/>
          <w:bCs/>
          <w:szCs w:val="21"/>
        </w:rPr>
        <w:t>安装工程：</w:t>
      </w:r>
    </w:p>
    <w:p>
      <w:pPr>
        <w:pStyle w:val="11"/>
        <w:adjustRightInd w:val="0"/>
        <w:snapToGrid w:val="0"/>
        <w:spacing w:line="360" w:lineRule="auto"/>
        <w:ind w:firstLine="420" w:firstLineChars="200"/>
        <w:jc w:val="left"/>
        <w:rPr>
          <w:rFonts w:hAnsi="宋体" w:cs="宋体"/>
          <w:bCs/>
          <w:sz w:val="21"/>
          <w:szCs w:val="21"/>
        </w:rPr>
      </w:pPr>
      <w:r>
        <w:rPr>
          <w:rFonts w:hint="eastAsia" w:hAnsi="宋体" w:cs="宋体"/>
          <w:snapToGrid w:val="0"/>
          <w:sz w:val="21"/>
          <w:szCs w:val="21"/>
        </w:rPr>
        <w:t>500kV</w:t>
      </w:r>
      <w:r>
        <w:rPr>
          <w:rFonts w:hint="eastAsia" w:hAnsi="宋体" w:cs="宋体"/>
          <w:bCs/>
          <w:sz w:val="21"/>
          <w:szCs w:val="21"/>
        </w:rPr>
        <w:t>南宁变电站更换平南线路单回间隔线路保护，调整相应二次线。</w:t>
      </w:r>
    </w:p>
    <w:p>
      <w:pPr>
        <w:pStyle w:val="11"/>
        <w:adjustRightInd w:val="0"/>
        <w:snapToGrid w:val="0"/>
        <w:spacing w:line="360" w:lineRule="auto"/>
        <w:ind w:firstLine="420" w:firstLineChars="200"/>
        <w:jc w:val="left"/>
        <w:rPr>
          <w:rFonts w:hAnsi="宋体" w:cs="宋体"/>
          <w:bCs/>
          <w:sz w:val="21"/>
          <w:szCs w:val="21"/>
        </w:rPr>
      </w:pPr>
      <w:r>
        <w:rPr>
          <w:rFonts w:hint="eastAsia" w:hAnsi="宋体" w:cs="宋体"/>
          <w:sz w:val="21"/>
          <w:szCs w:val="21"/>
        </w:rPr>
        <w:t>500kV平果变电站更换平南线路单回间隔监控系统、保信等系统装置调试以及配套通信设备施工。</w:t>
      </w:r>
    </w:p>
    <w:p>
      <w:pPr>
        <w:pStyle w:val="11"/>
        <w:adjustRightInd w:val="0"/>
        <w:snapToGrid w:val="0"/>
        <w:spacing w:line="360" w:lineRule="auto"/>
        <w:ind w:firstLine="422" w:firstLineChars="200"/>
        <w:jc w:val="left"/>
        <w:rPr>
          <w:rFonts w:hAnsi="宋体" w:cs="宋体"/>
          <w:b/>
          <w:sz w:val="21"/>
          <w:szCs w:val="21"/>
        </w:rPr>
      </w:pPr>
      <w:r>
        <w:rPr>
          <w:rFonts w:hint="eastAsia" w:hAnsi="宋体" w:cs="宋体"/>
          <w:b/>
          <w:sz w:val="21"/>
          <w:szCs w:val="21"/>
        </w:rPr>
        <w:t>※架空线路部分:</w:t>
      </w:r>
    </w:p>
    <w:p>
      <w:pPr>
        <w:tabs>
          <w:tab w:val="left" w:pos="1146"/>
        </w:tabs>
        <w:snapToGrid w:val="0"/>
        <w:spacing w:line="360" w:lineRule="auto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本项目不涉及。</w:t>
      </w:r>
    </w:p>
    <w:p>
      <w:pPr>
        <w:pStyle w:val="11"/>
        <w:snapToGrid w:val="0"/>
        <w:spacing w:line="360" w:lineRule="auto"/>
        <w:ind w:firstLine="422" w:firstLineChars="200"/>
        <w:jc w:val="left"/>
        <w:rPr>
          <w:rFonts w:hAnsi="宋体" w:cs="宋体"/>
          <w:b/>
          <w:sz w:val="21"/>
          <w:szCs w:val="21"/>
        </w:rPr>
      </w:pPr>
      <w:r>
        <w:rPr>
          <w:rFonts w:hint="eastAsia" w:hAnsi="宋体" w:cs="宋体"/>
          <w:b/>
          <w:sz w:val="21"/>
          <w:szCs w:val="21"/>
        </w:rPr>
        <w:t>※通信部分：</w:t>
      </w:r>
    </w:p>
    <w:p>
      <w:pPr>
        <w:pStyle w:val="11"/>
        <w:adjustRightInd w:val="0"/>
        <w:snapToGrid w:val="0"/>
        <w:spacing w:line="360" w:lineRule="auto"/>
        <w:ind w:firstLine="420" w:firstLineChars="200"/>
        <w:jc w:val="left"/>
        <w:rPr>
          <w:rFonts w:hAnsi="宋体" w:cs="宋体"/>
          <w:bCs/>
          <w:sz w:val="21"/>
          <w:szCs w:val="21"/>
        </w:rPr>
      </w:pPr>
      <w:r>
        <w:rPr>
          <w:rFonts w:hint="eastAsia" w:hAnsi="宋体" w:cs="宋体"/>
          <w:bCs/>
          <w:sz w:val="21"/>
          <w:szCs w:val="21"/>
        </w:rPr>
        <w:t>南网ASON网：平果变利旧原有板卡和光路子系统（BA+DCM），南宁变利旧原有板卡，拆除1套光放子系统。</w:t>
      </w:r>
    </w:p>
    <w:p>
      <w:pPr>
        <w:pStyle w:val="11"/>
        <w:adjustRightInd w:val="0"/>
        <w:snapToGrid w:val="0"/>
        <w:spacing w:line="360" w:lineRule="auto"/>
        <w:ind w:firstLine="420" w:firstLineChars="200"/>
        <w:jc w:val="left"/>
        <w:rPr>
          <w:rFonts w:hAnsi="宋体" w:cs="宋体"/>
          <w:bCs/>
          <w:sz w:val="21"/>
          <w:szCs w:val="21"/>
        </w:rPr>
      </w:pPr>
      <w:r>
        <w:rPr>
          <w:rFonts w:hint="eastAsia" w:hAnsi="宋体" w:cs="宋体"/>
          <w:bCs/>
          <w:sz w:val="21"/>
          <w:szCs w:val="21"/>
        </w:rPr>
        <w:t>南网主干传输B网：平果变和南宁变各安装2块BA板，利旧原有光接口板卡，调试光缆解口后的光路。</w:t>
      </w:r>
    </w:p>
    <w:p>
      <w:pPr>
        <w:pStyle w:val="11"/>
        <w:adjustRightInd w:val="0"/>
        <w:snapToGrid w:val="0"/>
        <w:spacing w:line="360" w:lineRule="auto"/>
        <w:ind w:firstLine="420" w:firstLineChars="200"/>
        <w:jc w:val="left"/>
        <w:rPr>
          <w:rFonts w:hAnsi="宋体" w:cs="宋体"/>
          <w:bCs/>
          <w:sz w:val="21"/>
          <w:szCs w:val="21"/>
        </w:rPr>
      </w:pPr>
      <w:r>
        <w:rPr>
          <w:rFonts w:hint="eastAsia" w:hAnsi="宋体" w:cs="宋体"/>
          <w:bCs/>
          <w:sz w:val="21"/>
          <w:szCs w:val="21"/>
        </w:rPr>
        <w:t>南网保底通信网骨干域：在平果变配置1块色散补偿模块，其余光接口板和光放子系统利旧。在南宁变更换1个8</w:t>
      </w:r>
      <w:r>
        <w:rPr>
          <w:rFonts w:hAnsi="宋体" w:cs="宋体"/>
          <w:bCs/>
          <w:sz w:val="21"/>
          <w:szCs w:val="21"/>
        </w:rPr>
        <w:t>0</w:t>
      </w:r>
      <w:r>
        <w:rPr>
          <w:rFonts w:hint="eastAsia" w:hAnsi="宋体" w:cs="宋体"/>
          <w:bCs/>
          <w:sz w:val="21"/>
          <w:szCs w:val="21"/>
        </w:rPr>
        <w:t>km光模块，利旧原有板卡，拆除1套光放子系统。调试光缆解口后的光路。</w:t>
      </w:r>
    </w:p>
    <w:p>
      <w:pPr>
        <w:pStyle w:val="11"/>
        <w:adjustRightInd w:val="0"/>
        <w:snapToGrid w:val="0"/>
        <w:spacing w:line="360" w:lineRule="auto"/>
        <w:ind w:firstLine="420" w:firstLineChars="200"/>
        <w:jc w:val="left"/>
        <w:rPr>
          <w:rFonts w:hAnsi="宋体" w:cs="宋体"/>
          <w:bCs/>
          <w:sz w:val="21"/>
          <w:szCs w:val="21"/>
        </w:rPr>
      </w:pPr>
      <w:r>
        <w:rPr>
          <w:rFonts w:hint="eastAsia" w:hAnsi="宋体" w:cs="宋体"/>
          <w:bCs/>
          <w:sz w:val="21"/>
          <w:szCs w:val="21"/>
        </w:rPr>
        <w:t>省传输B网：调试光缆解口后的光路。</w:t>
      </w:r>
    </w:p>
    <w:p>
      <w:pPr>
        <w:pStyle w:val="11"/>
        <w:adjustRightInd w:val="0"/>
        <w:snapToGrid w:val="0"/>
        <w:spacing w:line="360" w:lineRule="auto"/>
        <w:ind w:firstLine="420" w:firstLineChars="200"/>
        <w:jc w:val="left"/>
        <w:rPr>
          <w:rFonts w:hAnsi="宋体" w:cs="宋体"/>
          <w:bCs/>
          <w:sz w:val="21"/>
          <w:szCs w:val="21"/>
        </w:rPr>
      </w:pPr>
      <w:r>
        <w:rPr>
          <w:rFonts w:hint="eastAsia" w:hAnsi="宋体" w:cs="宋体"/>
          <w:bCs/>
          <w:sz w:val="21"/>
          <w:szCs w:val="21"/>
        </w:rPr>
        <w:t>南网保底通信网广西域：在平果变配置1块色散补偿模块，其余光接口板和光放子系统利旧。在南宁变更换1个8</w:t>
      </w:r>
      <w:r>
        <w:rPr>
          <w:rFonts w:hAnsi="宋体" w:cs="宋体"/>
          <w:bCs/>
          <w:sz w:val="21"/>
          <w:szCs w:val="21"/>
        </w:rPr>
        <w:t>0</w:t>
      </w:r>
      <w:r>
        <w:rPr>
          <w:rFonts w:hint="eastAsia" w:hAnsi="宋体" w:cs="宋体"/>
          <w:bCs/>
          <w:sz w:val="21"/>
          <w:szCs w:val="21"/>
        </w:rPr>
        <w:t>km光模块，利旧原有板卡，拆除1套光放子系统。调试光缆解口后的光路。</w:t>
      </w:r>
    </w:p>
    <w:p>
      <w:pPr>
        <w:pStyle w:val="11"/>
        <w:adjustRightInd w:val="0"/>
        <w:snapToGrid w:val="0"/>
        <w:spacing w:line="360" w:lineRule="auto"/>
        <w:ind w:firstLine="422" w:firstLineChars="200"/>
        <w:rPr>
          <w:rFonts w:hAnsi="宋体" w:cs="宋体"/>
          <w:b/>
          <w:sz w:val="21"/>
          <w:szCs w:val="21"/>
        </w:rPr>
      </w:pPr>
      <w:r>
        <w:rPr>
          <w:rFonts w:hint="eastAsia" w:hAnsi="宋体" w:cs="宋体"/>
          <w:b/>
          <w:sz w:val="21"/>
          <w:szCs w:val="21"/>
          <w:u w:val="single"/>
        </w:rPr>
        <w:t>具体建设规模以施工图纸为准。</w:t>
      </w:r>
    </w:p>
    <w:p>
      <w:pPr>
        <w:pStyle w:val="11"/>
        <w:snapToGrid w:val="0"/>
        <w:spacing w:line="360" w:lineRule="auto"/>
        <w:jc w:val="left"/>
        <w:outlineLvl w:val="0"/>
        <w:rPr>
          <w:rFonts w:hAnsi="宋体" w:cs="宋体"/>
          <w:b/>
          <w:bCs/>
          <w:snapToGrid w:val="0"/>
          <w:sz w:val="24"/>
          <w:szCs w:val="24"/>
        </w:rPr>
      </w:pPr>
      <w:r>
        <w:rPr>
          <w:rFonts w:hint="eastAsia" w:hAnsi="宋体" w:cs="宋体"/>
          <w:b/>
          <w:bCs/>
          <w:snapToGrid w:val="0"/>
          <w:sz w:val="24"/>
          <w:szCs w:val="24"/>
        </w:rPr>
        <w:t>二、采购范围</w:t>
      </w:r>
      <w:bookmarkStart w:id="4" w:name="施工招标范围综合"/>
    </w:p>
    <w:p>
      <w:pPr>
        <w:pStyle w:val="11"/>
        <w:snapToGrid w:val="0"/>
        <w:spacing w:line="360" w:lineRule="auto"/>
        <w:ind w:firstLine="422" w:firstLineChars="200"/>
        <w:jc w:val="left"/>
        <w:outlineLvl w:val="0"/>
        <w:rPr>
          <w:rFonts w:hAnsi="宋体" w:cs="宋体"/>
          <w:b/>
          <w:bCs/>
          <w:snapToGrid w:val="0"/>
          <w:sz w:val="21"/>
          <w:szCs w:val="21"/>
          <w:u w:val="single"/>
        </w:rPr>
      </w:pPr>
      <w:r>
        <w:rPr>
          <w:rFonts w:hint="eastAsia" w:hAnsi="宋体" w:cs="宋体"/>
          <w:b/>
          <w:bCs/>
          <w:snapToGrid w:val="0"/>
          <w:sz w:val="21"/>
          <w:szCs w:val="21"/>
        </w:rPr>
        <w:t>包括施工图范围内的建筑、安装及调试工程。施工图范围内的下列工作内容，无□及</w:t>
      </w:r>
      <w:r>
        <w:rPr>
          <w:rFonts w:hint="eastAsia" w:hAnsi="宋体" w:cs="宋体"/>
          <w:sz w:val="21"/>
          <w:szCs w:val="21"/>
        </w:rPr>
        <w:t>☑</w:t>
      </w:r>
      <w:r>
        <w:rPr>
          <w:rFonts w:hint="eastAsia" w:hAnsi="宋体" w:cs="宋体"/>
          <w:b/>
          <w:bCs/>
          <w:snapToGrid w:val="0"/>
          <w:sz w:val="21"/>
          <w:szCs w:val="21"/>
        </w:rPr>
        <w:t>的为本次报价范围；□未打√的，不在本次报价范围内</w:t>
      </w:r>
      <w:bookmarkEnd w:id="4"/>
      <w:r>
        <w:rPr>
          <w:rFonts w:hint="eastAsia" w:hAnsi="宋体" w:cs="宋体"/>
          <w:b/>
          <w:bCs/>
          <w:snapToGrid w:val="0"/>
          <w:sz w:val="21"/>
          <w:szCs w:val="21"/>
        </w:rPr>
        <w:t>，特殊情况在“其他”中说明。</w:t>
      </w:r>
    </w:p>
    <w:p>
      <w:pPr>
        <w:pStyle w:val="11"/>
        <w:adjustRightInd w:val="0"/>
        <w:snapToGrid w:val="0"/>
        <w:spacing w:line="360" w:lineRule="auto"/>
        <w:ind w:firstLine="422" w:firstLineChars="200"/>
        <w:rPr>
          <w:rFonts w:hAnsi="宋体" w:cs="宋体"/>
          <w:b/>
          <w:sz w:val="21"/>
          <w:szCs w:val="21"/>
        </w:rPr>
      </w:pPr>
      <w:r>
        <w:rPr>
          <w:rFonts w:hint="eastAsia" w:hAnsi="宋体" w:cs="宋体"/>
          <w:b/>
          <w:sz w:val="21"/>
          <w:szCs w:val="21"/>
        </w:rPr>
        <w:t>（1）广西500千伏金陵站接线完善工程（超高压部分）施工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※变电部分：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szCs w:val="21"/>
        </w:rPr>
        <w:t>变电</w:t>
      </w:r>
      <w:r>
        <w:rPr>
          <w:rFonts w:hint="eastAsia" w:ascii="宋体" w:hAnsi="宋体" w:cs="宋体"/>
          <w:b/>
          <w:bCs/>
          <w:szCs w:val="21"/>
        </w:rPr>
        <w:t>建筑工程：</w:t>
      </w:r>
    </w:p>
    <w:p>
      <w:pPr>
        <w:tabs>
          <w:tab w:val="left" w:pos="1146"/>
        </w:tabs>
        <w:snapToGrid w:val="0"/>
        <w:spacing w:line="360" w:lineRule="auto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本项目不涉及。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变电</w:t>
      </w:r>
      <w:r>
        <w:rPr>
          <w:rFonts w:hint="eastAsia" w:ascii="宋体" w:hAnsi="宋体" w:cs="宋体"/>
          <w:b/>
          <w:bCs/>
          <w:szCs w:val="21"/>
        </w:rPr>
        <w:t>安装工程：</w:t>
      </w:r>
    </w:p>
    <w:p>
      <w:pPr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（一）主要生产工程：</w:t>
      </w:r>
      <w:r>
        <w:rPr>
          <w:rFonts w:hint="eastAsia" w:ascii="宋体" w:hAnsi="宋体" w:cs="宋体"/>
          <w:szCs w:val="21"/>
        </w:rPr>
        <w:t>线路保护更换安装、</w:t>
      </w:r>
      <w:r>
        <w:rPr>
          <w:rFonts w:hint="eastAsia" w:ascii="宋体" w:hAnsi="宋体" w:cs="宋体"/>
          <w:szCs w:val="21"/>
          <w:lang w:eastAsia="zh"/>
        </w:rPr>
        <w:t>电缆支架安装及</w:t>
      </w:r>
      <w:r>
        <w:rPr>
          <w:rFonts w:hint="eastAsia" w:ascii="宋体" w:hAnsi="宋体" w:cs="宋体"/>
          <w:szCs w:val="21"/>
        </w:rPr>
        <w:t>电缆</w:t>
      </w:r>
      <w:r>
        <w:rPr>
          <w:rFonts w:hint="eastAsia" w:ascii="宋体" w:hAnsi="宋体" w:cs="宋体"/>
          <w:szCs w:val="21"/>
          <w:lang w:eastAsia="zh"/>
        </w:rPr>
        <w:t>敷设、</w:t>
      </w:r>
      <w:r>
        <w:rPr>
          <w:rFonts w:hint="eastAsia" w:ascii="宋体" w:hAnsi="宋体" w:cs="宋体"/>
          <w:bCs/>
          <w:szCs w:val="21"/>
        </w:rPr>
        <w:t>远动系统调试</w:t>
      </w:r>
      <w:r>
        <w:rPr>
          <w:rFonts w:hint="eastAsia" w:ascii="宋体" w:hAnsi="宋体" w:cs="宋体"/>
          <w:szCs w:val="21"/>
        </w:rPr>
        <w:t>（含总调、中调、地调调度端的扩容）</w:t>
      </w:r>
      <w:r>
        <w:rPr>
          <w:rFonts w:hint="eastAsia" w:ascii="宋体" w:hAnsi="宋体" w:cs="宋体"/>
          <w:kern w:val="0"/>
          <w:szCs w:val="21"/>
        </w:rPr>
        <w:t>；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（二）辅助生产工程：</w:t>
      </w:r>
      <w:r>
        <w:rPr>
          <w:rFonts w:hint="eastAsia" w:ascii="宋体" w:hAnsi="宋体" w:cs="宋体"/>
          <w:szCs w:val="21"/>
        </w:rPr>
        <w:t>无；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（三）</w:t>
      </w:r>
      <w:r>
        <w:rPr>
          <w:rFonts w:hint="eastAsia" w:ascii="宋体" w:hAnsi="宋体" w:cs="宋体"/>
          <w:b/>
          <w:bCs/>
          <w:szCs w:val="21"/>
        </w:rPr>
        <w:t>与站址有关的单项工程：</w:t>
      </w:r>
      <w:r>
        <w:rPr>
          <w:rFonts w:hint="eastAsia" w:ascii="宋体" w:hAnsi="宋体" w:cs="宋体"/>
          <w:szCs w:val="21"/>
        </w:rPr>
        <w:t>□站外电源，□站外通信</w:t>
      </w:r>
      <w:r>
        <w:rPr>
          <w:rFonts w:hint="eastAsia" w:ascii="宋体" w:hAnsi="宋体" w:cs="宋体"/>
          <w:b/>
          <w:szCs w:val="21"/>
        </w:rPr>
        <w:t>；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szCs w:val="21"/>
        </w:rPr>
        <w:t>（四）其他费用工程：</w:t>
      </w:r>
      <w:r>
        <w:rPr>
          <w:rFonts w:hint="eastAsia" w:ascii="宋体" w:hAnsi="宋体" w:cs="宋体"/>
          <w:szCs w:val="21"/>
        </w:rPr>
        <w:t>□标志牌安装，□拆除工程；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szCs w:val="21"/>
        </w:rPr>
        <w:t>（五）其他：</w:t>
      </w:r>
      <w:r>
        <w:rPr>
          <w:rFonts w:hint="eastAsia" w:ascii="宋体" w:hAnsi="宋体" w:cs="宋体"/>
          <w:bCs/>
          <w:szCs w:val="21"/>
          <w:u w:val="single"/>
        </w:rPr>
        <w:t xml:space="preserve">     /    </w:t>
      </w:r>
      <w:r>
        <w:rPr>
          <w:rFonts w:hint="eastAsia" w:ascii="宋体" w:hAnsi="宋体" w:cs="宋体"/>
          <w:szCs w:val="21"/>
          <w:u w:val="single"/>
        </w:rPr>
        <w:t>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※架空线路部分：</w:t>
      </w:r>
    </w:p>
    <w:p>
      <w:pPr>
        <w:tabs>
          <w:tab w:val="left" w:pos="1146"/>
        </w:tabs>
        <w:snapToGrid w:val="0"/>
        <w:spacing w:line="360" w:lineRule="auto"/>
        <w:ind w:firstLine="420" w:firstLineChars="200"/>
        <w:jc w:val="left"/>
      </w:pPr>
      <w:r>
        <w:rPr>
          <w:rFonts w:hint="eastAsia" w:ascii="宋体" w:hAnsi="宋体" w:cs="宋体"/>
          <w:bCs/>
          <w:szCs w:val="21"/>
        </w:rPr>
        <w:t>本项目不涉及。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/>
          <w:szCs w:val="21"/>
        </w:rPr>
        <w:t>※通信部分：</w:t>
      </w:r>
    </w:p>
    <w:p>
      <w:pPr>
        <w:pStyle w:val="11"/>
        <w:snapToGrid w:val="0"/>
        <w:spacing w:line="360" w:lineRule="auto"/>
        <w:ind w:left="420"/>
        <w:rPr>
          <w:rFonts w:hAnsi="宋体" w:cs="宋体"/>
          <w:bCs/>
          <w:szCs w:val="21"/>
        </w:rPr>
      </w:pPr>
      <w:r>
        <w:rPr>
          <w:rFonts w:hint="eastAsia" w:hAnsi="宋体" w:cs="宋体"/>
          <w:bCs/>
          <w:szCs w:val="21"/>
        </w:rPr>
        <w:t>本项目不涉及。</w:t>
      </w:r>
    </w:p>
    <w:p>
      <w:pPr>
        <w:pStyle w:val="11"/>
        <w:snapToGrid w:val="0"/>
        <w:spacing w:line="360" w:lineRule="auto"/>
        <w:ind w:left="420"/>
        <w:rPr>
          <w:rFonts w:hAnsi="宋体" w:cs="宋体"/>
          <w:b/>
          <w:bCs/>
          <w:snapToGrid w:val="0"/>
          <w:sz w:val="24"/>
          <w:szCs w:val="24"/>
        </w:rPr>
      </w:pPr>
      <w:r>
        <w:rPr>
          <w:rFonts w:hint="eastAsia" w:hAnsi="宋体" w:cs="宋体"/>
          <w:b/>
          <w:bCs/>
          <w:snapToGrid w:val="0"/>
          <w:sz w:val="24"/>
          <w:szCs w:val="24"/>
        </w:rPr>
        <w:t>三、承包方式</w:t>
      </w:r>
    </w:p>
    <w:p>
      <w:pPr>
        <w:pStyle w:val="11"/>
        <w:snapToGrid w:val="0"/>
        <w:spacing w:line="360" w:lineRule="auto"/>
        <w:ind w:firstLine="422" w:firstLineChars="200"/>
        <w:rPr>
          <w:rFonts w:hAnsi="宋体" w:cs="宋体"/>
          <w:b/>
          <w:bCs/>
          <w:snapToGrid w:val="0"/>
          <w:sz w:val="21"/>
          <w:szCs w:val="21"/>
        </w:rPr>
      </w:pPr>
      <w:r>
        <w:rPr>
          <w:rFonts w:hint="eastAsia" w:hAnsi="宋体" w:cs="宋体"/>
          <w:b/>
          <w:bCs/>
          <w:snapToGrid w:val="0"/>
          <w:sz w:val="21"/>
          <w:szCs w:val="21"/>
        </w:rPr>
        <w:t>包工、部分包料，施工图纸范围内如有下列设备、材料，无□及</w:t>
      </w:r>
      <w:r>
        <w:rPr>
          <w:rFonts w:hint="eastAsia" w:hAnsi="宋体" w:cs="宋体"/>
          <w:b/>
          <w:bCs/>
          <w:snapToGrid w:val="0"/>
          <w:sz w:val="21"/>
          <w:szCs w:val="21"/>
        </w:rPr>
        <w:fldChar w:fldCharType="begin"/>
      </w:r>
      <w:r>
        <w:rPr>
          <w:rFonts w:hint="eastAsia" w:hAnsi="宋体" w:cs="宋体"/>
          <w:b/>
          <w:bCs/>
          <w:snapToGrid w:val="0"/>
          <w:sz w:val="21"/>
          <w:szCs w:val="21"/>
        </w:rPr>
        <w:instrText xml:space="preserve"> EQ \o\ac(</w:instrText>
      </w:r>
      <w:r>
        <w:rPr>
          <w:rFonts w:hint="eastAsia" w:hAnsi="宋体" w:cs="宋体"/>
          <w:b/>
          <w:bCs/>
          <w:snapToGrid w:val="0"/>
          <w:position w:val="-4"/>
          <w:sz w:val="31"/>
          <w:szCs w:val="21"/>
        </w:rPr>
        <w:instrText xml:space="preserve">□</w:instrText>
      </w:r>
      <w:r>
        <w:rPr>
          <w:rFonts w:hint="eastAsia" w:hAnsi="宋体" w:cs="宋体"/>
          <w:b/>
          <w:bCs/>
          <w:snapToGrid w:val="0"/>
          <w:sz w:val="21"/>
          <w:szCs w:val="21"/>
        </w:rPr>
        <w:instrText xml:space="preserve">,√)</w:instrText>
      </w:r>
      <w:r>
        <w:rPr>
          <w:rFonts w:hint="eastAsia" w:hAnsi="宋体" w:cs="宋体"/>
          <w:b/>
          <w:bCs/>
          <w:snapToGrid w:val="0"/>
          <w:sz w:val="21"/>
          <w:szCs w:val="21"/>
        </w:rPr>
        <w:fldChar w:fldCharType="end"/>
      </w:r>
      <w:r>
        <w:rPr>
          <w:rFonts w:hint="eastAsia" w:hAnsi="宋体" w:cs="宋体"/>
          <w:b/>
          <w:bCs/>
          <w:snapToGrid w:val="0"/>
          <w:sz w:val="21"/>
          <w:szCs w:val="21"/>
        </w:rPr>
        <w:t>的为甲供，□未打√的及不在下列的为乙供。</w:t>
      </w:r>
    </w:p>
    <w:p>
      <w:pPr>
        <w:pStyle w:val="11"/>
        <w:adjustRightInd w:val="0"/>
        <w:snapToGrid w:val="0"/>
        <w:spacing w:line="360" w:lineRule="auto"/>
        <w:ind w:firstLine="422" w:firstLineChars="200"/>
        <w:rPr>
          <w:rFonts w:hAnsi="宋体" w:cs="宋体"/>
          <w:b/>
          <w:sz w:val="21"/>
          <w:szCs w:val="21"/>
        </w:rPr>
      </w:pPr>
      <w:r>
        <w:rPr>
          <w:rFonts w:hint="eastAsia" w:hAnsi="宋体" w:cs="宋体"/>
          <w:b/>
          <w:sz w:val="21"/>
          <w:szCs w:val="21"/>
        </w:rPr>
        <w:t>（1）广西500千伏金陵站接线完善工程（超高压部分）施工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szCs w:val="21"/>
        </w:rPr>
        <w:t xml:space="preserve"> </w:t>
      </w:r>
      <w:r>
        <w:rPr>
          <w:rFonts w:hint="eastAsia" w:ascii="宋体" w:hAnsi="宋体" w:cs="宋体"/>
          <w:b/>
          <w:bCs/>
          <w:szCs w:val="21"/>
        </w:rPr>
        <w:t>※变电部分：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（一）甲供物资：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变电建筑工程：</w:t>
      </w:r>
    </w:p>
    <w:p>
      <w:pPr>
        <w:tabs>
          <w:tab w:val="left" w:pos="1146"/>
        </w:tabs>
        <w:snapToGrid w:val="0"/>
        <w:spacing w:line="360" w:lineRule="auto"/>
        <w:ind w:firstLine="420" w:firstLineChars="200"/>
        <w:jc w:val="left"/>
      </w:pPr>
      <w:r>
        <w:rPr>
          <w:rFonts w:hint="eastAsia" w:ascii="宋体" w:hAnsi="宋体" w:cs="宋体"/>
          <w:bCs/>
          <w:szCs w:val="21"/>
        </w:rPr>
        <w:t>本项目不涉及。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变电安装工程：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1、电气二次设备：本期新上的500kV线路保护，控制电缆、光缆、网线。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2、□</w:t>
      </w:r>
      <w:r>
        <w:rPr>
          <w:rFonts w:hint="eastAsia" w:ascii="宋体" w:hAnsi="宋体" w:cs="宋体"/>
          <w:bCs/>
          <w:szCs w:val="21"/>
        </w:rPr>
        <w:t>标志牌、□相关间隔电缆牌更换、□电缆二次接地材料及相关防火封堵材料。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Cs/>
          <w:szCs w:val="21"/>
          <w:u w:val="single"/>
        </w:rPr>
      </w:pPr>
      <w:r>
        <w:rPr>
          <w:rFonts w:hint="eastAsia" w:ascii="宋体" w:hAnsi="宋体" w:cs="宋体"/>
          <w:b/>
          <w:szCs w:val="21"/>
        </w:rPr>
        <w:t>（二）其他甲供物资：</w:t>
      </w:r>
      <w:r>
        <w:rPr>
          <w:rFonts w:hint="eastAsia" w:ascii="宋体" w:hAnsi="宋体" w:cs="宋体"/>
          <w:bCs/>
          <w:szCs w:val="21"/>
          <w:u w:val="single"/>
        </w:rPr>
        <w:t xml:space="preserve"> /。</w:t>
      </w:r>
    </w:p>
    <w:p>
      <w:pPr>
        <w:widowControl/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※架空线路部分：</w:t>
      </w:r>
    </w:p>
    <w:p>
      <w:pPr>
        <w:tabs>
          <w:tab w:val="left" w:pos="1146"/>
        </w:tabs>
        <w:snapToGrid w:val="0"/>
        <w:spacing w:line="360" w:lineRule="auto"/>
        <w:ind w:firstLine="420" w:firstLineChars="200"/>
        <w:jc w:val="left"/>
      </w:pPr>
      <w:r>
        <w:rPr>
          <w:rFonts w:hint="eastAsia" w:ascii="宋体" w:hAnsi="宋体" w:cs="宋体"/>
          <w:bCs/>
          <w:szCs w:val="21"/>
        </w:rPr>
        <w:t>本项目不涉及。</w:t>
      </w:r>
    </w:p>
    <w:p>
      <w:pPr>
        <w:widowControl/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※通信部分：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1、变电部分：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/>
          <w:szCs w:val="21"/>
        </w:rPr>
        <w:t>（一）甲供物资：</w:t>
      </w:r>
      <w:r>
        <w:rPr>
          <w:rFonts w:hint="eastAsia" w:ascii="宋体" w:hAnsi="宋体" w:cs="宋体"/>
          <w:bCs/>
          <w:szCs w:val="21"/>
        </w:rPr>
        <w:t>通信设备及板卡、尾纤。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/>
          <w:szCs w:val="21"/>
        </w:rPr>
        <w:t>（二）</w:t>
      </w:r>
      <w:r>
        <w:rPr>
          <w:rFonts w:hint="eastAsia" w:ascii="宋体" w:hAnsi="宋体" w:cs="宋体"/>
          <w:bCs/>
          <w:szCs w:val="21"/>
        </w:rPr>
        <w:t>其他甲供物资：</w:t>
      </w:r>
      <w:r>
        <w:rPr>
          <w:rFonts w:hint="eastAsia" w:ascii="宋体" w:hAnsi="宋体" w:cs="宋体"/>
          <w:bCs/>
          <w:szCs w:val="21"/>
          <w:u w:val="single"/>
        </w:rPr>
        <w:t xml:space="preserve">  /    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/>
          <w:szCs w:val="21"/>
        </w:rPr>
        <w:t>2、架空线路部分：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/>
          <w:szCs w:val="21"/>
        </w:rPr>
        <w:t>（一）</w:t>
      </w:r>
      <w:r>
        <w:rPr>
          <w:rFonts w:hint="eastAsia" w:ascii="宋体" w:hAnsi="宋体" w:cs="宋体"/>
          <w:bCs/>
          <w:szCs w:val="21"/>
        </w:rPr>
        <w:t>甲供物资：无。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Cs/>
          <w:szCs w:val="21"/>
          <w:u w:val="single"/>
        </w:rPr>
      </w:pPr>
      <w:r>
        <w:rPr>
          <w:rFonts w:hint="eastAsia" w:ascii="宋体" w:hAnsi="宋体" w:cs="宋体"/>
          <w:b/>
          <w:szCs w:val="21"/>
        </w:rPr>
        <w:t>（二）</w:t>
      </w:r>
      <w:r>
        <w:rPr>
          <w:rFonts w:hint="eastAsia" w:ascii="宋体" w:hAnsi="宋体" w:cs="宋体"/>
          <w:bCs/>
          <w:szCs w:val="21"/>
        </w:rPr>
        <w:t>其他甲供物资：</w:t>
      </w:r>
      <w:r>
        <w:rPr>
          <w:rFonts w:hint="eastAsia" w:ascii="宋体" w:hAnsi="宋体" w:cs="宋体"/>
          <w:bCs/>
          <w:szCs w:val="21"/>
          <w:u w:val="single"/>
        </w:rPr>
        <w:t xml:space="preserve">  □光缆金具、□绝缘子、□金具、□光缆标识牌。</w:t>
      </w:r>
    </w:p>
    <w:p>
      <w:pPr>
        <w:pStyle w:val="11"/>
        <w:spacing w:line="360" w:lineRule="auto"/>
        <w:ind w:firstLine="560" w:firstLineChars="200"/>
        <w:rPr>
          <w:rFonts w:hAnsi="宋体" w:cs="宋体"/>
          <w:sz w:val="28"/>
          <w:szCs w:val="28"/>
        </w:rPr>
      </w:pPr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c5OGVhZDQ3NThlNjFmNTE1NzY1OTA5M2IxMjU0NjEifQ=="/>
  </w:docVars>
  <w:rsids>
    <w:rsidRoot w:val="24F737D8"/>
    <w:rsid w:val="000C1FF9"/>
    <w:rsid w:val="00101D86"/>
    <w:rsid w:val="002D5277"/>
    <w:rsid w:val="002E6299"/>
    <w:rsid w:val="003134C9"/>
    <w:rsid w:val="00342591"/>
    <w:rsid w:val="003931C2"/>
    <w:rsid w:val="00473031"/>
    <w:rsid w:val="00503881"/>
    <w:rsid w:val="0058203E"/>
    <w:rsid w:val="005F511E"/>
    <w:rsid w:val="006459EA"/>
    <w:rsid w:val="00675492"/>
    <w:rsid w:val="00685DBD"/>
    <w:rsid w:val="006C5A04"/>
    <w:rsid w:val="00720BCE"/>
    <w:rsid w:val="00792C3A"/>
    <w:rsid w:val="00797B5B"/>
    <w:rsid w:val="0089189B"/>
    <w:rsid w:val="008F1B03"/>
    <w:rsid w:val="009049BB"/>
    <w:rsid w:val="00935D43"/>
    <w:rsid w:val="00953B35"/>
    <w:rsid w:val="00A51802"/>
    <w:rsid w:val="00B05184"/>
    <w:rsid w:val="00BC05C1"/>
    <w:rsid w:val="00C073B0"/>
    <w:rsid w:val="00C6149D"/>
    <w:rsid w:val="00C936DB"/>
    <w:rsid w:val="00CA2057"/>
    <w:rsid w:val="00CA4B24"/>
    <w:rsid w:val="00CE20FA"/>
    <w:rsid w:val="00D81498"/>
    <w:rsid w:val="00E432E7"/>
    <w:rsid w:val="00EE4FC5"/>
    <w:rsid w:val="00F73FBD"/>
    <w:rsid w:val="00F85510"/>
    <w:rsid w:val="00F91B7A"/>
    <w:rsid w:val="00FA0DF8"/>
    <w:rsid w:val="01000F1F"/>
    <w:rsid w:val="014D50AE"/>
    <w:rsid w:val="0168325F"/>
    <w:rsid w:val="01777BF4"/>
    <w:rsid w:val="01B84353"/>
    <w:rsid w:val="020277D8"/>
    <w:rsid w:val="0270337E"/>
    <w:rsid w:val="0374238F"/>
    <w:rsid w:val="03DF4F74"/>
    <w:rsid w:val="040E5F2F"/>
    <w:rsid w:val="04394E9F"/>
    <w:rsid w:val="044004C3"/>
    <w:rsid w:val="0465127D"/>
    <w:rsid w:val="04671406"/>
    <w:rsid w:val="049251C3"/>
    <w:rsid w:val="04D31337"/>
    <w:rsid w:val="04D31677"/>
    <w:rsid w:val="04EC6AEE"/>
    <w:rsid w:val="050E07AE"/>
    <w:rsid w:val="057A9FA4"/>
    <w:rsid w:val="05B87515"/>
    <w:rsid w:val="060A70A7"/>
    <w:rsid w:val="06622973"/>
    <w:rsid w:val="06733EDF"/>
    <w:rsid w:val="068D71D9"/>
    <w:rsid w:val="069F3BC7"/>
    <w:rsid w:val="069F5975"/>
    <w:rsid w:val="06DC0977"/>
    <w:rsid w:val="06EB0BBA"/>
    <w:rsid w:val="0737795B"/>
    <w:rsid w:val="07751D79"/>
    <w:rsid w:val="079B25E0"/>
    <w:rsid w:val="07D4164E"/>
    <w:rsid w:val="07FF098C"/>
    <w:rsid w:val="081B648D"/>
    <w:rsid w:val="086E0E71"/>
    <w:rsid w:val="08C22B21"/>
    <w:rsid w:val="09472EDA"/>
    <w:rsid w:val="09ED69F7"/>
    <w:rsid w:val="09F62510"/>
    <w:rsid w:val="0AC05EBA"/>
    <w:rsid w:val="0AD551F3"/>
    <w:rsid w:val="0B517251"/>
    <w:rsid w:val="0B717FA6"/>
    <w:rsid w:val="0B863E3A"/>
    <w:rsid w:val="0BBA701A"/>
    <w:rsid w:val="0BC07002"/>
    <w:rsid w:val="0C225305"/>
    <w:rsid w:val="0C6B30AA"/>
    <w:rsid w:val="0C851169"/>
    <w:rsid w:val="0CA84E57"/>
    <w:rsid w:val="0CC021A1"/>
    <w:rsid w:val="0D0758F3"/>
    <w:rsid w:val="0D3037CB"/>
    <w:rsid w:val="0D393C4C"/>
    <w:rsid w:val="0D882D55"/>
    <w:rsid w:val="0D953957"/>
    <w:rsid w:val="0DE85E53"/>
    <w:rsid w:val="0E0662D9"/>
    <w:rsid w:val="0E2F2E8A"/>
    <w:rsid w:val="0E467934"/>
    <w:rsid w:val="0E5721EA"/>
    <w:rsid w:val="0E581497"/>
    <w:rsid w:val="0E7F20D3"/>
    <w:rsid w:val="10A919C2"/>
    <w:rsid w:val="10FB3C68"/>
    <w:rsid w:val="11444D6C"/>
    <w:rsid w:val="116419AD"/>
    <w:rsid w:val="11BD17A8"/>
    <w:rsid w:val="11CA1FF3"/>
    <w:rsid w:val="11DF6CFE"/>
    <w:rsid w:val="11F254F3"/>
    <w:rsid w:val="11FC1228"/>
    <w:rsid w:val="1221206F"/>
    <w:rsid w:val="12525F91"/>
    <w:rsid w:val="12617BA5"/>
    <w:rsid w:val="12C02EFB"/>
    <w:rsid w:val="12C7072D"/>
    <w:rsid w:val="12CD73C6"/>
    <w:rsid w:val="1314388A"/>
    <w:rsid w:val="13897791"/>
    <w:rsid w:val="1393060F"/>
    <w:rsid w:val="13C71878"/>
    <w:rsid w:val="14113D1A"/>
    <w:rsid w:val="142C4DA5"/>
    <w:rsid w:val="14440D4B"/>
    <w:rsid w:val="149050A6"/>
    <w:rsid w:val="14DC29CA"/>
    <w:rsid w:val="15056A61"/>
    <w:rsid w:val="156009C5"/>
    <w:rsid w:val="15EE2199"/>
    <w:rsid w:val="15F1120D"/>
    <w:rsid w:val="16377978"/>
    <w:rsid w:val="1695469E"/>
    <w:rsid w:val="16AD7ED1"/>
    <w:rsid w:val="16BE50DE"/>
    <w:rsid w:val="17103D25"/>
    <w:rsid w:val="17160B40"/>
    <w:rsid w:val="17241016"/>
    <w:rsid w:val="17311749"/>
    <w:rsid w:val="181D494B"/>
    <w:rsid w:val="18B14F30"/>
    <w:rsid w:val="18B2778A"/>
    <w:rsid w:val="18E57496"/>
    <w:rsid w:val="190C67D7"/>
    <w:rsid w:val="190F698A"/>
    <w:rsid w:val="19120228"/>
    <w:rsid w:val="193066EB"/>
    <w:rsid w:val="196B23E3"/>
    <w:rsid w:val="196C7AC1"/>
    <w:rsid w:val="19810F0A"/>
    <w:rsid w:val="1A18186E"/>
    <w:rsid w:val="1A2F2F81"/>
    <w:rsid w:val="1A46462D"/>
    <w:rsid w:val="1A7068E3"/>
    <w:rsid w:val="1A7C004F"/>
    <w:rsid w:val="1ABA46D4"/>
    <w:rsid w:val="1B1435D1"/>
    <w:rsid w:val="1B155FFD"/>
    <w:rsid w:val="1B3426D8"/>
    <w:rsid w:val="1B663F82"/>
    <w:rsid w:val="1B81489C"/>
    <w:rsid w:val="1BA9108A"/>
    <w:rsid w:val="1BC08B50"/>
    <w:rsid w:val="1BED2D0E"/>
    <w:rsid w:val="1C2D7127"/>
    <w:rsid w:val="1C660CB1"/>
    <w:rsid w:val="1C6E34FA"/>
    <w:rsid w:val="1C863CA6"/>
    <w:rsid w:val="1D592E11"/>
    <w:rsid w:val="1DA44476"/>
    <w:rsid w:val="1DA97D6B"/>
    <w:rsid w:val="1DE21710"/>
    <w:rsid w:val="1DF4614E"/>
    <w:rsid w:val="1EA379B5"/>
    <w:rsid w:val="1EAC6AFA"/>
    <w:rsid w:val="1EF503D0"/>
    <w:rsid w:val="1F2E38E2"/>
    <w:rsid w:val="1FCE28FD"/>
    <w:rsid w:val="20126D60"/>
    <w:rsid w:val="201C373B"/>
    <w:rsid w:val="205729C5"/>
    <w:rsid w:val="20705AC5"/>
    <w:rsid w:val="20E776A4"/>
    <w:rsid w:val="21025026"/>
    <w:rsid w:val="215E3CEA"/>
    <w:rsid w:val="215E42F1"/>
    <w:rsid w:val="216F4D5B"/>
    <w:rsid w:val="21821CC3"/>
    <w:rsid w:val="218C0E89"/>
    <w:rsid w:val="21CE6705"/>
    <w:rsid w:val="21DF3815"/>
    <w:rsid w:val="22622F08"/>
    <w:rsid w:val="229A609C"/>
    <w:rsid w:val="22A1482E"/>
    <w:rsid w:val="22AD2D70"/>
    <w:rsid w:val="22B30023"/>
    <w:rsid w:val="22BD2637"/>
    <w:rsid w:val="22D01CE9"/>
    <w:rsid w:val="22E03145"/>
    <w:rsid w:val="233E5D5A"/>
    <w:rsid w:val="23547806"/>
    <w:rsid w:val="235F050E"/>
    <w:rsid w:val="23806AA3"/>
    <w:rsid w:val="239F090A"/>
    <w:rsid w:val="24155071"/>
    <w:rsid w:val="244B45EE"/>
    <w:rsid w:val="247D4CEA"/>
    <w:rsid w:val="24C04FDC"/>
    <w:rsid w:val="24D46CDA"/>
    <w:rsid w:val="24E46BF4"/>
    <w:rsid w:val="24F737D8"/>
    <w:rsid w:val="250E3A49"/>
    <w:rsid w:val="255A0366"/>
    <w:rsid w:val="255D64A1"/>
    <w:rsid w:val="26666B52"/>
    <w:rsid w:val="2705317A"/>
    <w:rsid w:val="27076EF2"/>
    <w:rsid w:val="274170EE"/>
    <w:rsid w:val="27840543"/>
    <w:rsid w:val="2785030E"/>
    <w:rsid w:val="278F57AD"/>
    <w:rsid w:val="27AF30E6"/>
    <w:rsid w:val="27C22E19"/>
    <w:rsid w:val="27E47C4B"/>
    <w:rsid w:val="27EE1E60"/>
    <w:rsid w:val="27FF5E1C"/>
    <w:rsid w:val="282A31F1"/>
    <w:rsid w:val="286E2ACF"/>
    <w:rsid w:val="288307FB"/>
    <w:rsid w:val="28F46A2A"/>
    <w:rsid w:val="296555D1"/>
    <w:rsid w:val="299627B0"/>
    <w:rsid w:val="299D769A"/>
    <w:rsid w:val="29A55C56"/>
    <w:rsid w:val="29BE6485"/>
    <w:rsid w:val="29FC239E"/>
    <w:rsid w:val="2A063491"/>
    <w:rsid w:val="2A703BBF"/>
    <w:rsid w:val="2A822D95"/>
    <w:rsid w:val="2AA131BA"/>
    <w:rsid w:val="2ACB46DB"/>
    <w:rsid w:val="2BED7EC0"/>
    <w:rsid w:val="2BFF0E0F"/>
    <w:rsid w:val="2C2A71DF"/>
    <w:rsid w:val="2C31056E"/>
    <w:rsid w:val="2CD731C2"/>
    <w:rsid w:val="2D19172E"/>
    <w:rsid w:val="2D8D50EF"/>
    <w:rsid w:val="2D8E3667"/>
    <w:rsid w:val="2E816236"/>
    <w:rsid w:val="2E9A5E18"/>
    <w:rsid w:val="2F362DFB"/>
    <w:rsid w:val="2F893A97"/>
    <w:rsid w:val="2FEDF37E"/>
    <w:rsid w:val="2FF65FF8"/>
    <w:rsid w:val="2FFE4C0B"/>
    <w:rsid w:val="300264A9"/>
    <w:rsid w:val="30035F08"/>
    <w:rsid w:val="300D195C"/>
    <w:rsid w:val="303845C1"/>
    <w:rsid w:val="3044134F"/>
    <w:rsid w:val="30596D09"/>
    <w:rsid w:val="30BF37B5"/>
    <w:rsid w:val="312C2AE5"/>
    <w:rsid w:val="3178798B"/>
    <w:rsid w:val="31A0241D"/>
    <w:rsid w:val="3200110E"/>
    <w:rsid w:val="3244265D"/>
    <w:rsid w:val="32807B59"/>
    <w:rsid w:val="32F2736E"/>
    <w:rsid w:val="32F56F75"/>
    <w:rsid w:val="33234BF4"/>
    <w:rsid w:val="33483B2E"/>
    <w:rsid w:val="339E298D"/>
    <w:rsid w:val="33A561EE"/>
    <w:rsid w:val="34433534"/>
    <w:rsid w:val="347F27BE"/>
    <w:rsid w:val="351E65F2"/>
    <w:rsid w:val="354345AE"/>
    <w:rsid w:val="35B73053"/>
    <w:rsid w:val="35BC1034"/>
    <w:rsid w:val="35E44DA6"/>
    <w:rsid w:val="361736AD"/>
    <w:rsid w:val="365E28A7"/>
    <w:rsid w:val="36676B65"/>
    <w:rsid w:val="36905D28"/>
    <w:rsid w:val="36A52284"/>
    <w:rsid w:val="36A54835"/>
    <w:rsid w:val="36C546D4"/>
    <w:rsid w:val="36D200CF"/>
    <w:rsid w:val="36D668E1"/>
    <w:rsid w:val="372D1296"/>
    <w:rsid w:val="373D2FB0"/>
    <w:rsid w:val="37991DE9"/>
    <w:rsid w:val="37C52C3A"/>
    <w:rsid w:val="382A0C93"/>
    <w:rsid w:val="38382DC3"/>
    <w:rsid w:val="38415FDC"/>
    <w:rsid w:val="385C41A8"/>
    <w:rsid w:val="38F32560"/>
    <w:rsid w:val="391536F1"/>
    <w:rsid w:val="39290F4A"/>
    <w:rsid w:val="392C324A"/>
    <w:rsid w:val="39446F46"/>
    <w:rsid w:val="39BA7DF4"/>
    <w:rsid w:val="39F41558"/>
    <w:rsid w:val="3A0B0650"/>
    <w:rsid w:val="3A1275CC"/>
    <w:rsid w:val="3A6D4BE2"/>
    <w:rsid w:val="3B135A0E"/>
    <w:rsid w:val="3B2A0F67"/>
    <w:rsid w:val="3B651FE2"/>
    <w:rsid w:val="3B9D79CE"/>
    <w:rsid w:val="3BB261E1"/>
    <w:rsid w:val="3BCA27B8"/>
    <w:rsid w:val="3BEE56FC"/>
    <w:rsid w:val="3BFC2946"/>
    <w:rsid w:val="3C114F9E"/>
    <w:rsid w:val="3C131A3E"/>
    <w:rsid w:val="3C1E17EA"/>
    <w:rsid w:val="3C4A35F1"/>
    <w:rsid w:val="3CA8487C"/>
    <w:rsid w:val="3CC04D71"/>
    <w:rsid w:val="3CD45671"/>
    <w:rsid w:val="3CFD619E"/>
    <w:rsid w:val="3D876102"/>
    <w:rsid w:val="3DCB6970"/>
    <w:rsid w:val="3DDD67A7"/>
    <w:rsid w:val="3E0E070F"/>
    <w:rsid w:val="3E2E4312"/>
    <w:rsid w:val="3E6B5B61"/>
    <w:rsid w:val="3E9D7E49"/>
    <w:rsid w:val="3EBA7779"/>
    <w:rsid w:val="3ED969A9"/>
    <w:rsid w:val="3F1C33C6"/>
    <w:rsid w:val="3F5F7F07"/>
    <w:rsid w:val="3F8E51D3"/>
    <w:rsid w:val="3F9B7EF1"/>
    <w:rsid w:val="3FD24B4E"/>
    <w:rsid w:val="3FF7DDB4"/>
    <w:rsid w:val="4056719A"/>
    <w:rsid w:val="40A67324"/>
    <w:rsid w:val="40DE086C"/>
    <w:rsid w:val="415A7E63"/>
    <w:rsid w:val="416F5968"/>
    <w:rsid w:val="41810E86"/>
    <w:rsid w:val="41977A6D"/>
    <w:rsid w:val="41DE3B7D"/>
    <w:rsid w:val="42052433"/>
    <w:rsid w:val="424F7862"/>
    <w:rsid w:val="42E701E3"/>
    <w:rsid w:val="43193F4E"/>
    <w:rsid w:val="43AC6922"/>
    <w:rsid w:val="43F108B7"/>
    <w:rsid w:val="440D5320"/>
    <w:rsid w:val="440F6F8F"/>
    <w:rsid w:val="44330ECF"/>
    <w:rsid w:val="44496945"/>
    <w:rsid w:val="445060E2"/>
    <w:rsid w:val="44A8314C"/>
    <w:rsid w:val="44BF6C07"/>
    <w:rsid w:val="44D414C9"/>
    <w:rsid w:val="44EB7B9D"/>
    <w:rsid w:val="44FC5765"/>
    <w:rsid w:val="451553B3"/>
    <w:rsid w:val="452B7BAA"/>
    <w:rsid w:val="4539571E"/>
    <w:rsid w:val="45763769"/>
    <w:rsid w:val="458A0FC3"/>
    <w:rsid w:val="45AE252B"/>
    <w:rsid w:val="45AE315F"/>
    <w:rsid w:val="45BA6458"/>
    <w:rsid w:val="45C37365"/>
    <w:rsid w:val="45D109A0"/>
    <w:rsid w:val="45DE4E6B"/>
    <w:rsid w:val="460D1423"/>
    <w:rsid w:val="46472D5E"/>
    <w:rsid w:val="46496788"/>
    <w:rsid w:val="468E0BD5"/>
    <w:rsid w:val="469B4709"/>
    <w:rsid w:val="46A636F7"/>
    <w:rsid w:val="46A85B41"/>
    <w:rsid w:val="47CB2C71"/>
    <w:rsid w:val="486378A9"/>
    <w:rsid w:val="48914416"/>
    <w:rsid w:val="48F86243"/>
    <w:rsid w:val="491312CF"/>
    <w:rsid w:val="492D57AE"/>
    <w:rsid w:val="49332FB5"/>
    <w:rsid w:val="49CF51F6"/>
    <w:rsid w:val="4A262DEC"/>
    <w:rsid w:val="4B2C6678"/>
    <w:rsid w:val="4B346CEE"/>
    <w:rsid w:val="4B3A1BDA"/>
    <w:rsid w:val="4B517E8D"/>
    <w:rsid w:val="4B6E0A3F"/>
    <w:rsid w:val="4C1966EB"/>
    <w:rsid w:val="4C5530E5"/>
    <w:rsid w:val="4C7D362F"/>
    <w:rsid w:val="4CB12D62"/>
    <w:rsid w:val="4CF40D16"/>
    <w:rsid w:val="4D1D5914"/>
    <w:rsid w:val="4D3637DE"/>
    <w:rsid w:val="4D392B7F"/>
    <w:rsid w:val="4D671BE9"/>
    <w:rsid w:val="4D704F42"/>
    <w:rsid w:val="4D7C38E7"/>
    <w:rsid w:val="4D8D78A2"/>
    <w:rsid w:val="4DC112FA"/>
    <w:rsid w:val="4DC759F3"/>
    <w:rsid w:val="4DD3333C"/>
    <w:rsid w:val="4DFC67D6"/>
    <w:rsid w:val="4E040B17"/>
    <w:rsid w:val="4E2E7A0A"/>
    <w:rsid w:val="4EA529C9"/>
    <w:rsid w:val="4EA560D6"/>
    <w:rsid w:val="4F5F526E"/>
    <w:rsid w:val="4FC6709B"/>
    <w:rsid w:val="50E25A58"/>
    <w:rsid w:val="511A58F1"/>
    <w:rsid w:val="51387B25"/>
    <w:rsid w:val="516C5A20"/>
    <w:rsid w:val="516F13BA"/>
    <w:rsid w:val="51B55B6A"/>
    <w:rsid w:val="525522E2"/>
    <w:rsid w:val="528404F0"/>
    <w:rsid w:val="52C553E8"/>
    <w:rsid w:val="534063E0"/>
    <w:rsid w:val="53463775"/>
    <w:rsid w:val="53523D60"/>
    <w:rsid w:val="53AA5AAD"/>
    <w:rsid w:val="54055868"/>
    <w:rsid w:val="54501629"/>
    <w:rsid w:val="547776C9"/>
    <w:rsid w:val="54C067AF"/>
    <w:rsid w:val="55734D49"/>
    <w:rsid w:val="55C3156A"/>
    <w:rsid w:val="56611E44"/>
    <w:rsid w:val="566641F7"/>
    <w:rsid w:val="57293AEF"/>
    <w:rsid w:val="573A7816"/>
    <w:rsid w:val="574014E1"/>
    <w:rsid w:val="57593089"/>
    <w:rsid w:val="581D1822"/>
    <w:rsid w:val="588A01CF"/>
    <w:rsid w:val="589C6BEB"/>
    <w:rsid w:val="58CC626D"/>
    <w:rsid w:val="58CF5213"/>
    <w:rsid w:val="58E1414F"/>
    <w:rsid w:val="5966544B"/>
    <w:rsid w:val="599017B7"/>
    <w:rsid w:val="59D10B16"/>
    <w:rsid w:val="5A2A46CB"/>
    <w:rsid w:val="5A9261C2"/>
    <w:rsid w:val="5AA7634B"/>
    <w:rsid w:val="5AE96334"/>
    <w:rsid w:val="5B37709F"/>
    <w:rsid w:val="5B417F1E"/>
    <w:rsid w:val="5B5437AD"/>
    <w:rsid w:val="5BA069F2"/>
    <w:rsid w:val="5BBD2610"/>
    <w:rsid w:val="5C4DF2AC"/>
    <w:rsid w:val="5C645C72"/>
    <w:rsid w:val="5C734107"/>
    <w:rsid w:val="5CDF354A"/>
    <w:rsid w:val="5DE84119"/>
    <w:rsid w:val="5E4F471A"/>
    <w:rsid w:val="5E5B12F6"/>
    <w:rsid w:val="5EB72BF2"/>
    <w:rsid w:val="5ED6097D"/>
    <w:rsid w:val="5F182E69"/>
    <w:rsid w:val="5F535F9F"/>
    <w:rsid w:val="5F8E0C51"/>
    <w:rsid w:val="5FE724D4"/>
    <w:rsid w:val="5FEF7F48"/>
    <w:rsid w:val="5FF7DB4C"/>
    <w:rsid w:val="6008663C"/>
    <w:rsid w:val="60395037"/>
    <w:rsid w:val="603D6F06"/>
    <w:rsid w:val="60546075"/>
    <w:rsid w:val="607A54CE"/>
    <w:rsid w:val="608606DE"/>
    <w:rsid w:val="61085E1A"/>
    <w:rsid w:val="611A0FF5"/>
    <w:rsid w:val="618E553F"/>
    <w:rsid w:val="61ED1586"/>
    <w:rsid w:val="628D3A49"/>
    <w:rsid w:val="632024C8"/>
    <w:rsid w:val="63534C92"/>
    <w:rsid w:val="639D46DC"/>
    <w:rsid w:val="6424058D"/>
    <w:rsid w:val="64A357A5"/>
    <w:rsid w:val="65072E52"/>
    <w:rsid w:val="65167D25"/>
    <w:rsid w:val="6554084E"/>
    <w:rsid w:val="663511C3"/>
    <w:rsid w:val="663B2A3B"/>
    <w:rsid w:val="66B477F6"/>
    <w:rsid w:val="66C35559"/>
    <w:rsid w:val="66D91A76"/>
    <w:rsid w:val="67293586"/>
    <w:rsid w:val="67977F0F"/>
    <w:rsid w:val="67BD2A49"/>
    <w:rsid w:val="67EC080C"/>
    <w:rsid w:val="684B5F38"/>
    <w:rsid w:val="687234C5"/>
    <w:rsid w:val="68B327D3"/>
    <w:rsid w:val="68B337CC"/>
    <w:rsid w:val="68FB2EC1"/>
    <w:rsid w:val="69311D38"/>
    <w:rsid w:val="69563FAD"/>
    <w:rsid w:val="6A287B5E"/>
    <w:rsid w:val="6A42336B"/>
    <w:rsid w:val="6A485E7E"/>
    <w:rsid w:val="6A6B37FA"/>
    <w:rsid w:val="6AC66130"/>
    <w:rsid w:val="6ADF805E"/>
    <w:rsid w:val="6B303A1A"/>
    <w:rsid w:val="6B5546B7"/>
    <w:rsid w:val="6B957A9E"/>
    <w:rsid w:val="6BD821D8"/>
    <w:rsid w:val="6BEC3856"/>
    <w:rsid w:val="6C141EE0"/>
    <w:rsid w:val="6CD854A1"/>
    <w:rsid w:val="6CE64481"/>
    <w:rsid w:val="6D702A8A"/>
    <w:rsid w:val="6D897695"/>
    <w:rsid w:val="6DAA2FDF"/>
    <w:rsid w:val="6DBC51E2"/>
    <w:rsid w:val="6DEA72D7"/>
    <w:rsid w:val="6E121228"/>
    <w:rsid w:val="6E3A4724"/>
    <w:rsid w:val="6E3B25AB"/>
    <w:rsid w:val="6E535B46"/>
    <w:rsid w:val="6E82642B"/>
    <w:rsid w:val="6EA0700B"/>
    <w:rsid w:val="6ECE1671"/>
    <w:rsid w:val="6F675D4D"/>
    <w:rsid w:val="6F8B7EA3"/>
    <w:rsid w:val="6FF9096F"/>
    <w:rsid w:val="70873960"/>
    <w:rsid w:val="70B81233"/>
    <w:rsid w:val="70B86135"/>
    <w:rsid w:val="70D1495F"/>
    <w:rsid w:val="71141962"/>
    <w:rsid w:val="7129638F"/>
    <w:rsid w:val="716562BC"/>
    <w:rsid w:val="724F4877"/>
    <w:rsid w:val="72A921D9"/>
    <w:rsid w:val="72B15531"/>
    <w:rsid w:val="731D6723"/>
    <w:rsid w:val="73641402"/>
    <w:rsid w:val="737D0337"/>
    <w:rsid w:val="737E5413"/>
    <w:rsid w:val="7389243F"/>
    <w:rsid w:val="73B928EF"/>
    <w:rsid w:val="73DF7EA7"/>
    <w:rsid w:val="740D6797"/>
    <w:rsid w:val="744E128A"/>
    <w:rsid w:val="74894A36"/>
    <w:rsid w:val="749F682B"/>
    <w:rsid w:val="74A470FC"/>
    <w:rsid w:val="74CFDBDA"/>
    <w:rsid w:val="74E73186"/>
    <w:rsid w:val="74F238E6"/>
    <w:rsid w:val="757B0F4D"/>
    <w:rsid w:val="757C314C"/>
    <w:rsid w:val="75D43A11"/>
    <w:rsid w:val="75FD0C5B"/>
    <w:rsid w:val="76015DEA"/>
    <w:rsid w:val="762D3121"/>
    <w:rsid w:val="763B2CF0"/>
    <w:rsid w:val="764E470D"/>
    <w:rsid w:val="76850D49"/>
    <w:rsid w:val="76854D0B"/>
    <w:rsid w:val="76E71E2B"/>
    <w:rsid w:val="76EB7161"/>
    <w:rsid w:val="77731007"/>
    <w:rsid w:val="778E7BEF"/>
    <w:rsid w:val="77BE0D98"/>
    <w:rsid w:val="77E67240"/>
    <w:rsid w:val="783267CC"/>
    <w:rsid w:val="7842124A"/>
    <w:rsid w:val="7844395F"/>
    <w:rsid w:val="78FF6FF6"/>
    <w:rsid w:val="790C1AD6"/>
    <w:rsid w:val="792B7DEB"/>
    <w:rsid w:val="79435213"/>
    <w:rsid w:val="79527737"/>
    <w:rsid w:val="798F45C0"/>
    <w:rsid w:val="79D51B6D"/>
    <w:rsid w:val="7A4D63EF"/>
    <w:rsid w:val="7A793ECD"/>
    <w:rsid w:val="7B2B3FE2"/>
    <w:rsid w:val="7B3B73B5"/>
    <w:rsid w:val="7B61697D"/>
    <w:rsid w:val="7B933A26"/>
    <w:rsid w:val="7BDFDAF1"/>
    <w:rsid w:val="7C233754"/>
    <w:rsid w:val="7C466CEA"/>
    <w:rsid w:val="7C5A2796"/>
    <w:rsid w:val="7C75AAE7"/>
    <w:rsid w:val="7C766170"/>
    <w:rsid w:val="7C8E41ED"/>
    <w:rsid w:val="7C920181"/>
    <w:rsid w:val="7CB24380"/>
    <w:rsid w:val="7CBE0F77"/>
    <w:rsid w:val="7CC45B07"/>
    <w:rsid w:val="7CC84BE5"/>
    <w:rsid w:val="7CCE61A7"/>
    <w:rsid w:val="7CDF7723"/>
    <w:rsid w:val="7D26550D"/>
    <w:rsid w:val="7D2D6A7C"/>
    <w:rsid w:val="7D3A3102"/>
    <w:rsid w:val="7DBD4B7A"/>
    <w:rsid w:val="7E2748F9"/>
    <w:rsid w:val="7E3420E0"/>
    <w:rsid w:val="7E405052"/>
    <w:rsid w:val="7ED42A4E"/>
    <w:rsid w:val="7F0C557C"/>
    <w:rsid w:val="7F1A0C44"/>
    <w:rsid w:val="7F5434CC"/>
    <w:rsid w:val="7F6F47AA"/>
    <w:rsid w:val="7F76D28D"/>
    <w:rsid w:val="7FCE327F"/>
    <w:rsid w:val="7FD14B1D"/>
    <w:rsid w:val="7FE46906"/>
    <w:rsid w:val="7FF07699"/>
    <w:rsid w:val="7FFB6EB5"/>
    <w:rsid w:val="B7F7156D"/>
    <w:rsid w:val="D3AAB56B"/>
    <w:rsid w:val="DFE6535A"/>
    <w:rsid w:val="E77BA351"/>
    <w:rsid w:val="EFB3D8C8"/>
    <w:rsid w:val="F2678B11"/>
    <w:rsid w:val="F271800C"/>
    <w:rsid w:val="F7FF902F"/>
    <w:rsid w:val="FFBCC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unhideWhenUsed/>
    <w:qFormat/>
    <w:uiPriority w:val="99"/>
    <w:pPr>
      <w:autoSpaceDE w:val="0"/>
      <w:autoSpaceDN w:val="0"/>
      <w:adjustRightInd w:val="0"/>
      <w:outlineLvl w:val="0"/>
    </w:pPr>
    <w:rPr>
      <w:rFonts w:ascii="Arial" w:hAnsi="Arial"/>
      <w:b/>
      <w:color w:val="000000"/>
      <w:sz w:val="32"/>
    </w:rPr>
  </w:style>
  <w:style w:type="paragraph" w:styleId="4">
    <w:name w:val="heading 2"/>
    <w:basedOn w:val="1"/>
    <w:next w:val="1"/>
    <w:unhideWhenUsed/>
    <w:qFormat/>
    <w:uiPriority w:val="99"/>
    <w:pPr>
      <w:autoSpaceDE w:val="0"/>
      <w:autoSpaceDN w:val="0"/>
      <w:adjustRightInd w:val="0"/>
      <w:outlineLvl w:val="1"/>
    </w:pPr>
    <w:rPr>
      <w:rFonts w:ascii="Arial" w:hAnsi="Arial"/>
      <w:b/>
      <w:i/>
      <w:color w:val="000000"/>
      <w:sz w:val="28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Normal Indent"/>
    <w:basedOn w:val="1"/>
    <w:qFormat/>
    <w:uiPriority w:val="0"/>
    <w:pPr>
      <w:ind w:firstLine="420"/>
    </w:pPr>
    <w:rPr>
      <w:rFonts w:ascii="Times New Roman" w:hAnsi="Times New Roman"/>
      <w:kern w:val="0"/>
      <w:sz w:val="20"/>
      <w:szCs w:val="20"/>
    </w:r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"/>
    <w:basedOn w:val="9"/>
    <w:next w:val="9"/>
    <w:unhideWhenUsed/>
    <w:qFormat/>
    <w:uiPriority w:val="99"/>
    <w:pPr>
      <w:spacing w:after="120"/>
    </w:pPr>
  </w:style>
  <w:style w:type="paragraph" w:styleId="9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10">
    <w:name w:val="Body Text Indent"/>
    <w:basedOn w:val="1"/>
    <w:qFormat/>
    <w:uiPriority w:val="0"/>
    <w:pPr>
      <w:spacing w:after="120"/>
      <w:ind w:left="420" w:leftChars="200"/>
    </w:pPr>
  </w:style>
  <w:style w:type="paragraph" w:styleId="11">
    <w:name w:val="Plain Text"/>
    <w:basedOn w:val="1"/>
    <w:qFormat/>
    <w:uiPriority w:val="0"/>
    <w:rPr>
      <w:rFonts w:ascii="宋体" w:hAnsi="Courier New"/>
      <w:kern w:val="0"/>
      <w:sz w:val="20"/>
      <w:szCs w:val="20"/>
    </w:rPr>
  </w:style>
  <w:style w:type="paragraph" w:styleId="12">
    <w:name w:val="head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14">
    <w:name w:val="Body Text First Indent"/>
    <w:basedOn w:val="8"/>
    <w:unhideWhenUsed/>
    <w:qFormat/>
    <w:uiPriority w:val="99"/>
    <w:pPr>
      <w:spacing w:line="360" w:lineRule="auto"/>
      <w:ind w:firstLine="200" w:firstLineChars="200"/>
      <w:jc w:val="both"/>
    </w:pPr>
    <w:rPr>
      <w:sz w:val="24"/>
    </w:rPr>
  </w:style>
  <w:style w:type="table" w:styleId="16">
    <w:name w:val="Table Grid"/>
    <w:basedOn w:val="1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9">
    <w:name w:val="_Style 5"/>
    <w:basedOn w:val="1"/>
    <w:qFormat/>
    <w:uiPriority w:val="0"/>
    <w:pPr>
      <w:ind w:firstLine="420" w:firstLineChars="200"/>
    </w:pPr>
  </w:style>
  <w:style w:type="paragraph" w:customStyle="1" w:styleId="20">
    <w:name w:val="报告正文"/>
    <w:basedOn w:val="1"/>
    <w:qFormat/>
    <w:uiPriority w:val="0"/>
    <w:pPr>
      <w:ind w:firstLine="200" w:firstLineChars="200"/>
      <w:textAlignment w:val="baseline"/>
    </w:pPr>
    <w:rPr>
      <w:color w:val="FF0000"/>
      <w:kern w:val="0"/>
    </w:rPr>
  </w:style>
  <w:style w:type="character" w:customStyle="1" w:styleId="21">
    <w:name w:val="页眉 字符"/>
    <w:basedOn w:val="17"/>
    <w:link w:val="12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2">
    <w:name w:val="页脚 字符"/>
    <w:basedOn w:val="17"/>
    <w:link w:val="2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3">
    <w:name w:val="font11"/>
    <w:basedOn w:val="1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4">
    <w:name w:val="font21"/>
    <w:basedOn w:val="17"/>
    <w:qFormat/>
    <w:uiPriority w:val="0"/>
    <w:rPr>
      <w:rFonts w:ascii="Courier New" w:hAnsi="Courier New" w:cs="Courier New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1660</Words>
  <Characters>1740</Characters>
  <Lines>13</Lines>
  <Paragraphs>3</Paragraphs>
  <TotalTime>3</TotalTime>
  <ScaleCrop>false</ScaleCrop>
  <LinksUpToDate>false</LinksUpToDate>
  <CharactersWithSpaces>1762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2025-07-08T08:30:00Z</dcterms:created>
  <dc:creator>maja</dc:creator>
  <cp:lastModifiedBy>杨莉</cp:lastModifiedBy>
  <cp:lastPrinted>2022-02-11T10:00:00Z</cp:lastPrinted>
  <dcterms:modified xsi:type="dcterms:W3CDTF">2025-11-21T03:48:30Z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54873928454F4236960522819B0D82A8_13</vt:lpwstr>
  </property>
  <property fmtid="{D5CDD505-2E9C-101B-9397-08002B2CF9AE}" pid="4" name="KSOTemplateDocerSaveRecord">
    <vt:lpwstr>eyJoZGlkIjoiY2MyMzYyMjE4OGEyYmU0NGU4OWM3NGNlZDgzMmNmZWUiLCJ1c2VySWQiOiI2Mjg1ODQ4NjMifQ==</vt:lpwstr>
  </property>
</Properties>
</file>