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643"/>
        <w:jc w:val="center"/>
        <w:rPr>
          <w:rFonts w:hint="default" w:asciiTheme="minorEastAsia" w:hAnsiTheme="minorEastAsia" w:eastAsiaTheme="minorEastAsia" w:cstheme="minorEastAsia"/>
          <w:b/>
          <w:bCs/>
          <w:snapToGrid w:val="0"/>
          <w:sz w:val="32"/>
          <w:szCs w:val="32"/>
          <w:lang w:val="en-US" w:eastAsia="zh-CN"/>
        </w:rPr>
      </w:pPr>
      <w:bookmarkStart w:id="0" w:name="_Toc8445"/>
      <w:r>
        <w:rPr>
          <w:rFonts w:hint="eastAsia" w:asciiTheme="minorEastAsia" w:hAnsiTheme="minorEastAsia" w:cstheme="minorEastAsia"/>
          <w:b/>
          <w:bCs/>
          <w:snapToGrid w:val="0"/>
          <w:sz w:val="32"/>
          <w:szCs w:val="32"/>
          <w:lang w:val="en-US" w:eastAsia="zh-CN"/>
        </w:rPr>
        <w:t>标的6</w:t>
      </w:r>
    </w:p>
    <w:p>
      <w:pPr>
        <w:pStyle w:val="9"/>
        <w:ind w:left="0" w:leftChars="0" w:firstLine="239" w:firstLineChars="85"/>
        <w:jc w:val="center"/>
        <w:rPr>
          <w:rFonts w:hint="eastAsia" w:asciiTheme="minorEastAsia" w:hAnsiTheme="minorEastAsia" w:eastAsiaTheme="minorEastAsia" w:cstheme="minorEastAsia"/>
          <w:b/>
          <w:bCs/>
          <w:snapToGrid w:val="0"/>
          <w:sz w:val="28"/>
          <w:szCs w:val="28"/>
          <w:u w:val="single"/>
          <w:lang w:val="en-US" w:eastAsia="zh-CN"/>
        </w:rPr>
      </w:pPr>
      <w:r>
        <w:rPr>
          <w:rFonts w:hint="eastAsia" w:asciiTheme="minorEastAsia" w:hAnsiTheme="minorEastAsia" w:cstheme="minorEastAsia"/>
          <w:b/>
          <w:bCs/>
          <w:snapToGrid w:val="0"/>
          <w:sz w:val="28"/>
          <w:szCs w:val="28"/>
        </w:rPr>
        <w:t>标段名称</w:t>
      </w:r>
      <w:r>
        <w:rPr>
          <w:rFonts w:hint="eastAsia" w:asciiTheme="minorEastAsia" w:hAnsiTheme="minorEastAsia" w:cstheme="minorEastAsia"/>
          <w:b/>
          <w:bCs/>
          <w:snapToGrid w:val="0"/>
          <w:sz w:val="28"/>
          <w:szCs w:val="28"/>
          <w:u w:val="single"/>
        </w:rPr>
        <w:t>：广西220kV成均（铁联）送变电工程施工（含500kV美久甲线、500kV南玉Ⅰ、Ⅱ线改造）</w:t>
      </w:r>
    </w:p>
    <w:tbl>
      <w:tblPr>
        <w:tblStyle w:val="13"/>
        <w:tblW w:w="6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2142"/>
        <w:gridCol w:w="3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序号</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文件名称</w:t>
            </w:r>
          </w:p>
        </w:tc>
        <w:tc>
          <w:tcPr>
            <w:tcW w:w="3716" w:type="dxa"/>
          </w:tcPr>
          <w:p>
            <w:pPr>
              <w:pStyle w:val="9"/>
              <w:ind w:firstLine="0" w:firstLineChars="0"/>
              <w:jc w:val="center"/>
              <w:rPr>
                <w:rFonts w:hAnsi="宋体" w:cs="宋体"/>
                <w:b/>
                <w:bCs/>
                <w:snapToGrid w:val="0"/>
                <w:sz w:val="24"/>
                <w:szCs w:val="24"/>
                <w:u w:val="single"/>
              </w:rPr>
            </w:pPr>
            <w:r>
              <w:rPr>
                <w:rFonts w:hint="eastAsia" w:ascii="宋体" w:hAnsi="宋体" w:eastAsia="宋体" w:cs="宋体"/>
                <w:b/>
                <w:bCs/>
                <w:snapToGrid w:val="0"/>
                <w:sz w:val="21"/>
                <w:szCs w:val="21"/>
                <w:highlight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1</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可研批复文号</w:t>
            </w:r>
          </w:p>
        </w:tc>
        <w:tc>
          <w:tcPr>
            <w:tcW w:w="3716" w:type="dxa"/>
          </w:tcPr>
          <w:p>
            <w:pPr>
              <w:pStyle w:val="9"/>
              <w:ind w:firstLine="0" w:firstLineChars="0"/>
              <w:jc w:val="center"/>
              <w:rPr>
                <w:rFonts w:hAnsi="宋体" w:cs="宋体"/>
                <w:b/>
                <w:bCs/>
                <w:snapToGrid w:val="0"/>
                <w:sz w:val="24"/>
                <w:szCs w:val="24"/>
                <w:highlight w:val="none"/>
                <w:u w:val="single"/>
              </w:rPr>
            </w:pPr>
            <w:r>
              <w:rPr>
                <w:rFonts w:hint="eastAsia" w:hAnsi="宋体" w:cs="宋体"/>
                <w:sz w:val="24"/>
                <w:szCs w:val="24"/>
                <w:highlight w:val="none"/>
              </w:rPr>
              <w:t>桂电规划〔202</w:t>
            </w:r>
            <w:r>
              <w:rPr>
                <w:rFonts w:hint="eastAsia" w:hAnsi="宋体" w:cs="宋体"/>
                <w:sz w:val="24"/>
                <w:szCs w:val="24"/>
                <w:highlight w:val="none"/>
                <w:lang w:val="en-US" w:eastAsia="zh-CN"/>
              </w:rPr>
              <w:t>4</w:t>
            </w:r>
            <w:r>
              <w:rPr>
                <w:rFonts w:hint="eastAsia" w:hAnsi="宋体" w:cs="宋体"/>
                <w:sz w:val="24"/>
                <w:szCs w:val="24"/>
                <w:highlight w:val="none"/>
              </w:rPr>
              <w:t>〕</w:t>
            </w:r>
            <w:r>
              <w:rPr>
                <w:rFonts w:hint="eastAsia" w:hAnsi="宋体" w:cs="宋体"/>
                <w:sz w:val="24"/>
                <w:szCs w:val="24"/>
                <w:highlight w:val="none"/>
                <w:lang w:val="en-US" w:eastAsia="zh-CN"/>
              </w:rPr>
              <w:t>84</w:t>
            </w:r>
            <w:r>
              <w:rPr>
                <w:rFonts w:hint="eastAsia" w:hAnsi="宋体" w:cs="宋体"/>
                <w:sz w:val="24"/>
                <w:szCs w:val="24"/>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2</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项目备案文号</w:t>
            </w:r>
          </w:p>
        </w:tc>
        <w:tc>
          <w:tcPr>
            <w:tcW w:w="3716" w:type="dxa"/>
          </w:tcPr>
          <w:p>
            <w:pPr>
              <w:pStyle w:val="9"/>
              <w:ind w:firstLine="0" w:firstLineChars="0"/>
              <w:jc w:val="center"/>
              <w:rPr>
                <w:rFonts w:hAnsi="宋体" w:cs="宋体"/>
                <w:b/>
                <w:bCs/>
                <w:snapToGrid w:val="0"/>
                <w:sz w:val="24"/>
                <w:szCs w:val="24"/>
                <w:highlight w:val="none"/>
                <w:u w:val="single"/>
              </w:rPr>
            </w:pPr>
            <w:r>
              <w:rPr>
                <w:rFonts w:hint="eastAsia" w:hAnsi="宋体" w:cs="宋体"/>
                <w:sz w:val="24"/>
                <w:szCs w:val="24"/>
                <w:highlight w:val="none"/>
                <w:lang w:val="en-US" w:eastAsia="zh-CN"/>
              </w:rPr>
              <w:t>玉发改许可〔2024〕172号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3</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初设批复文号</w:t>
            </w:r>
          </w:p>
        </w:tc>
        <w:tc>
          <w:tcPr>
            <w:tcW w:w="3716" w:type="dxa"/>
          </w:tcPr>
          <w:p>
            <w:pPr>
              <w:pStyle w:val="9"/>
              <w:ind w:firstLine="0" w:firstLineChars="0"/>
              <w:jc w:val="center"/>
              <w:rPr>
                <w:rFonts w:hAnsi="宋体" w:cs="宋体"/>
                <w:b/>
                <w:bCs/>
                <w:snapToGrid w:val="0"/>
                <w:sz w:val="24"/>
                <w:szCs w:val="24"/>
                <w:highlight w:val="none"/>
                <w:u w:val="single"/>
              </w:rPr>
            </w:pPr>
            <w:r>
              <w:rPr>
                <w:rFonts w:hint="eastAsia" w:hAnsi="宋体" w:cs="宋体"/>
                <w:sz w:val="24"/>
                <w:szCs w:val="24"/>
                <w:highlight w:val="none"/>
              </w:rPr>
              <w:t>桂电基建〔2025〕121号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4</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资金落实情况</w:t>
            </w:r>
          </w:p>
        </w:tc>
        <w:tc>
          <w:tcPr>
            <w:tcW w:w="3716" w:type="dxa"/>
            <w:vAlign w:val="center"/>
          </w:tcPr>
          <w:p>
            <w:pPr>
              <w:pStyle w:val="9"/>
              <w:ind w:firstLine="0" w:firstLineChars="0"/>
              <w:jc w:val="center"/>
              <w:rPr>
                <w:rFonts w:hAnsi="宋体" w:cs="宋体"/>
                <w:sz w:val="24"/>
                <w:szCs w:val="24"/>
                <w:highlight w:val="yellow"/>
              </w:rPr>
            </w:pPr>
            <w:r>
              <w:rPr>
                <w:rFonts w:hint="eastAsia" w:hAnsi="宋体" w:cs="宋体"/>
                <w:sz w:val="24"/>
                <w:szCs w:val="24"/>
                <w:highlight w:val="none"/>
              </w:rPr>
              <w:t>桂电规划〔2025〕27号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5</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施工图预算批复文号</w:t>
            </w:r>
          </w:p>
        </w:tc>
        <w:tc>
          <w:tcPr>
            <w:tcW w:w="3716" w:type="dxa"/>
          </w:tcPr>
          <w:p>
            <w:pPr>
              <w:pStyle w:val="9"/>
              <w:ind w:firstLine="0" w:firstLineChars="0"/>
              <w:jc w:val="center"/>
              <w:rPr>
                <w:rFonts w:hint="eastAsia" w:hAnsi="宋体" w:cs="宋体" w:eastAsiaTheme="minorEastAsia"/>
                <w:sz w:val="24"/>
                <w:szCs w:val="24"/>
                <w:highlight w:val="none"/>
                <w:lang w:eastAsia="zh-CN"/>
              </w:rPr>
            </w:pPr>
            <w:r>
              <w:rPr>
                <w:rFonts w:hint="eastAsia" w:hAnsi="宋体" w:cs="宋体"/>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6</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项目建设单位</w:t>
            </w:r>
          </w:p>
        </w:tc>
        <w:tc>
          <w:tcPr>
            <w:tcW w:w="3716" w:type="dxa"/>
          </w:tcPr>
          <w:p>
            <w:pPr>
              <w:pStyle w:val="9"/>
              <w:ind w:firstLine="0" w:firstLineChars="0"/>
              <w:jc w:val="center"/>
              <w:rPr>
                <w:rFonts w:hAnsi="宋体" w:cs="宋体"/>
                <w:sz w:val="24"/>
                <w:szCs w:val="24"/>
                <w:highlight w:val="none"/>
              </w:rPr>
            </w:pPr>
            <w:r>
              <w:rPr>
                <w:rFonts w:hint="eastAsia" w:hAnsi="宋体" w:cs="宋体"/>
                <w:sz w:val="24"/>
                <w:szCs w:val="24"/>
                <w:highlight w:val="none"/>
                <w:lang w:bidi="ar"/>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7</w:t>
            </w:r>
          </w:p>
        </w:tc>
        <w:tc>
          <w:tcPr>
            <w:tcW w:w="2142" w:type="dxa"/>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项目建设地点</w:t>
            </w:r>
          </w:p>
        </w:tc>
        <w:tc>
          <w:tcPr>
            <w:tcW w:w="3716" w:type="dxa"/>
          </w:tcPr>
          <w:p>
            <w:pPr>
              <w:pStyle w:val="9"/>
              <w:ind w:firstLine="0" w:firstLineChars="0"/>
              <w:jc w:val="center"/>
              <w:rPr>
                <w:rFonts w:hAnsi="宋体" w:cs="宋体"/>
                <w:sz w:val="24"/>
                <w:szCs w:val="24"/>
                <w:highlight w:val="none"/>
              </w:rPr>
            </w:pPr>
            <w:r>
              <w:rPr>
                <w:rFonts w:hint="eastAsia" w:hAnsi="宋体" w:cs="宋体"/>
                <w:sz w:val="24"/>
                <w:szCs w:val="24"/>
                <w:highlight w:val="none"/>
              </w:rPr>
              <w:t>广西玉林市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8</w:t>
            </w:r>
          </w:p>
        </w:tc>
        <w:tc>
          <w:tcPr>
            <w:tcW w:w="2142" w:type="dxa"/>
            <w:vAlign w:val="center"/>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前期的设计或咨询服务单位名称</w:t>
            </w:r>
          </w:p>
        </w:tc>
        <w:tc>
          <w:tcPr>
            <w:tcW w:w="3716" w:type="dxa"/>
            <w:vAlign w:val="center"/>
          </w:tcPr>
          <w:p>
            <w:pPr>
              <w:pStyle w:val="9"/>
              <w:ind w:firstLine="0" w:firstLineChars="0"/>
              <w:jc w:val="center"/>
              <w:rPr>
                <w:rFonts w:hint="eastAsia" w:hAnsi="宋体" w:cs="宋体" w:eastAsiaTheme="minorEastAsia"/>
                <w:sz w:val="24"/>
                <w:szCs w:val="24"/>
                <w:highlight w:val="yellow"/>
                <w:lang w:eastAsia="zh-CN"/>
              </w:rPr>
            </w:pPr>
            <w:r>
              <w:rPr>
                <w:rFonts w:hint="eastAsia" w:ascii="宋体" w:hAnsi="宋体" w:cs="宋体"/>
                <w:sz w:val="24"/>
                <w:szCs w:val="24"/>
                <w:highlight w:val="none"/>
                <w:u w:val="none"/>
              </w:rPr>
              <w:t>广东天联电力设计有限公司</w:t>
            </w:r>
            <w:r>
              <w:rPr>
                <w:rFonts w:hint="eastAsia" w:hAnsi="宋体" w:cs="宋体"/>
                <w:sz w:val="24"/>
                <w:szCs w:val="24"/>
                <w:highlight w:val="none"/>
                <w:u w:val="none"/>
                <w:lang w:eastAsia="zh-CN"/>
              </w:rPr>
              <w:t>、</w:t>
            </w:r>
            <w:r>
              <w:rPr>
                <w:rFonts w:hint="eastAsia" w:hAnsi="宋体" w:cs="宋体"/>
                <w:sz w:val="24"/>
                <w:szCs w:val="24"/>
                <w:highlight w:val="none"/>
                <w:lang w:eastAsia="zh-CN"/>
              </w:rPr>
              <w:t>广州竣盛工程造价咨询有限公司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9</w:t>
            </w:r>
          </w:p>
        </w:tc>
        <w:tc>
          <w:tcPr>
            <w:tcW w:w="2142" w:type="dxa"/>
            <w:vAlign w:val="center"/>
          </w:tcPr>
          <w:p>
            <w:pPr>
              <w:pStyle w:val="9"/>
              <w:spacing w:line="240" w:lineRule="auto"/>
              <w:ind w:firstLine="0" w:firstLineChars="0"/>
              <w:jc w:val="center"/>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highlight w:val="none"/>
              </w:rPr>
              <w:t>项目监理单位</w:t>
            </w:r>
          </w:p>
        </w:tc>
        <w:tc>
          <w:tcPr>
            <w:tcW w:w="3716" w:type="dxa"/>
            <w:vAlign w:val="center"/>
          </w:tcPr>
          <w:p>
            <w:pPr>
              <w:pStyle w:val="9"/>
              <w:ind w:firstLine="0" w:firstLineChars="0"/>
              <w:jc w:val="center"/>
              <w:rPr>
                <w:rFonts w:hAnsi="宋体" w:cs="宋体"/>
                <w:sz w:val="24"/>
                <w:szCs w:val="24"/>
                <w:highlight w:val="none"/>
              </w:rPr>
            </w:pPr>
            <w:r>
              <w:rPr>
                <w:rFonts w:hint="eastAsia" w:ascii="宋体" w:hAnsi="宋体" w:cs="宋体"/>
                <w:sz w:val="24"/>
                <w:szCs w:val="24"/>
                <w:highlight w:val="none"/>
              </w:rPr>
              <w:t>广西正远电力工程建设监理有限责任公司</w:t>
            </w:r>
          </w:p>
        </w:tc>
      </w:tr>
    </w:tbl>
    <w:p>
      <w:pPr>
        <w:pStyle w:val="9"/>
        <w:ind w:firstLine="482"/>
        <w:rPr>
          <w:rFonts w:asciiTheme="minorEastAsia" w:hAnsiTheme="minorEastAsia" w:cstheme="minorEastAsia"/>
          <w:b/>
          <w:bCs/>
          <w:sz w:val="24"/>
          <w:szCs w:val="24"/>
        </w:rPr>
      </w:pPr>
    </w:p>
    <w:p>
      <w:pPr>
        <w:pStyle w:val="3"/>
        <w:rPr>
          <w:color w:val="auto"/>
        </w:rPr>
      </w:pPr>
      <w:r>
        <w:rPr>
          <w:rFonts w:hint="eastAsia"/>
          <w:color w:val="auto"/>
        </w:rPr>
        <w:t>一</w:t>
      </w:r>
      <w:bookmarkEnd w:id="0"/>
      <w:bookmarkStart w:id="1" w:name="_Toc13498"/>
      <w:bookmarkStart w:id="2" w:name="_Toc4755"/>
      <w:bookmarkStart w:id="3" w:name="_Toc28718"/>
      <w:r>
        <w:rPr>
          <w:rFonts w:hint="eastAsia"/>
          <w:color w:val="auto"/>
        </w:rPr>
        <w:t>、建设规模</w:t>
      </w:r>
    </w:p>
    <w:bookmarkEnd w:id="1"/>
    <w:bookmarkEnd w:id="2"/>
    <w:bookmarkEnd w:id="3"/>
    <w:p>
      <w:pPr>
        <w:pStyle w:val="2"/>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 xml:space="preserve">1.1 </w:t>
      </w:r>
      <w:bookmarkStart w:id="4" w:name="_Hlk172040350"/>
      <w:r>
        <w:rPr>
          <w:rFonts w:hint="eastAsia" w:ascii="宋体" w:hAnsi="宋体" w:cs="宋体"/>
          <w:b/>
          <w:bCs/>
          <w:snapToGrid w:val="0"/>
          <w:color w:val="auto"/>
          <w:kern w:val="0"/>
          <w:sz w:val="24"/>
          <w:szCs w:val="24"/>
          <w:highlight w:val="none"/>
          <w:u w:val="none"/>
          <w:lang w:val="en-US" w:eastAsia="zh-CN" w:bidi="ar-SA"/>
        </w:rPr>
        <w:t>22</w:t>
      </w:r>
      <w:r>
        <w:rPr>
          <w:rFonts w:hint="eastAsia" w:ascii="宋体" w:hAnsi="宋体" w:cs="宋体" w:eastAsiaTheme="minorEastAsia"/>
          <w:b/>
          <w:bCs/>
          <w:snapToGrid w:val="0"/>
          <w:color w:val="auto"/>
          <w:kern w:val="0"/>
          <w:sz w:val="24"/>
          <w:szCs w:val="24"/>
          <w:highlight w:val="none"/>
          <w:u w:val="none"/>
          <w:lang w:val="en-US" w:eastAsia="zh-CN" w:bidi="ar-SA"/>
        </w:rPr>
        <w:t>0kV</w:t>
      </w:r>
      <w:r>
        <w:rPr>
          <w:rFonts w:hint="eastAsia" w:ascii="宋体" w:hAnsi="宋体" w:cs="宋体"/>
          <w:b/>
          <w:bCs/>
          <w:snapToGrid w:val="0"/>
          <w:color w:val="auto"/>
          <w:kern w:val="0"/>
          <w:sz w:val="24"/>
          <w:szCs w:val="24"/>
          <w:highlight w:val="none"/>
          <w:u w:val="none"/>
          <w:lang w:val="en-US" w:eastAsia="zh-CN" w:bidi="ar-SA"/>
        </w:rPr>
        <w:t>成均（铁联）</w:t>
      </w:r>
      <w:r>
        <w:rPr>
          <w:rFonts w:hint="eastAsia" w:ascii="宋体" w:hAnsi="宋体" w:cs="宋体" w:eastAsiaTheme="minorEastAsia"/>
          <w:b/>
          <w:bCs/>
          <w:snapToGrid w:val="0"/>
          <w:color w:val="auto"/>
          <w:kern w:val="0"/>
          <w:sz w:val="24"/>
          <w:szCs w:val="24"/>
          <w:highlight w:val="none"/>
          <w:u w:val="none"/>
          <w:lang w:val="en-US" w:eastAsia="zh-CN" w:bidi="ar-SA"/>
        </w:rPr>
        <w:t>变电站工程</w:t>
      </w:r>
      <w:bookmarkEnd w:id="4"/>
      <w:r>
        <w:rPr>
          <w:rFonts w:hint="eastAsia" w:ascii="宋体" w:hAnsi="宋体" w:cs="宋体" w:eastAsiaTheme="minorEastAsia"/>
          <w:b w:val="0"/>
          <w:bCs w:val="0"/>
          <w:snapToGrid w:val="0"/>
          <w:color w:val="auto"/>
          <w:kern w:val="0"/>
          <w:sz w:val="24"/>
          <w:szCs w:val="24"/>
          <w:highlight w:val="none"/>
          <w:u w:val="none"/>
          <w:lang w:val="en-US" w:eastAsia="zh-CN" w:bidi="ar-SA"/>
        </w:rPr>
        <w:t>：主变压器终期3×180MVA，本期</w:t>
      </w:r>
      <w:r>
        <w:rPr>
          <w:rFonts w:hint="eastAsia" w:ascii="宋体" w:hAnsi="宋体" w:cs="宋体"/>
          <w:b w:val="0"/>
          <w:bCs w:val="0"/>
          <w:snapToGrid w:val="0"/>
          <w:color w:val="auto"/>
          <w:kern w:val="0"/>
          <w:sz w:val="24"/>
          <w:szCs w:val="24"/>
          <w:highlight w:val="none"/>
          <w:u w:val="none"/>
          <w:lang w:val="en-US" w:eastAsia="zh-CN" w:bidi="ar-SA"/>
        </w:rPr>
        <w:t>2</w:t>
      </w:r>
      <w:r>
        <w:rPr>
          <w:rFonts w:hint="eastAsia" w:ascii="宋体" w:hAnsi="宋体" w:cs="宋体" w:eastAsiaTheme="minorEastAsia"/>
          <w:b w:val="0"/>
          <w:bCs w:val="0"/>
          <w:snapToGrid w:val="0"/>
          <w:color w:val="auto"/>
          <w:kern w:val="0"/>
          <w:sz w:val="24"/>
          <w:szCs w:val="24"/>
          <w:highlight w:val="none"/>
          <w:u w:val="none"/>
          <w:lang w:val="en-US" w:eastAsia="zh-CN" w:bidi="ar-SA"/>
        </w:rPr>
        <w:t>×180MVA；220kV出线：终期8回，本期</w:t>
      </w:r>
      <w:r>
        <w:rPr>
          <w:rFonts w:hint="eastAsia" w:ascii="宋体" w:hAnsi="宋体" w:cs="宋体"/>
          <w:b w:val="0"/>
          <w:bCs w:val="0"/>
          <w:snapToGrid w:val="0"/>
          <w:color w:val="auto"/>
          <w:kern w:val="0"/>
          <w:sz w:val="24"/>
          <w:szCs w:val="24"/>
          <w:highlight w:val="none"/>
          <w:u w:val="none"/>
          <w:lang w:val="en-US" w:eastAsia="zh-CN" w:bidi="ar-SA"/>
        </w:rPr>
        <w:t>3</w:t>
      </w:r>
      <w:r>
        <w:rPr>
          <w:rFonts w:hint="eastAsia" w:ascii="宋体" w:hAnsi="宋体" w:cs="宋体" w:eastAsiaTheme="minorEastAsia"/>
          <w:b w:val="0"/>
          <w:bCs w:val="0"/>
          <w:snapToGrid w:val="0"/>
          <w:color w:val="auto"/>
          <w:kern w:val="0"/>
          <w:sz w:val="24"/>
          <w:szCs w:val="24"/>
          <w:highlight w:val="none"/>
          <w:u w:val="none"/>
          <w:lang w:val="en-US" w:eastAsia="zh-CN" w:bidi="ar-SA"/>
        </w:rPr>
        <w:t>回；110kV出线：终期14回，本期</w:t>
      </w:r>
      <w:r>
        <w:rPr>
          <w:rFonts w:hint="eastAsia" w:ascii="宋体" w:hAnsi="宋体" w:cs="宋体"/>
          <w:b w:val="0"/>
          <w:bCs w:val="0"/>
          <w:snapToGrid w:val="0"/>
          <w:color w:val="auto"/>
          <w:kern w:val="0"/>
          <w:sz w:val="24"/>
          <w:szCs w:val="24"/>
          <w:highlight w:val="none"/>
          <w:u w:val="none"/>
          <w:lang w:val="en-US" w:eastAsia="zh-CN" w:bidi="ar-SA"/>
        </w:rPr>
        <w:t>4</w:t>
      </w:r>
      <w:r>
        <w:rPr>
          <w:rFonts w:hint="eastAsia" w:ascii="宋体" w:hAnsi="宋体" w:cs="宋体" w:eastAsiaTheme="minorEastAsia"/>
          <w:b w:val="0"/>
          <w:bCs w:val="0"/>
          <w:snapToGrid w:val="0"/>
          <w:color w:val="auto"/>
          <w:kern w:val="0"/>
          <w:sz w:val="24"/>
          <w:szCs w:val="24"/>
          <w:highlight w:val="none"/>
          <w:u w:val="none"/>
          <w:lang w:val="en-US" w:eastAsia="zh-CN" w:bidi="ar-SA"/>
        </w:rPr>
        <w:t>回；10kV出线：终期30回，本期10回；10kV并联电容器：终期3×（5×8）Mvar，本期（3×8+2×8）Mvar。220kV终期采用双母线单分段接线，本期采用双母线接线；110kV终期采用双母线接线，本期采用双母线接线；10kV终期采用单母线双分段三段母线接线，本期采用单母线接线。本站按户外AIS布置</w:t>
      </w:r>
      <w:r>
        <w:rPr>
          <w:rFonts w:hint="eastAsia" w:ascii="宋体" w:hAnsi="宋体" w:cs="宋体"/>
          <w:b w:val="0"/>
          <w:bCs w:val="0"/>
          <w:snapToGrid w:val="0"/>
          <w:color w:val="auto"/>
          <w:kern w:val="0"/>
          <w:sz w:val="24"/>
          <w:szCs w:val="24"/>
          <w:highlight w:val="none"/>
          <w:u w:val="none"/>
          <w:lang w:val="en-US" w:eastAsia="zh-CN" w:bidi="ar-SA"/>
        </w:rPr>
        <w:t>，</w:t>
      </w:r>
      <w:r>
        <w:rPr>
          <w:rFonts w:hint="eastAsia" w:ascii="宋体" w:hAnsi="宋体" w:cs="宋体" w:eastAsiaTheme="minorEastAsia"/>
          <w:b w:val="0"/>
          <w:bCs w:val="0"/>
          <w:snapToGrid w:val="0"/>
          <w:color w:val="auto"/>
          <w:kern w:val="0"/>
          <w:sz w:val="24"/>
          <w:szCs w:val="24"/>
          <w:highlight w:val="none"/>
          <w:u w:val="none"/>
          <w:lang w:val="en-US" w:eastAsia="zh-CN" w:bidi="ar-SA"/>
        </w:rPr>
        <w:t>主变采用三相油浸自冷三绕组有载调压变压器，220kV采用SF6单断口瓷柱式断路器、110kV采用SF6单断口瓷柱式断路器。本工程按最终规模一次征地。全站总征地面积</w:t>
      </w:r>
      <w:r>
        <w:rPr>
          <w:rFonts w:hint="eastAsia" w:ascii="宋体" w:hAnsi="宋体" w:cs="宋体"/>
          <w:b w:val="0"/>
          <w:bCs w:val="0"/>
          <w:snapToGrid w:val="0"/>
          <w:color w:val="auto"/>
          <w:kern w:val="0"/>
          <w:sz w:val="24"/>
          <w:szCs w:val="24"/>
          <w:highlight w:val="none"/>
          <w:u w:val="none"/>
          <w:lang w:val="en-US" w:eastAsia="zh-CN" w:bidi="ar-SA"/>
        </w:rPr>
        <w:t>5.07000</w:t>
      </w:r>
      <w:r>
        <w:rPr>
          <w:rFonts w:hint="eastAsia" w:ascii="宋体" w:hAnsi="宋体" w:cs="宋体" w:eastAsiaTheme="minorEastAsia"/>
          <w:b w:val="0"/>
          <w:bCs w:val="0"/>
          <w:snapToGrid w:val="0"/>
          <w:color w:val="auto"/>
          <w:kern w:val="0"/>
          <w:sz w:val="24"/>
          <w:szCs w:val="24"/>
          <w:highlight w:val="none"/>
          <w:u w:val="none"/>
          <w:lang w:val="en-US" w:eastAsia="zh-CN" w:bidi="ar-SA"/>
        </w:rPr>
        <w:t>公顷（</w:t>
      </w:r>
      <w:r>
        <w:rPr>
          <w:rFonts w:hint="eastAsia" w:ascii="宋体" w:hAnsi="宋体" w:cs="宋体"/>
          <w:b w:val="0"/>
          <w:bCs w:val="0"/>
          <w:snapToGrid w:val="0"/>
          <w:color w:val="auto"/>
          <w:kern w:val="0"/>
          <w:sz w:val="24"/>
          <w:szCs w:val="24"/>
          <w:highlight w:val="none"/>
          <w:u w:val="none"/>
          <w:lang w:val="en-US" w:eastAsia="zh-CN" w:bidi="ar-SA"/>
        </w:rPr>
        <w:t>76.05</w:t>
      </w:r>
      <w:r>
        <w:rPr>
          <w:rFonts w:hint="eastAsia" w:ascii="宋体" w:hAnsi="宋体" w:cs="宋体" w:eastAsiaTheme="minorEastAsia"/>
          <w:b w:val="0"/>
          <w:bCs w:val="0"/>
          <w:snapToGrid w:val="0"/>
          <w:color w:val="auto"/>
          <w:kern w:val="0"/>
          <w:sz w:val="24"/>
          <w:szCs w:val="24"/>
          <w:highlight w:val="none"/>
          <w:u w:val="none"/>
          <w:lang w:val="en-US" w:eastAsia="zh-CN" w:bidi="ar-SA"/>
        </w:rPr>
        <w:t>亩），其中围墙内占地2.568</w:t>
      </w:r>
      <w:r>
        <w:rPr>
          <w:rFonts w:hint="eastAsia" w:ascii="宋体" w:hAnsi="宋体" w:cs="宋体"/>
          <w:b w:val="0"/>
          <w:bCs w:val="0"/>
          <w:snapToGrid w:val="0"/>
          <w:color w:val="auto"/>
          <w:kern w:val="0"/>
          <w:sz w:val="24"/>
          <w:szCs w:val="24"/>
          <w:highlight w:val="none"/>
          <w:u w:val="none"/>
          <w:lang w:val="en-US" w:eastAsia="zh-CN" w:bidi="ar-SA"/>
        </w:rPr>
        <w:t>0</w:t>
      </w:r>
      <w:r>
        <w:rPr>
          <w:rFonts w:hint="eastAsia" w:ascii="宋体" w:hAnsi="宋体" w:cs="宋体" w:eastAsiaTheme="minorEastAsia"/>
          <w:b w:val="0"/>
          <w:bCs w:val="0"/>
          <w:snapToGrid w:val="0"/>
          <w:color w:val="auto"/>
          <w:kern w:val="0"/>
          <w:sz w:val="24"/>
          <w:szCs w:val="24"/>
          <w:highlight w:val="none"/>
          <w:u w:val="none"/>
          <w:lang w:val="en-US" w:eastAsia="zh-CN" w:bidi="ar-SA"/>
        </w:rPr>
        <w:t>公顷</w:t>
      </w:r>
      <w:r>
        <w:rPr>
          <w:rFonts w:hint="eastAsia" w:ascii="宋体" w:hAnsi="宋体" w:cs="宋体"/>
          <w:b w:val="0"/>
          <w:bCs w:val="0"/>
          <w:snapToGrid w:val="0"/>
          <w:color w:val="auto"/>
          <w:kern w:val="0"/>
          <w:sz w:val="24"/>
          <w:szCs w:val="24"/>
          <w:highlight w:val="none"/>
          <w:u w:val="none"/>
          <w:lang w:val="en-US" w:eastAsia="zh-CN" w:bidi="ar-SA"/>
        </w:rPr>
        <w:t>，</w:t>
      </w:r>
      <w:r>
        <w:rPr>
          <w:rFonts w:hint="eastAsia" w:ascii="宋体" w:hAnsi="宋体" w:cs="宋体" w:eastAsiaTheme="minorEastAsia"/>
          <w:b w:val="0"/>
          <w:bCs w:val="0"/>
          <w:snapToGrid w:val="0"/>
          <w:color w:val="auto"/>
          <w:kern w:val="0"/>
          <w:sz w:val="24"/>
          <w:szCs w:val="24"/>
          <w:highlight w:val="none"/>
          <w:u w:val="none"/>
          <w:lang w:val="en-US" w:eastAsia="zh-CN" w:bidi="ar-SA"/>
        </w:rPr>
        <w:t>全站总建筑面积</w:t>
      </w:r>
      <w:r>
        <w:rPr>
          <w:rFonts w:hint="eastAsia" w:ascii="宋体" w:hAnsi="宋体" w:cs="宋体"/>
          <w:b w:val="0"/>
          <w:bCs w:val="0"/>
          <w:snapToGrid w:val="0"/>
          <w:color w:val="auto"/>
          <w:kern w:val="0"/>
          <w:sz w:val="24"/>
          <w:szCs w:val="24"/>
          <w:highlight w:val="none"/>
          <w:u w:val="none"/>
          <w:lang w:val="en-US" w:eastAsia="zh-CN" w:bidi="ar-SA"/>
        </w:rPr>
        <w:t>1932.07</w:t>
      </w:r>
      <w:r>
        <w:rPr>
          <w:rFonts w:hint="eastAsia" w:ascii="宋体" w:hAnsi="宋体" w:cs="宋体" w:eastAsiaTheme="minorEastAsia"/>
          <w:b w:val="0"/>
          <w:bCs w:val="0"/>
          <w:snapToGrid w:val="0"/>
          <w:color w:val="auto"/>
          <w:kern w:val="0"/>
          <w:sz w:val="24"/>
          <w:szCs w:val="24"/>
          <w:highlight w:val="none"/>
          <w:u w:val="none"/>
          <w:lang w:val="en-US" w:eastAsia="zh-CN" w:bidi="ar-SA"/>
        </w:rPr>
        <w:t>m2，其中主控通信楼1</w:t>
      </w:r>
      <w:r>
        <w:rPr>
          <w:rFonts w:hint="eastAsia" w:ascii="宋体" w:hAnsi="宋体" w:cs="宋体"/>
          <w:b w:val="0"/>
          <w:bCs w:val="0"/>
          <w:snapToGrid w:val="0"/>
          <w:color w:val="auto"/>
          <w:kern w:val="0"/>
          <w:sz w:val="24"/>
          <w:szCs w:val="24"/>
          <w:highlight w:val="none"/>
          <w:u w:val="none"/>
          <w:lang w:val="en-US" w:eastAsia="zh-CN" w:bidi="ar-SA"/>
        </w:rPr>
        <w:t>352.84</w:t>
      </w:r>
      <w:r>
        <w:rPr>
          <w:rFonts w:hint="eastAsia" w:ascii="宋体" w:hAnsi="宋体" w:cs="宋体" w:eastAsiaTheme="minorEastAsia"/>
          <w:b w:val="0"/>
          <w:bCs w:val="0"/>
          <w:snapToGrid w:val="0"/>
          <w:color w:val="auto"/>
          <w:kern w:val="0"/>
          <w:sz w:val="24"/>
          <w:szCs w:val="24"/>
          <w:highlight w:val="none"/>
          <w:u w:val="none"/>
          <w:lang w:val="en-US" w:eastAsia="zh-CN" w:bidi="ar-SA"/>
        </w:rPr>
        <w:t>m2。</w:t>
      </w:r>
    </w:p>
    <w:p>
      <w:pPr>
        <w:pStyle w:val="19"/>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1.2</w:t>
      </w:r>
      <w:r>
        <w:rPr>
          <w:rFonts w:hint="eastAsia" w:ascii="宋体" w:hAnsi="宋体" w:cs="宋体" w:eastAsiaTheme="minorEastAsia"/>
          <w:b/>
          <w:bCs/>
          <w:snapToGrid w:val="0"/>
          <w:color w:val="auto"/>
          <w:kern w:val="0"/>
          <w:sz w:val="24"/>
          <w:szCs w:val="24"/>
          <w:highlight w:val="none"/>
          <w:u w:val="none"/>
          <w:lang w:val="en-US" w:eastAsia="zh-CN" w:bidi="ar-SA"/>
        </w:rPr>
        <w:t>对侧间隔工程</w:t>
      </w:r>
    </w:p>
    <w:p>
      <w:pPr>
        <w:pStyle w:val="19"/>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 xml:space="preserve">1.2.1  </w:t>
      </w:r>
      <w:r>
        <w:rPr>
          <w:rFonts w:hint="eastAsia" w:ascii="宋体" w:hAnsi="宋体" w:cs="宋体" w:eastAsiaTheme="minorEastAsia"/>
          <w:b/>
          <w:bCs/>
          <w:snapToGrid w:val="0"/>
          <w:color w:val="auto"/>
          <w:kern w:val="0"/>
          <w:sz w:val="24"/>
          <w:szCs w:val="24"/>
          <w:highlight w:val="none"/>
          <w:u w:val="none"/>
          <w:lang w:val="en-US" w:eastAsia="zh-CN" w:bidi="ar-SA"/>
        </w:rPr>
        <w:t>220kV兴业站扩建220kV间隔工程</w:t>
      </w:r>
      <w:r>
        <w:rPr>
          <w:rFonts w:hint="eastAsia" w:ascii="宋体" w:hAnsi="宋体" w:cs="宋体"/>
          <w:b w:val="0"/>
          <w:bCs w:val="0"/>
          <w:snapToGrid w:val="0"/>
          <w:color w:val="auto"/>
          <w:kern w:val="0"/>
          <w:sz w:val="24"/>
          <w:szCs w:val="24"/>
          <w:highlight w:val="none"/>
          <w:u w:val="none"/>
          <w:lang w:val="en-US" w:eastAsia="zh-CN" w:bidi="ar-SA"/>
        </w:rPr>
        <w:t>：</w:t>
      </w:r>
      <w:r>
        <w:rPr>
          <w:rFonts w:hint="eastAsia" w:ascii="宋体" w:hAnsi="宋体" w:cs="宋体" w:eastAsiaTheme="minorEastAsia"/>
          <w:b w:val="0"/>
          <w:bCs w:val="0"/>
          <w:snapToGrid w:val="0"/>
          <w:color w:val="auto"/>
          <w:kern w:val="0"/>
          <w:sz w:val="24"/>
          <w:szCs w:val="24"/>
          <w:highlight w:val="none"/>
          <w:u w:val="none"/>
          <w:lang w:val="en-US" w:eastAsia="zh-CN" w:bidi="ar-SA"/>
        </w:rPr>
        <w:t>在现有场地扩建220kV出线间隔1个，采用户外AIS设备。</w:t>
      </w:r>
    </w:p>
    <w:p>
      <w:pPr>
        <w:pStyle w:val="19"/>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 xml:space="preserve">1.2.2  </w:t>
      </w:r>
      <w:r>
        <w:rPr>
          <w:rFonts w:hint="eastAsia" w:ascii="宋体" w:hAnsi="宋体" w:cs="宋体" w:eastAsiaTheme="minorEastAsia"/>
          <w:b/>
          <w:bCs/>
          <w:snapToGrid w:val="0"/>
          <w:color w:val="auto"/>
          <w:kern w:val="0"/>
          <w:sz w:val="24"/>
          <w:szCs w:val="24"/>
          <w:highlight w:val="none"/>
          <w:u w:val="none"/>
          <w:lang w:val="en-US" w:eastAsia="zh-CN" w:bidi="ar-SA"/>
        </w:rPr>
        <w:t>220kV力园站保护改造工程</w:t>
      </w:r>
      <w:r>
        <w:rPr>
          <w:rFonts w:hint="eastAsia" w:ascii="宋体" w:hAnsi="宋体" w:cs="宋体"/>
          <w:b w:val="0"/>
          <w:bCs w:val="0"/>
          <w:snapToGrid w:val="0"/>
          <w:color w:val="auto"/>
          <w:kern w:val="0"/>
          <w:sz w:val="24"/>
          <w:szCs w:val="24"/>
          <w:highlight w:val="none"/>
          <w:u w:val="none"/>
          <w:lang w:val="en-US" w:eastAsia="zh-CN" w:bidi="ar-SA"/>
        </w:rPr>
        <w:t>：</w:t>
      </w:r>
      <w:r>
        <w:rPr>
          <w:rFonts w:hint="eastAsia" w:ascii="宋体" w:hAnsi="宋体" w:cs="宋体" w:eastAsiaTheme="minorEastAsia"/>
          <w:b w:val="0"/>
          <w:bCs w:val="0"/>
          <w:snapToGrid w:val="0"/>
          <w:color w:val="auto"/>
          <w:kern w:val="0"/>
          <w:sz w:val="24"/>
          <w:szCs w:val="24"/>
          <w:highlight w:val="none"/>
          <w:u w:val="none"/>
          <w:lang w:val="en-US" w:eastAsia="zh-CN" w:bidi="ar-SA"/>
        </w:rPr>
        <w:t>220kV力园站利用原220kV力筑牵线间隔作为本期成均220kV间隔，本期对该间隔线路保护装置2套进行升级改造，并更换间隔相关标识。</w:t>
      </w:r>
    </w:p>
    <w:p>
      <w:pPr>
        <w:pStyle w:val="2"/>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r>
        <w:rPr>
          <w:rFonts w:hint="eastAsia" w:ascii="宋体" w:hAnsi="宋体" w:cs="宋体"/>
          <w:b w:val="0"/>
          <w:bCs w:val="0"/>
          <w:snapToGrid w:val="0"/>
          <w:color w:val="auto"/>
          <w:kern w:val="0"/>
          <w:sz w:val="24"/>
          <w:szCs w:val="24"/>
          <w:highlight w:val="none"/>
          <w:u w:val="none"/>
          <w:lang w:val="en-US" w:eastAsia="zh-CN" w:bidi="ar-SA"/>
        </w:rPr>
        <w:t>3</w:t>
      </w:r>
      <w:r>
        <w:rPr>
          <w:rFonts w:hint="eastAsia" w:ascii="宋体" w:hAnsi="宋体" w:cs="宋体" w:eastAsiaTheme="minorEastAsia"/>
          <w:b w:val="0"/>
          <w:bCs w:val="0"/>
          <w:snapToGrid w:val="0"/>
          <w:color w:val="auto"/>
          <w:kern w:val="0"/>
          <w:sz w:val="24"/>
          <w:szCs w:val="24"/>
          <w:highlight w:val="none"/>
          <w:u w:val="none"/>
          <w:lang w:val="en-US" w:eastAsia="zh-CN" w:bidi="ar-SA"/>
        </w:rPr>
        <w:t xml:space="preserve"> </w:t>
      </w:r>
      <w:r>
        <w:rPr>
          <w:rFonts w:hint="eastAsia" w:ascii="宋体" w:hAnsi="宋体" w:cs="宋体"/>
          <w:b/>
          <w:bCs/>
          <w:snapToGrid w:val="0"/>
          <w:color w:val="auto"/>
          <w:kern w:val="0"/>
          <w:sz w:val="24"/>
          <w:szCs w:val="24"/>
          <w:highlight w:val="none"/>
          <w:u w:val="none"/>
          <w:lang w:val="en-US" w:eastAsia="zh-CN" w:bidi="ar-SA"/>
        </w:rPr>
        <w:t>成均（铁联）</w:t>
      </w:r>
      <w:r>
        <w:rPr>
          <w:rFonts w:hint="eastAsia" w:ascii="宋体" w:hAnsi="宋体" w:cs="宋体" w:eastAsiaTheme="minorEastAsia"/>
          <w:b/>
          <w:bCs/>
          <w:snapToGrid w:val="0"/>
          <w:color w:val="auto"/>
          <w:kern w:val="0"/>
          <w:sz w:val="24"/>
          <w:szCs w:val="24"/>
          <w:highlight w:val="none"/>
          <w:u w:val="none"/>
          <w:lang w:val="en-US" w:eastAsia="zh-CN" w:bidi="ar-SA"/>
        </w:rPr>
        <w:t>成均～兴业220kV线路工程</w:t>
      </w:r>
      <w:r>
        <w:rPr>
          <w:rFonts w:hint="eastAsia" w:ascii="宋体" w:hAnsi="宋体" w:cs="宋体" w:eastAsiaTheme="minorEastAsia"/>
          <w:b w:val="0"/>
          <w:bCs w:val="0"/>
          <w:snapToGrid w:val="0"/>
          <w:color w:val="auto"/>
          <w:kern w:val="0"/>
          <w:sz w:val="24"/>
          <w:szCs w:val="24"/>
          <w:highlight w:val="none"/>
          <w:u w:val="none"/>
          <w:lang w:val="en-US" w:eastAsia="zh-CN" w:bidi="ar-SA"/>
        </w:rPr>
        <w:t>：</w:t>
      </w:r>
      <w:r>
        <w:rPr>
          <w:rFonts w:hint="eastAsia" w:ascii="宋体" w:hAnsi="宋体" w:cs="宋体"/>
          <w:b w:val="0"/>
          <w:bCs w:val="0"/>
          <w:snapToGrid w:val="0"/>
          <w:color w:val="auto"/>
          <w:kern w:val="0"/>
          <w:sz w:val="24"/>
          <w:szCs w:val="24"/>
          <w:highlight w:val="none"/>
          <w:u w:val="none"/>
          <w:lang w:val="en-US" w:eastAsia="zh-CN" w:bidi="ar-SA"/>
        </w:rPr>
        <w:t>起点为220kV成均（铁联）变电站，终点为220kV兴业变电站，新建线路路径长度约29.3km，其中单回路角钢塔段路径长度约26.7km，双回路角钢塔双侧挂线段路径长度约0.6km（1回为本期线路，另1回为玉林～兴业Ⅱ220kV线路），双回路角钢塔单侧挂线段路径长度约2.0km（1回为本期线路，另1回预留后期）。玉林～兴业Ⅱ220kV线路导线截面采用2×JL/LB20A-630/45、成均～兴业220kV线路导线截面采用2×JL/LB20A-300/40；拆除原玉林～兴业Ⅱ220kV线路长度约0.6km，拆除单回路铁塔杆塔2基；钻越500kV美久甲线#348至#349档、500kV南玉Ⅰ线#426至#427档、500kV南玉Ⅱ线#456至#457档，导、地线悬垂串采用双联串，需要在500kV美久甲线、500kV南玉Ⅰ线、500kV南玉Ⅱ线跨越220kV成兴线两端铁塔悬垂串单串改双串。</w:t>
      </w:r>
    </w:p>
    <w:p>
      <w:pPr>
        <w:rPr>
          <w:rFonts w:hint="default"/>
          <w:color w:val="auto"/>
          <w:highlight w:val="none"/>
          <w:lang w:val="en-US" w:eastAsia="zh-CN"/>
        </w:rPr>
      </w:pPr>
      <w:r>
        <w:rPr>
          <w:rFonts w:hint="eastAsia" w:ascii="宋体" w:hAnsi="宋体" w:cs="宋体"/>
          <w:b w:val="0"/>
          <w:bCs w:val="0"/>
          <w:snapToGrid w:val="0"/>
          <w:color w:val="auto"/>
          <w:kern w:val="0"/>
          <w:sz w:val="24"/>
          <w:szCs w:val="24"/>
          <w:highlight w:val="none"/>
          <w:u w:val="none"/>
          <w:lang w:val="en-US" w:eastAsia="zh-CN" w:bidi="ar-SA"/>
        </w:rPr>
        <w:t xml:space="preserve">1.4 </w:t>
      </w:r>
      <w:r>
        <w:rPr>
          <w:rFonts w:hint="eastAsia" w:ascii="宋体" w:hAnsi="宋体" w:cs="宋体"/>
          <w:b/>
          <w:bCs/>
          <w:snapToGrid w:val="0"/>
          <w:color w:val="auto"/>
          <w:kern w:val="0"/>
          <w:sz w:val="24"/>
          <w:szCs w:val="24"/>
          <w:highlight w:val="none"/>
          <w:u w:val="none"/>
          <w:lang w:val="en-US" w:eastAsia="zh-CN" w:bidi="ar-SA"/>
        </w:rPr>
        <w:t>成均（铁联）站π接力园～筑路牵220kV线路工程</w:t>
      </w:r>
      <w:r>
        <w:rPr>
          <w:rFonts w:hint="eastAsia" w:ascii="宋体" w:hAnsi="宋体" w:cs="宋体"/>
          <w:b w:val="0"/>
          <w:bCs w:val="0"/>
          <w:snapToGrid w:val="0"/>
          <w:color w:val="auto"/>
          <w:kern w:val="0"/>
          <w:sz w:val="24"/>
          <w:szCs w:val="24"/>
          <w:highlight w:val="none"/>
          <w:u w:val="none"/>
          <w:lang w:val="en-US" w:eastAsia="zh-CN" w:bidi="ar-SA"/>
        </w:rPr>
        <w:t>：新建线路采用“双回路+单回路”建设，线路路径总长度约1.83km。其中双回路角钢塔双侧挂线段路径长度约1.4km，至筑路牵侧单回路角钢塔段路径长度约0.3km，至力园站侧单回路角钢塔段路径长度约0.13km。导线截面筑路牵侧采用1×240mm2、力园站侧采用2×300mm2；π接后，拆除原导线、铁塔。</w:t>
      </w:r>
    </w:p>
    <w:p>
      <w:pPr>
        <w:pStyle w:val="3"/>
        <w:rPr>
          <w:color w:val="auto"/>
          <w:highlight w:val="none"/>
        </w:rPr>
      </w:pPr>
      <w:r>
        <w:rPr>
          <w:rFonts w:hint="eastAsia"/>
          <w:color w:val="auto"/>
          <w:highlight w:val="none"/>
        </w:rPr>
        <w:t>二、采购范围</w:t>
      </w:r>
    </w:p>
    <w:p>
      <w:pPr>
        <w:pStyle w:val="2"/>
        <w:spacing w:before="156" w:after="156"/>
        <w:ind w:left="0" w:leftChars="0" w:firstLine="482" w:firstLineChars="200"/>
        <w:rPr>
          <w:color w:val="auto"/>
          <w:highlight w:val="none"/>
        </w:rPr>
      </w:pPr>
      <w:r>
        <w:rPr>
          <w:rFonts w:hint="eastAsia"/>
          <w:color w:val="auto"/>
          <w:highlight w:val="none"/>
        </w:rPr>
        <w:t>2.1 总的部分</w:t>
      </w:r>
    </w:p>
    <w:p>
      <w:pPr>
        <w:pStyle w:val="8"/>
        <w:ind w:firstLine="480"/>
        <w:rPr>
          <w:color w:val="auto"/>
          <w:highlight w:val="none"/>
        </w:rPr>
      </w:pPr>
      <w:r>
        <w:rPr>
          <w:rFonts w:hint="eastAsia"/>
          <w:color w:val="auto"/>
          <w:highlight w:val="none"/>
        </w:rPr>
        <w:t>（1）本项目涉及的合法合规性手</w:t>
      </w:r>
      <w:r>
        <w:rPr>
          <w:rFonts w:hint="eastAsia" w:cs="Times New Roman"/>
          <w:color w:val="auto"/>
          <w:highlight w:val="none"/>
        </w:rPr>
        <w:t>续，</w:t>
      </w:r>
      <w:r>
        <w:rPr>
          <w:rFonts w:hint="eastAsia" w:cs="Times New Roman"/>
          <w:color w:val="auto"/>
          <w:highlight w:val="none"/>
          <w:lang w:val="en-US" w:eastAsia="zh-CN"/>
        </w:rPr>
        <w:t>除特殊注明外均由施工单位负责，</w:t>
      </w:r>
      <w:r>
        <w:rPr>
          <w:rFonts w:hint="eastAsia" w:cs="Times New Roman"/>
          <w:color w:val="auto"/>
          <w:highlight w:val="none"/>
        </w:rPr>
        <w:t>包</w:t>
      </w:r>
      <w:r>
        <w:rPr>
          <w:rFonts w:hint="eastAsia"/>
          <w:color w:val="auto"/>
          <w:highlight w:val="none"/>
        </w:rPr>
        <w:t>括但不限于：林木伐区设计方案、砍伐证办理、消防报验、道路接入口、站外排水、</w:t>
      </w:r>
      <w:r>
        <w:rPr>
          <w:rFonts w:hint="eastAsia"/>
          <w:color w:val="auto"/>
          <w:highlight w:val="none"/>
          <w:lang w:val="en-US" w:eastAsia="zh-CN"/>
        </w:rPr>
        <w:t>建筑垃圾外运处理</w:t>
      </w:r>
      <w:r>
        <w:rPr>
          <w:rFonts w:hint="eastAsia"/>
          <w:color w:val="auto"/>
          <w:highlight w:val="none"/>
        </w:rPr>
        <w:t>、根系外运等涉及的相关手续；</w:t>
      </w:r>
    </w:p>
    <w:p>
      <w:pPr>
        <w:pStyle w:val="8"/>
        <w:ind w:firstLine="480"/>
        <w:rPr>
          <w:color w:val="auto"/>
          <w:highlight w:val="none"/>
        </w:rPr>
      </w:pPr>
      <w:r>
        <w:rPr>
          <w:rFonts w:hint="eastAsia"/>
          <w:color w:val="auto"/>
          <w:highlight w:val="none"/>
        </w:rPr>
        <w:t>（2）施工单位配合属地供电局开展变电站用地范围内（含进站道路、还建道路）征地、征地补偿、青苗赔偿等工作。</w:t>
      </w:r>
    </w:p>
    <w:p>
      <w:pPr>
        <w:pStyle w:val="8"/>
        <w:ind w:firstLine="480"/>
        <w:rPr>
          <w:color w:val="auto"/>
          <w:highlight w:val="none"/>
        </w:rPr>
      </w:pPr>
      <w:r>
        <w:rPr>
          <w:rFonts w:hint="eastAsia"/>
          <w:color w:val="auto"/>
          <w:highlight w:val="none"/>
        </w:rPr>
        <w:t>（3）变电站用地范围内（含进站道路、还建道路）涉及的电力设施迁改、管线迁改等由施工单位负责；变电站用地范围（含进站道路、还建道路）外的临时用地附着物赔偿由施工单位负责。</w:t>
      </w:r>
    </w:p>
    <w:p>
      <w:pPr>
        <w:pStyle w:val="8"/>
        <w:ind w:firstLine="480"/>
        <w:rPr>
          <w:color w:val="auto"/>
          <w:highlight w:val="none"/>
        </w:rPr>
      </w:pPr>
      <w:r>
        <w:rPr>
          <w:rFonts w:hint="eastAsia"/>
          <w:color w:val="auto"/>
          <w:highlight w:val="none"/>
        </w:rPr>
        <w:t>（4）施工临时用电由施工单位负责实施，并需考虑后续工作用电需求，如10kV施工临时用电变压器容量除满足施工用电外，还需满足主变调试</w:t>
      </w:r>
      <w:r>
        <w:rPr>
          <w:rFonts w:hint="eastAsia"/>
          <w:color w:val="auto"/>
          <w:highlight w:val="none"/>
          <w:lang w:eastAsia="zh-CN"/>
        </w:rPr>
        <w:t>、</w:t>
      </w:r>
      <w:r>
        <w:rPr>
          <w:rFonts w:hint="eastAsia"/>
          <w:color w:val="auto"/>
          <w:highlight w:val="none"/>
          <w:lang w:val="en-US" w:eastAsia="zh-CN"/>
        </w:rPr>
        <w:t>消防试喷</w:t>
      </w:r>
      <w:r>
        <w:rPr>
          <w:rFonts w:hint="eastAsia"/>
          <w:color w:val="auto"/>
          <w:highlight w:val="none"/>
        </w:rPr>
        <w:t>用电需求（变压器容量不低于</w:t>
      </w:r>
      <w:r>
        <w:rPr>
          <w:rFonts w:hint="eastAsia"/>
          <w:color w:val="auto"/>
          <w:highlight w:val="none"/>
          <w:lang w:val="en-US" w:eastAsia="zh-CN"/>
        </w:rPr>
        <w:t>315</w:t>
      </w:r>
      <w:r>
        <w:rPr>
          <w:rFonts w:hint="eastAsia"/>
          <w:color w:val="auto"/>
          <w:highlight w:val="none"/>
        </w:rPr>
        <w:t>kVA）。临时供电设施需保留至该变电站工程竣工验收、启动完成。</w:t>
      </w:r>
    </w:p>
    <w:p>
      <w:pPr>
        <w:pStyle w:val="8"/>
        <w:ind w:firstLine="480"/>
        <w:rPr>
          <w:color w:val="auto"/>
          <w:highlight w:val="none"/>
        </w:rPr>
      </w:pPr>
      <w:r>
        <w:rPr>
          <w:rFonts w:hint="eastAsia"/>
          <w:color w:val="auto"/>
          <w:highlight w:val="none"/>
        </w:rPr>
        <w:t>（5）施工过程中产生的所有余土、建筑材料、垃圾的清理及外运工作。施工临时用地复绿由</w:t>
      </w:r>
      <w:r>
        <w:rPr>
          <w:rFonts w:hint="eastAsia"/>
          <w:color w:val="auto"/>
          <w:highlight w:val="none"/>
          <w:lang w:eastAsia="zh-CN"/>
        </w:rPr>
        <w:t>施工</w:t>
      </w:r>
      <w:r>
        <w:rPr>
          <w:rFonts w:hint="eastAsia"/>
          <w:color w:val="auto"/>
          <w:highlight w:val="none"/>
        </w:rPr>
        <w:t>单位负责，确保项目环评水保验收通过。</w:t>
      </w:r>
    </w:p>
    <w:p>
      <w:pPr>
        <w:pStyle w:val="8"/>
        <w:ind w:firstLine="480"/>
        <w:rPr>
          <w:color w:val="auto"/>
          <w:highlight w:val="none"/>
        </w:rPr>
      </w:pPr>
      <w:r>
        <w:rPr>
          <w:rFonts w:hint="eastAsia"/>
          <w:color w:val="auto"/>
          <w:highlight w:val="none"/>
        </w:rPr>
        <w:t>（6）智慧工程配套设施配置的临时用房由施工单位负责安装及管理；</w:t>
      </w:r>
    </w:p>
    <w:p>
      <w:pPr>
        <w:pStyle w:val="8"/>
        <w:ind w:firstLine="480"/>
        <w:rPr>
          <w:rFonts w:hint="eastAsia" w:eastAsiaTheme="minorEastAsia"/>
          <w:color w:val="auto"/>
          <w:highlight w:val="none"/>
          <w:lang w:eastAsia="zh-CN"/>
        </w:rPr>
      </w:pPr>
      <w:r>
        <w:rPr>
          <w:rFonts w:hint="eastAsia"/>
          <w:color w:val="auto"/>
          <w:highlight w:val="none"/>
        </w:rPr>
        <w:t>（</w:t>
      </w:r>
      <w:r>
        <w:rPr>
          <w:rFonts w:hint="eastAsia"/>
          <w:color w:val="auto"/>
          <w:highlight w:val="none"/>
          <w:lang w:val="en-US" w:eastAsia="zh-CN"/>
        </w:rPr>
        <w:t>7</w:t>
      </w:r>
      <w:r>
        <w:rPr>
          <w:rFonts w:hint="eastAsia"/>
          <w:color w:val="auto"/>
          <w:highlight w:val="none"/>
        </w:rPr>
        <w:t>）政府部门相关的竣工验收、环评水保</w:t>
      </w:r>
      <w:r>
        <w:rPr>
          <w:rFonts w:hint="eastAsia"/>
          <w:color w:val="auto"/>
          <w:highlight w:val="none"/>
          <w:lang w:eastAsia="zh-CN"/>
        </w:rPr>
        <w:t>、</w:t>
      </w:r>
      <w:r>
        <w:rPr>
          <w:rFonts w:hint="eastAsia"/>
          <w:color w:val="auto"/>
          <w:highlight w:val="none"/>
        </w:rPr>
        <w:t>档案检查由施工单位完成</w:t>
      </w:r>
      <w:r>
        <w:rPr>
          <w:rFonts w:hint="eastAsia"/>
          <w:color w:val="auto"/>
          <w:highlight w:val="none"/>
          <w:lang w:eastAsia="zh-CN"/>
        </w:rPr>
        <w:t>；</w:t>
      </w:r>
    </w:p>
    <w:p>
      <w:pPr>
        <w:pStyle w:val="8"/>
        <w:ind w:firstLine="480"/>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）项目创优工作（含广西级、南网级、行优、国优等，包括创优材料准备、会务等工作）由施工单位负责。</w:t>
      </w:r>
    </w:p>
    <w:p>
      <w:pPr>
        <w:pStyle w:val="8"/>
        <w:ind w:firstLine="480"/>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）由建设单位委托的第三方检测的送样、送检工作，由施工单位负责；</w:t>
      </w:r>
    </w:p>
    <w:p>
      <w:pPr>
        <w:pStyle w:val="8"/>
        <w:ind w:firstLine="480"/>
        <w:rPr>
          <w:rFonts w:hint="eastAsia"/>
          <w:color w:val="auto"/>
          <w:highlight w:val="none"/>
        </w:rPr>
      </w:pPr>
      <w:r>
        <w:rPr>
          <w:rFonts w:hint="eastAsia"/>
          <w:color w:val="auto"/>
          <w:highlight w:val="none"/>
        </w:rPr>
        <w:t>（1</w:t>
      </w:r>
      <w:r>
        <w:rPr>
          <w:rFonts w:hint="eastAsia"/>
          <w:color w:val="auto"/>
          <w:highlight w:val="none"/>
          <w:lang w:val="en-US" w:eastAsia="zh-CN"/>
        </w:rPr>
        <w:t>0</w:t>
      </w:r>
      <w:r>
        <w:rPr>
          <w:rFonts w:hint="eastAsia"/>
          <w:color w:val="auto"/>
          <w:highlight w:val="none"/>
        </w:rPr>
        <w:t>）全站消防统一由施工单位实施，含全站水消防系统、火灾报警系统（含建筑物</w:t>
      </w:r>
      <w:r>
        <w:rPr>
          <w:rFonts w:hint="eastAsia"/>
          <w:color w:val="auto"/>
          <w:highlight w:val="none"/>
          <w:lang w:eastAsia="zh-CN"/>
        </w:rPr>
        <w:t>、</w:t>
      </w:r>
      <w:r>
        <w:rPr>
          <w:rFonts w:hint="eastAsia"/>
          <w:color w:val="auto"/>
          <w:highlight w:val="none"/>
        </w:rPr>
        <w:t>电缆沟、主变等）、全站感温</w:t>
      </w:r>
      <w:r>
        <w:rPr>
          <w:rFonts w:hint="eastAsia"/>
          <w:color w:val="auto"/>
          <w:highlight w:val="none"/>
          <w:lang w:val="en-US" w:eastAsia="zh-CN"/>
        </w:rPr>
        <w:t>系统（含感温</w:t>
      </w:r>
      <w:r>
        <w:rPr>
          <w:rFonts w:hint="eastAsia"/>
          <w:color w:val="auto"/>
          <w:highlight w:val="none"/>
        </w:rPr>
        <w:t>电缆</w:t>
      </w:r>
      <w:r>
        <w:rPr>
          <w:rFonts w:hint="eastAsia"/>
          <w:color w:val="auto"/>
          <w:highlight w:val="none"/>
          <w:lang w:val="en-US" w:eastAsia="zh-CN"/>
        </w:rPr>
        <w:t>感温光纤）</w:t>
      </w:r>
      <w:r>
        <w:rPr>
          <w:rFonts w:hint="eastAsia"/>
          <w:color w:val="auto"/>
          <w:highlight w:val="none"/>
        </w:rPr>
        <w:t>等；</w:t>
      </w:r>
    </w:p>
    <w:p>
      <w:pPr>
        <w:pStyle w:val="8"/>
        <w:ind w:firstLine="480"/>
        <w:rPr>
          <w:rFonts w:hint="eastAsia"/>
          <w:color w:val="auto"/>
          <w:highlight w:val="none"/>
        </w:rPr>
      </w:pPr>
      <w:r>
        <w:rPr>
          <w:rFonts w:hint="eastAsia"/>
          <w:color w:val="auto"/>
          <w:highlight w:val="none"/>
        </w:rPr>
        <w:t>（11）</w:t>
      </w:r>
      <w:bookmarkStart w:id="5" w:name="_Hlk175310383"/>
      <w:r>
        <w:rPr>
          <w:rFonts w:hint="eastAsia" w:ascii="Times New Roman" w:hAnsi="Times New Roman"/>
          <w:color w:val="auto"/>
          <w:sz w:val="24"/>
          <w:highlight w:val="none"/>
        </w:rPr>
        <w:t>中标人在实施过程中应按照国家及行业施工规范要求。</w:t>
      </w:r>
      <w:bookmarkEnd w:id="5"/>
    </w:p>
    <w:p>
      <w:pPr>
        <w:pStyle w:val="2"/>
        <w:spacing w:before="156" w:after="156"/>
        <w:ind w:left="0" w:leftChars="0" w:firstLine="482" w:firstLineChars="200"/>
        <w:rPr>
          <w:rFonts w:hint="eastAsia" w:ascii="Calibri" w:hAnsi="Calibri" w:cs="Times New Roman" w:eastAsiaTheme="minorEastAsia"/>
          <w:b w:val="0"/>
          <w:color w:val="auto"/>
          <w:kern w:val="2"/>
          <w:sz w:val="24"/>
          <w:szCs w:val="22"/>
          <w:highlight w:val="none"/>
          <w:lang w:val="en-US" w:eastAsia="zh-CN" w:bidi="ar-SA"/>
        </w:rPr>
      </w:pPr>
      <w:r>
        <w:rPr>
          <w:rFonts w:hint="eastAsia"/>
          <w:color w:val="auto"/>
          <w:highlight w:val="none"/>
        </w:rPr>
        <w:t xml:space="preserve">2.2 </w:t>
      </w:r>
      <w:r>
        <w:rPr>
          <w:rFonts w:hint="eastAsia"/>
          <w:color w:val="auto"/>
          <w:highlight w:val="none"/>
          <w:lang w:val="en-US" w:eastAsia="zh-CN"/>
        </w:rPr>
        <w:t xml:space="preserve"> 22</w:t>
      </w:r>
      <w:r>
        <w:rPr>
          <w:rFonts w:hint="eastAsia"/>
          <w:color w:val="auto"/>
          <w:highlight w:val="none"/>
        </w:rPr>
        <w:t>0kV</w:t>
      </w:r>
      <w:r>
        <w:rPr>
          <w:rFonts w:hint="eastAsia"/>
          <w:color w:val="auto"/>
          <w:highlight w:val="none"/>
          <w:lang w:val="en-US" w:eastAsia="zh-CN"/>
        </w:rPr>
        <w:t>成均（铁联）</w:t>
      </w:r>
      <w:r>
        <w:rPr>
          <w:rFonts w:hint="eastAsia"/>
          <w:color w:val="auto"/>
          <w:highlight w:val="none"/>
        </w:rPr>
        <w:t>变电站工程部分</w:t>
      </w:r>
      <w:r>
        <w:rPr>
          <w:rFonts w:hint="eastAsia"/>
          <w:color w:val="auto"/>
          <w:highlight w:val="none"/>
          <w:lang w:eastAsia="zh-CN"/>
        </w:rPr>
        <w:t>：</w:t>
      </w:r>
      <w:r>
        <w:rPr>
          <w:rFonts w:hint="eastAsia" w:ascii="Calibri" w:hAnsi="Calibri" w:cs="Times New Roman" w:eastAsiaTheme="minorEastAsia"/>
          <w:b w:val="0"/>
          <w:color w:val="auto"/>
          <w:kern w:val="2"/>
          <w:sz w:val="24"/>
          <w:szCs w:val="22"/>
          <w:highlight w:val="none"/>
          <w:lang w:val="en-US" w:eastAsia="zh-CN" w:bidi="ar-SA"/>
        </w:rPr>
        <w:t>施工图纸范围内的变电三通一平（含进站道路</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施工期间道路维护、站区树木砍伐、建、构筑物拆除清理）、变电建筑（主控楼</w:t>
      </w:r>
      <w:r>
        <w:rPr>
          <w:rFonts w:hint="eastAsia" w:ascii="Calibri" w:hAnsi="Calibri" w:cs="Times New Roman"/>
          <w:b w:val="0"/>
          <w:color w:val="auto"/>
          <w:kern w:val="2"/>
          <w:sz w:val="24"/>
          <w:szCs w:val="22"/>
          <w:highlight w:val="none"/>
          <w:lang w:val="en-US" w:eastAsia="zh-CN" w:bidi="ar-SA"/>
        </w:rPr>
        <w:t>、10kV配电室、警传室</w:t>
      </w:r>
      <w:r>
        <w:rPr>
          <w:rFonts w:hint="eastAsia" w:ascii="Calibri" w:hAnsi="Calibri" w:cs="Times New Roman" w:eastAsiaTheme="minorEastAsia"/>
          <w:b w:val="0"/>
          <w:color w:val="auto"/>
          <w:kern w:val="2"/>
          <w:sz w:val="24"/>
          <w:szCs w:val="22"/>
          <w:highlight w:val="none"/>
          <w:lang w:val="en-US" w:eastAsia="zh-CN" w:bidi="ar-SA"/>
        </w:rPr>
        <w:t>建筑钢结构安装等</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站区绿化、白蚁防治</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消防系统、消防器材采购等，变电站大门（含反恐装置）、招标图纸照明、施工电源接入及拆除（含杆塔材料、临时变压器（变压器容量不低于</w:t>
      </w:r>
      <w:r>
        <w:rPr>
          <w:rFonts w:hint="eastAsia" w:ascii="Calibri" w:hAnsi="Calibri" w:cs="Times New Roman"/>
          <w:b w:val="0"/>
          <w:color w:val="auto"/>
          <w:kern w:val="2"/>
          <w:sz w:val="24"/>
          <w:szCs w:val="22"/>
          <w:highlight w:val="none"/>
          <w:lang w:val="en-US" w:eastAsia="zh-CN" w:bidi="ar-SA"/>
        </w:rPr>
        <w:t>315</w:t>
      </w:r>
      <w:r>
        <w:rPr>
          <w:rFonts w:hint="eastAsia" w:ascii="Calibri" w:hAnsi="Calibri" w:cs="Times New Roman" w:eastAsiaTheme="minorEastAsia"/>
          <w:b w:val="0"/>
          <w:color w:val="auto"/>
          <w:kern w:val="2"/>
          <w:sz w:val="24"/>
          <w:szCs w:val="22"/>
          <w:highlight w:val="none"/>
          <w:lang w:val="en-US" w:eastAsia="zh-CN" w:bidi="ar-SA"/>
        </w:rPr>
        <w:t>kVA，满足</w:t>
      </w:r>
      <w:r>
        <w:rPr>
          <w:rFonts w:hint="eastAsia" w:ascii="Calibri" w:hAnsi="Calibri" w:cs="Times New Roman"/>
          <w:b w:val="0"/>
          <w:color w:val="auto"/>
          <w:kern w:val="2"/>
          <w:sz w:val="24"/>
          <w:szCs w:val="22"/>
          <w:highlight w:val="none"/>
          <w:lang w:val="en-US" w:eastAsia="zh-CN" w:bidi="ar-SA"/>
        </w:rPr>
        <w:t>22</w:t>
      </w:r>
      <w:r>
        <w:rPr>
          <w:rFonts w:hint="eastAsia" w:ascii="Calibri" w:hAnsi="Calibri" w:cs="Times New Roman" w:eastAsiaTheme="minorEastAsia"/>
          <w:b w:val="0"/>
          <w:color w:val="auto"/>
          <w:kern w:val="2"/>
          <w:sz w:val="24"/>
          <w:szCs w:val="22"/>
          <w:highlight w:val="none"/>
          <w:lang w:val="en-US" w:eastAsia="zh-CN" w:bidi="ar-SA"/>
        </w:rPr>
        <w:t>0kV变电站建设施工用电及施工后期电气调试用电需要）租赁费、临时用地补偿）、水源（含检测、满足</w:t>
      </w:r>
      <w:r>
        <w:rPr>
          <w:rFonts w:hint="eastAsia" w:ascii="Calibri" w:hAnsi="Calibri" w:cs="Times New Roman"/>
          <w:b w:val="0"/>
          <w:color w:val="auto"/>
          <w:kern w:val="2"/>
          <w:sz w:val="24"/>
          <w:szCs w:val="22"/>
          <w:highlight w:val="none"/>
          <w:lang w:val="en-US" w:eastAsia="zh-CN" w:bidi="ar-SA"/>
        </w:rPr>
        <w:t>用</w:t>
      </w:r>
      <w:r>
        <w:rPr>
          <w:rFonts w:hint="eastAsia" w:ascii="Calibri" w:hAnsi="Calibri" w:cs="Times New Roman" w:eastAsiaTheme="minorEastAsia"/>
          <w:b w:val="0"/>
          <w:color w:val="auto"/>
          <w:kern w:val="2"/>
          <w:sz w:val="24"/>
          <w:szCs w:val="22"/>
          <w:highlight w:val="none"/>
          <w:lang w:val="en-US" w:eastAsia="zh-CN" w:bidi="ar-SA"/>
        </w:rPr>
        <w:t>水量）；</w:t>
      </w:r>
      <w:r>
        <w:rPr>
          <w:rFonts w:hint="eastAsia" w:ascii="Calibri" w:hAnsi="Calibri" w:cs="Times New Roman"/>
          <w:b w:val="0"/>
          <w:color w:val="auto"/>
          <w:kern w:val="2"/>
          <w:sz w:val="24"/>
          <w:szCs w:val="22"/>
          <w:highlight w:val="none"/>
          <w:lang w:val="en-US" w:eastAsia="zh-CN" w:bidi="ar-SA"/>
        </w:rPr>
        <w:t>站区</w:t>
      </w:r>
      <w:r>
        <w:rPr>
          <w:rFonts w:hint="eastAsia" w:ascii="Calibri" w:hAnsi="Calibri" w:cs="Times New Roman" w:eastAsiaTheme="minorEastAsia"/>
          <w:b w:val="0"/>
          <w:color w:val="auto"/>
          <w:kern w:val="2"/>
          <w:sz w:val="24"/>
          <w:szCs w:val="22"/>
          <w:highlight w:val="none"/>
          <w:lang w:val="en-US" w:eastAsia="zh-CN" w:bidi="ar-SA"/>
        </w:rPr>
        <w:t>道路迁移</w:t>
      </w:r>
      <w:r>
        <w:rPr>
          <w:rFonts w:hint="eastAsia" w:ascii="Calibri" w:hAnsi="Calibri" w:cs="Times New Roman"/>
          <w:b w:val="0"/>
          <w:color w:val="auto"/>
          <w:kern w:val="2"/>
          <w:sz w:val="24"/>
          <w:szCs w:val="22"/>
          <w:highlight w:val="none"/>
          <w:lang w:val="en-US" w:eastAsia="zh-CN" w:bidi="ar-SA"/>
        </w:rPr>
        <w:t>回</w:t>
      </w:r>
      <w:r>
        <w:rPr>
          <w:rFonts w:hint="eastAsia" w:ascii="Calibri" w:hAnsi="Calibri" w:cs="Times New Roman" w:eastAsiaTheme="minorEastAsia"/>
          <w:b w:val="0"/>
          <w:color w:val="auto"/>
          <w:kern w:val="2"/>
          <w:sz w:val="24"/>
          <w:szCs w:val="22"/>
          <w:highlight w:val="none"/>
          <w:lang w:val="en-US" w:eastAsia="zh-CN" w:bidi="ar-SA"/>
        </w:rPr>
        <w:t>建费</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站区上方的线路改迁（含</w:t>
      </w:r>
      <w:r>
        <w:rPr>
          <w:rFonts w:hint="eastAsia" w:ascii="Calibri" w:hAnsi="Calibri" w:cs="Times New Roman"/>
          <w:b w:val="0"/>
          <w:color w:val="auto"/>
          <w:kern w:val="2"/>
          <w:sz w:val="24"/>
          <w:szCs w:val="22"/>
          <w:highlight w:val="none"/>
          <w:lang w:val="en-US" w:eastAsia="zh-CN" w:bidi="ar-SA"/>
        </w:rPr>
        <w:t>35kV、</w:t>
      </w:r>
      <w:r>
        <w:rPr>
          <w:rFonts w:hint="eastAsia" w:ascii="Calibri" w:hAnsi="Calibri" w:cs="Times New Roman" w:eastAsiaTheme="minorEastAsia"/>
          <w:b w:val="0"/>
          <w:color w:val="auto"/>
          <w:kern w:val="2"/>
          <w:sz w:val="24"/>
          <w:szCs w:val="22"/>
          <w:highlight w:val="none"/>
          <w:lang w:val="en-US" w:eastAsia="zh-CN" w:bidi="ar-SA"/>
        </w:rPr>
        <w:t>10kV</w:t>
      </w:r>
      <w:r>
        <w:rPr>
          <w:rFonts w:hint="eastAsia" w:ascii="Calibri" w:hAnsi="Calibri" w:cs="Times New Roman"/>
          <w:b w:val="0"/>
          <w:color w:val="auto"/>
          <w:kern w:val="2"/>
          <w:sz w:val="24"/>
          <w:szCs w:val="22"/>
          <w:highlight w:val="none"/>
          <w:lang w:val="en-US" w:eastAsia="zh-CN" w:bidi="ar-SA"/>
        </w:rPr>
        <w:t>电力</w:t>
      </w:r>
      <w:r>
        <w:rPr>
          <w:rFonts w:hint="eastAsia" w:ascii="Calibri" w:hAnsi="Calibri" w:cs="Times New Roman" w:eastAsiaTheme="minorEastAsia"/>
          <w:b w:val="0"/>
          <w:color w:val="auto"/>
          <w:kern w:val="2"/>
          <w:sz w:val="24"/>
          <w:szCs w:val="22"/>
          <w:highlight w:val="none"/>
          <w:lang w:val="en-US" w:eastAsia="zh-CN" w:bidi="ar-SA"/>
        </w:rPr>
        <w:t>线路改迁、380V线路改迁、220V线路改迁、通信线路改迁设备材料费及永久占地费）、办理林木砍伐证件（含林木砍伐设计调查报告编制等）相关手续费、消防验</w:t>
      </w:r>
      <w:r>
        <w:rPr>
          <w:rFonts w:hint="eastAsia" w:ascii="Calibri" w:hAnsi="Calibri" w:cs="Times New Roman"/>
          <w:b w:val="0"/>
          <w:color w:val="auto"/>
          <w:kern w:val="2"/>
          <w:sz w:val="24"/>
          <w:szCs w:val="22"/>
          <w:highlight w:val="none"/>
          <w:lang w:val="en-US" w:eastAsia="zh-CN" w:bidi="ar-SA"/>
        </w:rPr>
        <w:t>收</w:t>
      </w:r>
      <w:r>
        <w:rPr>
          <w:rFonts w:hint="eastAsia" w:ascii="Calibri" w:hAnsi="Calibri" w:cs="Times New Roman" w:eastAsiaTheme="minorEastAsia"/>
          <w:b w:val="0"/>
          <w:color w:val="auto"/>
          <w:kern w:val="2"/>
          <w:sz w:val="24"/>
          <w:szCs w:val="22"/>
          <w:highlight w:val="none"/>
          <w:lang w:val="en-US" w:eastAsia="zh-CN" w:bidi="ar-SA"/>
        </w:rPr>
        <w:t>（通过</w:t>
      </w:r>
      <w:r>
        <w:rPr>
          <w:rFonts w:hint="eastAsia" w:asciiTheme="minorEastAsia" w:hAnsiTheme="minorEastAsia" w:eastAsiaTheme="minorEastAsia" w:cstheme="minorEastAsia"/>
          <w:b w:val="0"/>
          <w:i w:val="0"/>
          <w:color w:val="auto"/>
          <w:sz w:val="24"/>
          <w:szCs w:val="24"/>
          <w:highlight w:val="none"/>
        </w:rPr>
        <w:t>消防验收）</w:t>
      </w:r>
      <w:r>
        <w:rPr>
          <w:rFonts w:hint="eastAsia" w:ascii="Calibri" w:hAnsi="Calibri" w:cs="Times New Roman" w:eastAsiaTheme="minorEastAsia"/>
          <w:b w:val="0"/>
          <w:color w:val="auto"/>
          <w:kern w:val="2"/>
          <w:sz w:val="24"/>
          <w:szCs w:val="22"/>
          <w:highlight w:val="none"/>
          <w:lang w:val="en-US" w:eastAsia="zh-CN" w:bidi="ar-SA"/>
        </w:rPr>
        <w:t>、道路接入口、站外排水、根系外运（弃土消纳）等涉及的相关手续、边坡施工（含坡面绿化等）；施工过程中产生的所有余土、建筑材料、垃圾的清理及外运工作</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消纳）；</w:t>
      </w:r>
      <w:r>
        <w:rPr>
          <w:rFonts w:hint="eastAsia" w:ascii="Calibri" w:hAnsi="Calibri" w:cs="Times New Roman"/>
          <w:b w:val="0"/>
          <w:color w:val="auto"/>
          <w:kern w:val="2"/>
          <w:sz w:val="24"/>
          <w:szCs w:val="22"/>
          <w:highlight w:val="none"/>
          <w:lang w:val="en-US" w:eastAsia="zh-CN" w:bidi="ar-SA"/>
        </w:rPr>
        <w:t>负责</w:t>
      </w:r>
      <w:r>
        <w:rPr>
          <w:rFonts w:hint="eastAsia" w:ascii="Calibri" w:hAnsi="Calibri" w:cs="Times New Roman" w:eastAsiaTheme="minorEastAsia"/>
          <w:b w:val="0"/>
          <w:color w:val="auto"/>
          <w:kern w:val="2"/>
          <w:sz w:val="24"/>
          <w:szCs w:val="22"/>
          <w:highlight w:val="none"/>
          <w:lang w:val="en-US" w:eastAsia="zh-CN" w:bidi="ar-SA"/>
        </w:rPr>
        <w:t>桩基检测</w:t>
      </w:r>
      <w:r>
        <w:rPr>
          <w:rFonts w:hint="eastAsia" w:ascii="Calibri" w:hAnsi="Calibri" w:cs="Times New Roman"/>
          <w:b w:val="0"/>
          <w:color w:val="auto"/>
          <w:kern w:val="2"/>
          <w:sz w:val="24"/>
          <w:szCs w:val="22"/>
          <w:highlight w:val="none"/>
          <w:lang w:val="en-US" w:eastAsia="zh-CN" w:bidi="ar-SA"/>
        </w:rPr>
        <w:t>前的</w:t>
      </w:r>
      <w:r>
        <w:rPr>
          <w:rFonts w:hint="eastAsia" w:ascii="Calibri" w:hAnsi="Calibri" w:cs="Times New Roman" w:eastAsiaTheme="minorEastAsia"/>
          <w:b w:val="0"/>
          <w:color w:val="auto"/>
          <w:kern w:val="2"/>
          <w:sz w:val="24"/>
          <w:szCs w:val="22"/>
          <w:highlight w:val="none"/>
          <w:lang w:val="en-US" w:eastAsia="zh-CN" w:bidi="ar-SA"/>
        </w:rPr>
        <w:t>破桩头、桩帽施工；临时用地附着物赔偿，施工临时用地复绿，确保项目环评水保验收通过；智慧工程配套设施配置的临时用房。</w:t>
      </w:r>
      <w:r>
        <w:rPr>
          <w:rFonts w:hint="eastAsia" w:ascii="Calibri" w:hAnsi="Calibri" w:cs="Times New Roman"/>
          <w:b w:val="0"/>
          <w:color w:val="auto"/>
          <w:kern w:val="2"/>
          <w:sz w:val="24"/>
          <w:szCs w:val="22"/>
          <w:highlight w:val="none"/>
          <w:lang w:val="en-US" w:eastAsia="zh-CN" w:bidi="ar-SA"/>
        </w:rPr>
        <w:t>甲供</w:t>
      </w:r>
      <w:r>
        <w:rPr>
          <w:rFonts w:hint="eastAsia" w:ascii="Calibri" w:hAnsi="Calibri" w:cs="Times New Roman" w:eastAsiaTheme="minorEastAsia"/>
          <w:b w:val="0"/>
          <w:color w:val="auto"/>
          <w:kern w:val="2"/>
          <w:sz w:val="24"/>
          <w:szCs w:val="22"/>
          <w:highlight w:val="none"/>
          <w:lang w:val="en-US" w:eastAsia="zh-CN" w:bidi="ar-SA"/>
        </w:rPr>
        <w:t>物资到货验收、卸车保管(含设置临时仓库)、二次倒运</w:t>
      </w:r>
      <w:r>
        <w:rPr>
          <w:rFonts w:hint="eastAsia" w:ascii="Calibri" w:hAnsi="Calibri" w:cs="Times New Roman"/>
          <w:b w:val="0"/>
          <w:color w:val="auto"/>
          <w:kern w:val="2"/>
          <w:sz w:val="24"/>
          <w:szCs w:val="22"/>
          <w:highlight w:val="none"/>
          <w:lang w:val="en-US" w:eastAsia="zh-CN" w:bidi="ar-SA"/>
        </w:rPr>
        <w:t>等。</w:t>
      </w:r>
    </w:p>
    <w:p>
      <w:pPr>
        <w:pStyle w:val="8"/>
        <w:ind w:firstLine="480"/>
        <w:rPr>
          <w:rFonts w:hint="eastAsia" w:ascii="Times New Roman" w:hAnsi="Times New Roman"/>
          <w:color w:val="auto"/>
          <w:highlight w:val="none"/>
        </w:rPr>
      </w:pPr>
      <w:r>
        <w:rPr>
          <w:rFonts w:hint="eastAsia"/>
          <w:snapToGrid w:val="0"/>
          <w:color w:val="auto"/>
          <w:kern w:val="0"/>
          <w:highlight w:val="none"/>
        </w:rPr>
        <w:t>安装</w:t>
      </w:r>
      <w:r>
        <w:rPr>
          <w:rFonts w:hint="eastAsia"/>
          <w:snapToGrid w:val="0"/>
          <w:color w:val="auto"/>
          <w:kern w:val="0"/>
          <w:highlight w:val="none"/>
          <w:lang w:eastAsia="zh-CN"/>
        </w:rPr>
        <w:t>工程</w:t>
      </w:r>
      <w:r>
        <w:rPr>
          <w:rFonts w:hint="eastAsia"/>
          <w:snapToGrid w:val="0"/>
          <w:color w:val="auto"/>
          <w:kern w:val="0"/>
          <w:highlight w:val="none"/>
        </w:rPr>
        <w:t>（含通信、远</w:t>
      </w:r>
      <w:r>
        <w:rPr>
          <w:rFonts w:hint="eastAsia"/>
          <w:color w:val="auto"/>
          <w:highlight w:val="none"/>
        </w:rPr>
        <w:t>动、在线监测装置、设备内部接线等）及调试（规程规范及招标前南方电网公司、广西电网公司反措要求试验等）工程；电气安装及调试工程，一次、二次、通信等变电站工程对应设备的系统联调，安装（含通信、远动、在线监测装置、设备内部接线）及调试（规程规范及招标前南方电网公司、广西电网公司反措要求试验等）工程，导引光缆熔入ODF架。</w:t>
      </w:r>
      <w:bookmarkStart w:id="6" w:name="OLE_LINK2"/>
      <w:r>
        <w:rPr>
          <w:rFonts w:hint="eastAsia" w:asciiTheme="minorEastAsia" w:hAnsiTheme="minorEastAsia" w:eastAsiaTheme="minorEastAsia" w:cstheme="minorEastAsia"/>
          <w:b w:val="0"/>
          <w:bCs/>
          <w:i w:val="0"/>
          <w:iCs/>
          <w:color w:val="auto"/>
          <w:kern w:val="2"/>
          <w:sz w:val="24"/>
          <w:szCs w:val="24"/>
          <w:highlight w:val="none"/>
          <w:lang w:val="en-US" w:eastAsia="zh-CN" w:bidi="ar-SA"/>
        </w:rPr>
        <w:t>中标单位负责现场组织、管理X光等各项检测</w:t>
      </w:r>
      <w:r>
        <w:rPr>
          <w:rFonts w:hint="eastAsia" w:asciiTheme="minorEastAsia" w:hAnsiTheme="minorEastAsia" w:cstheme="minorEastAsia"/>
          <w:b w:val="0"/>
          <w:bCs/>
          <w:i w:val="0"/>
          <w:iCs/>
          <w:color w:val="auto"/>
          <w:kern w:val="2"/>
          <w:sz w:val="24"/>
          <w:szCs w:val="24"/>
          <w:highlight w:val="none"/>
          <w:lang w:val="en-US" w:eastAsia="zh-CN" w:bidi="ar-SA"/>
        </w:rPr>
        <w:t>单位</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工作</w:t>
      </w:r>
      <w:bookmarkEnd w:id="6"/>
      <w:r>
        <w:rPr>
          <w:rFonts w:hint="eastAsia" w:asciiTheme="minorEastAsia" w:hAnsiTheme="minorEastAsia" w:cstheme="minorEastAsia"/>
          <w:b w:val="0"/>
          <w:bCs/>
          <w:i w:val="0"/>
          <w:iCs/>
          <w:color w:val="auto"/>
          <w:kern w:val="2"/>
          <w:sz w:val="24"/>
          <w:szCs w:val="24"/>
          <w:highlight w:val="none"/>
          <w:lang w:val="en-US" w:eastAsia="zh-CN" w:bidi="ar-SA"/>
        </w:rPr>
        <w:t>等</w:t>
      </w:r>
      <w:r>
        <w:rPr>
          <w:rFonts w:hint="eastAsia"/>
          <w:color w:val="auto"/>
          <w:highlight w:val="none"/>
        </w:rPr>
        <w:t>。特种设备安全检测（通过相关单位验收），防雷检测，南网总调、广西中调调度端二次系统</w:t>
      </w:r>
      <w:r>
        <w:rPr>
          <w:rFonts w:hint="eastAsia"/>
          <w:color w:val="auto"/>
          <w:highlight w:val="none"/>
          <w:lang w:val="en-US" w:eastAsia="zh-CN"/>
        </w:rPr>
        <w:t>调试</w:t>
      </w:r>
      <w:r>
        <w:rPr>
          <w:rFonts w:hint="eastAsia"/>
          <w:color w:val="auto"/>
          <w:highlight w:val="none"/>
        </w:rPr>
        <w:t>，保护通道调试，保护调试，光纤熔接及光通道调试</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；由建设单位委托的第三方检测的送样、送检工作(送至检测单位)，中标单位负责厂家安装调试</w:t>
      </w:r>
      <w:r>
        <w:rPr>
          <w:rFonts w:hint="eastAsia" w:asciiTheme="minorEastAsia" w:hAnsiTheme="minorEastAsia" w:cstheme="minorEastAsia"/>
          <w:b w:val="0"/>
          <w:bCs/>
          <w:i w:val="0"/>
          <w:iCs/>
          <w:color w:val="auto"/>
          <w:kern w:val="2"/>
          <w:sz w:val="24"/>
          <w:szCs w:val="24"/>
          <w:highlight w:val="none"/>
          <w:lang w:val="en-US" w:eastAsia="zh-CN" w:bidi="ar-SA"/>
        </w:rPr>
        <w:t>工作</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的现场组织、协调、管理工作，负责跟踪厂家安装设备验收整改问题及闭环</w:t>
      </w:r>
      <w:r>
        <w:rPr>
          <w:rFonts w:hint="eastAsia"/>
          <w:color w:val="auto"/>
          <w:highlight w:val="none"/>
        </w:rPr>
        <w:t>。消防报装报验（</w:t>
      </w:r>
      <w:r>
        <w:rPr>
          <w:rFonts w:hint="eastAsia" w:asciiTheme="minorEastAsia" w:hAnsiTheme="minorEastAsia" w:eastAsiaTheme="minorEastAsia" w:cstheme="minorEastAsia"/>
          <w:b w:val="0"/>
          <w:i w:val="0"/>
          <w:color w:val="auto"/>
          <w:sz w:val="24"/>
          <w:szCs w:val="24"/>
          <w:highlight w:val="none"/>
        </w:rPr>
        <w:t>通过消防验收,含</w:t>
      </w:r>
      <w:r>
        <w:rPr>
          <w:rFonts w:hint="eastAsia" w:asciiTheme="minorEastAsia" w:hAnsiTheme="minorEastAsia" w:eastAsiaTheme="minorEastAsia" w:cstheme="minorEastAsia"/>
          <w:b w:val="0"/>
          <w:i w:val="0"/>
          <w:color w:val="auto"/>
          <w:sz w:val="24"/>
          <w:szCs w:val="24"/>
          <w:highlight w:val="none"/>
          <w:lang w:eastAsia="zh-CN"/>
        </w:rPr>
        <w:t>消防</w:t>
      </w:r>
      <w:r>
        <w:rPr>
          <w:rFonts w:hint="eastAsia" w:asciiTheme="minorEastAsia" w:hAnsiTheme="minorEastAsia" w:eastAsiaTheme="minorEastAsia" w:cstheme="minorEastAsia"/>
          <w:b w:val="0"/>
          <w:i w:val="0"/>
          <w:color w:val="auto"/>
          <w:sz w:val="24"/>
          <w:szCs w:val="24"/>
          <w:highlight w:val="none"/>
        </w:rPr>
        <w:t>第三方施工图审查</w:t>
      </w:r>
      <w:r>
        <w:rPr>
          <w:rFonts w:hint="eastAsia"/>
          <w:color w:val="auto"/>
          <w:highlight w:val="none"/>
        </w:rPr>
        <w:t>），特种设备安全检测（通过相关单位验收）</w:t>
      </w:r>
      <w:r>
        <w:rPr>
          <w:rFonts w:hint="eastAsia"/>
          <w:color w:val="auto"/>
          <w:highlight w:val="none"/>
          <w:lang w:eastAsia="zh-CN"/>
        </w:rPr>
        <w:t>；</w:t>
      </w:r>
      <w:r>
        <w:rPr>
          <w:rFonts w:hint="eastAsia"/>
          <w:color w:val="auto"/>
          <w:highlight w:val="none"/>
        </w:rPr>
        <w:t>物资到货验收、卸车保管(含设置临时仓库)、二次倒运；电子化移交数据采集及暂估转固、资产录入、固定资产移交办理等外业工作；安全生产管理系统输电设备台账录入</w:t>
      </w:r>
      <w:r>
        <w:rPr>
          <w:rFonts w:hint="eastAsia" w:ascii="Times New Roman" w:hAnsi="Times New Roman"/>
          <w:color w:val="auto"/>
          <w:highlight w:val="none"/>
        </w:rPr>
        <w:t>；</w:t>
      </w:r>
      <w:r>
        <w:rPr>
          <w:rFonts w:hint="eastAsia"/>
          <w:color w:val="auto"/>
          <w:highlight w:val="none"/>
        </w:rPr>
        <w:t>整套启动试运工作；</w:t>
      </w:r>
      <w:r>
        <w:rPr>
          <w:rFonts w:hint="eastAsia" w:ascii="Times New Roman" w:hAnsi="Times New Roman"/>
          <w:color w:val="auto"/>
          <w:highlight w:val="none"/>
        </w:rPr>
        <w:t>项目创优工作（含广西级、南网级、行优、国优等，包括创优材料准备、会务准备等工作）包含在报价中考虑。</w:t>
      </w:r>
    </w:p>
    <w:p>
      <w:pPr>
        <w:pStyle w:val="2"/>
        <w:spacing w:line="360" w:lineRule="auto"/>
        <w:ind w:firstLine="420" w:firstLineChars="175"/>
        <w:rPr>
          <w:rFonts w:asciiTheme="minorEastAsia" w:hAnsiTheme="minorEastAsia" w:eastAsiaTheme="minorEastAsia" w:cstheme="minorEastAsia"/>
          <w:b w:val="0"/>
          <w:i w:val="0"/>
          <w:color w:val="auto"/>
          <w:sz w:val="24"/>
          <w:szCs w:val="24"/>
          <w:highlight w:val="none"/>
        </w:rPr>
      </w:pPr>
      <w:r>
        <w:rPr>
          <w:rFonts w:hint="eastAsia" w:asciiTheme="minorEastAsia" w:hAnsiTheme="minorEastAsia" w:eastAsiaTheme="minorEastAsia" w:cstheme="minorEastAsia"/>
          <w:b w:val="0"/>
          <w:i w:val="0"/>
          <w:color w:val="auto"/>
          <w:sz w:val="24"/>
          <w:szCs w:val="24"/>
          <w:highlight w:val="none"/>
        </w:rPr>
        <w:t>不包括：变电站视频及环境监控系统的安装和调试、电子围栏采购安装和调试、空调（安装），安健环设施的购置</w:t>
      </w:r>
      <w:r>
        <w:rPr>
          <w:rFonts w:hint="eastAsia" w:asciiTheme="minorEastAsia" w:hAnsiTheme="minorEastAsia" w:cstheme="minorEastAsia"/>
          <w:b w:val="0"/>
          <w:i w:val="0"/>
          <w:color w:val="auto"/>
          <w:sz w:val="24"/>
          <w:szCs w:val="24"/>
          <w:highlight w:val="none"/>
          <w:lang w:eastAsia="zh-CN"/>
        </w:rPr>
        <w:t>，</w:t>
      </w:r>
      <w:r>
        <w:rPr>
          <w:rFonts w:hint="eastAsia" w:asciiTheme="minorEastAsia" w:hAnsiTheme="minorEastAsia" w:eastAsiaTheme="minorEastAsia" w:cstheme="minorEastAsia"/>
          <w:b w:val="0"/>
          <w:i w:val="0"/>
          <w:color w:val="auto"/>
          <w:sz w:val="24"/>
          <w:szCs w:val="24"/>
          <w:highlight w:val="none"/>
        </w:rPr>
        <w:t>其他费用中的建设场地征用</w:t>
      </w:r>
      <w:r>
        <w:rPr>
          <w:rFonts w:hint="eastAsia" w:asciiTheme="minorEastAsia" w:hAnsiTheme="minorEastAsia" w:eastAsiaTheme="minorEastAsia" w:cstheme="minorEastAsia"/>
          <w:b w:val="0"/>
          <w:i w:val="0"/>
          <w:color w:val="auto"/>
          <w:sz w:val="24"/>
          <w:szCs w:val="24"/>
          <w:highlight w:val="none"/>
          <w:lang w:eastAsia="zh-CN"/>
        </w:rPr>
        <w:t>费</w:t>
      </w:r>
      <w:r>
        <w:rPr>
          <w:rFonts w:hint="eastAsia" w:asciiTheme="minorEastAsia" w:hAnsiTheme="minorEastAsia" w:cstheme="minorEastAsia"/>
          <w:b w:val="0"/>
          <w:i w:val="0"/>
          <w:color w:val="auto"/>
          <w:sz w:val="24"/>
          <w:szCs w:val="24"/>
          <w:highlight w:val="none"/>
          <w:lang w:eastAsia="zh-CN"/>
        </w:rPr>
        <w:t>（</w:t>
      </w:r>
      <w:r>
        <w:rPr>
          <w:rFonts w:hint="eastAsia" w:asciiTheme="minorEastAsia" w:hAnsiTheme="minorEastAsia" w:cstheme="minorEastAsia"/>
          <w:b w:val="0"/>
          <w:i w:val="0"/>
          <w:color w:val="auto"/>
          <w:sz w:val="24"/>
          <w:szCs w:val="24"/>
          <w:highlight w:val="none"/>
          <w:lang w:val="en-US" w:eastAsia="zh-CN"/>
        </w:rPr>
        <w:t>含10kV外来杆塔征地费）</w:t>
      </w:r>
      <w:r>
        <w:rPr>
          <w:rFonts w:hint="eastAsia" w:asciiTheme="minorEastAsia" w:hAnsiTheme="minorEastAsia" w:eastAsiaTheme="minorEastAsia" w:cstheme="minorEastAsia"/>
          <w:b w:val="0"/>
          <w:i w:val="0"/>
          <w:color w:val="auto"/>
          <w:sz w:val="24"/>
          <w:szCs w:val="24"/>
          <w:highlight w:val="none"/>
        </w:rPr>
        <w:t>、变电站信息安全等级保护测评费，水土保持补偿费、环境监测及环境保护验收费、水土保持监测及验收费、智慧工地费用等其他费用，费用不计入投标报价。根据《建设工程质量检测管理办法》的规定，工程项目建设单位委托第三方检测机构进行的质量检测业务包括但不限于以下内容：</w:t>
      </w:r>
    </w:p>
    <w:p>
      <w:pPr>
        <w:pStyle w:val="2"/>
        <w:spacing w:line="360" w:lineRule="auto"/>
        <w:ind w:firstLine="420" w:firstLineChars="175"/>
        <w:rPr>
          <w:rFonts w:asciiTheme="minorEastAsia" w:hAnsiTheme="minorEastAsia" w:eastAsiaTheme="minorEastAsia" w:cstheme="minorEastAsia"/>
          <w:b w:val="0"/>
          <w:i w:val="0"/>
          <w:color w:val="auto"/>
          <w:sz w:val="24"/>
          <w:szCs w:val="24"/>
          <w:highlight w:val="none"/>
        </w:rPr>
      </w:pPr>
      <w:r>
        <w:rPr>
          <w:rFonts w:hint="eastAsia" w:asciiTheme="minorEastAsia" w:hAnsiTheme="minorEastAsia" w:eastAsiaTheme="minorEastAsia" w:cstheme="minorEastAsia"/>
          <w:b w:val="0"/>
          <w:i w:val="0"/>
          <w:color w:val="auto"/>
          <w:sz w:val="24"/>
          <w:szCs w:val="24"/>
          <w:highlight w:val="none"/>
        </w:rPr>
        <w:t>（1）专项检测</w:t>
      </w:r>
    </w:p>
    <w:p>
      <w:pPr>
        <w:pStyle w:val="2"/>
        <w:spacing w:line="360" w:lineRule="auto"/>
        <w:ind w:firstLine="420" w:firstLineChars="175"/>
        <w:rPr>
          <w:rFonts w:asciiTheme="minorEastAsia" w:hAnsiTheme="minorEastAsia" w:eastAsiaTheme="minorEastAsia" w:cstheme="minorEastAsia"/>
          <w:b w:val="0"/>
          <w:i w:val="0"/>
          <w:color w:val="auto"/>
          <w:sz w:val="24"/>
          <w:szCs w:val="24"/>
          <w:highlight w:val="none"/>
        </w:rPr>
      </w:pPr>
      <w:r>
        <w:rPr>
          <w:rFonts w:hint="eastAsia" w:asciiTheme="minorEastAsia" w:hAnsiTheme="minorEastAsia" w:eastAsiaTheme="minorEastAsia" w:cstheme="minorEastAsia"/>
          <w:b w:val="0"/>
          <w:i w:val="0"/>
          <w:color w:val="auto"/>
          <w:sz w:val="24"/>
          <w:szCs w:val="24"/>
          <w:highlight w:val="none"/>
        </w:rPr>
        <w:t>场地土方回填试验（(击实试验、压实度试验）；钢筋混凝土实体监测(钢筋保护层厚度、混凝土强度、尺寸偏差)；桩基础检测(承载力、桩身完整性)；地基承载力检测；锚杆锁定力检测；钢材原材性能检测；钢筋混凝土实体检测</w:t>
      </w:r>
      <w:r>
        <w:rPr>
          <w:rFonts w:hint="eastAsia" w:asciiTheme="minorEastAsia" w:hAnsiTheme="minorEastAsia" w:cstheme="minorEastAsia"/>
          <w:b w:val="0"/>
          <w:i w:val="0"/>
          <w:color w:val="auto"/>
          <w:sz w:val="24"/>
          <w:szCs w:val="24"/>
          <w:highlight w:val="none"/>
          <w:lang w:eastAsia="zh-CN"/>
        </w:rPr>
        <w:t>；植筋的拉拔试验；</w:t>
      </w:r>
      <w:r>
        <w:rPr>
          <w:rFonts w:hint="eastAsia" w:asciiTheme="minorEastAsia" w:hAnsiTheme="minorEastAsia" w:cstheme="minorEastAsia"/>
          <w:b w:val="0"/>
          <w:i w:val="0"/>
          <w:color w:val="auto"/>
          <w:sz w:val="24"/>
          <w:szCs w:val="24"/>
          <w:highlight w:val="none"/>
          <w:lang w:val="en-US" w:eastAsia="zh-CN"/>
        </w:rPr>
        <w:t>建筑物</w:t>
      </w:r>
      <w:r>
        <w:rPr>
          <w:rFonts w:hint="eastAsia" w:asciiTheme="minorEastAsia" w:hAnsiTheme="minorEastAsia" w:cstheme="minorEastAsia"/>
          <w:b w:val="0"/>
          <w:i w:val="0"/>
          <w:color w:val="auto"/>
          <w:sz w:val="24"/>
          <w:szCs w:val="24"/>
          <w:highlight w:val="none"/>
          <w:lang w:eastAsia="zh-CN"/>
        </w:rPr>
        <w:t>沉降观测；室内环境检测</w:t>
      </w:r>
      <w:r>
        <w:rPr>
          <w:rFonts w:hint="eastAsia" w:asciiTheme="minorEastAsia" w:hAnsiTheme="minorEastAsia" w:eastAsiaTheme="minorEastAsia" w:cstheme="minorEastAsia"/>
          <w:b w:val="0"/>
          <w:i w:val="0"/>
          <w:color w:val="auto"/>
          <w:sz w:val="24"/>
          <w:szCs w:val="24"/>
          <w:highlight w:val="none"/>
        </w:rPr>
        <w:t>。因创优质工程需要，对不在国家规程规范监测范围内的建筑、边坡等额外开展的沉降观测。</w:t>
      </w:r>
    </w:p>
    <w:p>
      <w:pPr>
        <w:pStyle w:val="2"/>
        <w:spacing w:line="360" w:lineRule="auto"/>
        <w:ind w:firstLine="420" w:firstLineChars="175"/>
        <w:rPr>
          <w:rFonts w:asciiTheme="minorEastAsia" w:hAnsiTheme="minorEastAsia" w:eastAsiaTheme="minorEastAsia" w:cstheme="minorEastAsia"/>
          <w:b w:val="0"/>
          <w:i w:val="0"/>
          <w:color w:val="auto"/>
          <w:sz w:val="24"/>
          <w:szCs w:val="24"/>
          <w:highlight w:val="none"/>
        </w:rPr>
      </w:pPr>
      <w:r>
        <w:rPr>
          <w:rFonts w:hint="eastAsia" w:asciiTheme="minorEastAsia" w:hAnsiTheme="minorEastAsia" w:eastAsiaTheme="minorEastAsia" w:cstheme="minorEastAsia"/>
          <w:b w:val="0"/>
          <w:i w:val="0"/>
          <w:color w:val="auto"/>
          <w:sz w:val="24"/>
          <w:szCs w:val="24"/>
          <w:highlight w:val="none"/>
        </w:rPr>
        <w:t>（2）见证取样检测</w:t>
      </w:r>
    </w:p>
    <w:p>
      <w:pPr>
        <w:pStyle w:val="2"/>
        <w:spacing w:line="360" w:lineRule="auto"/>
        <w:ind w:firstLine="420" w:firstLineChars="175"/>
        <w:rPr>
          <w:rFonts w:asciiTheme="minorEastAsia" w:hAnsiTheme="minorEastAsia" w:eastAsiaTheme="minorEastAsia" w:cstheme="minorEastAsia"/>
          <w:b w:val="0"/>
          <w:i w:val="0"/>
          <w:color w:val="auto"/>
          <w:sz w:val="24"/>
          <w:szCs w:val="24"/>
          <w:highlight w:val="none"/>
        </w:rPr>
      </w:pPr>
      <w:r>
        <w:rPr>
          <w:rFonts w:hint="eastAsia" w:asciiTheme="minorEastAsia" w:hAnsiTheme="minorEastAsia" w:eastAsiaTheme="minorEastAsia" w:cstheme="minorEastAsia"/>
          <w:b w:val="0"/>
          <w:i w:val="0"/>
          <w:color w:val="auto"/>
          <w:sz w:val="24"/>
          <w:szCs w:val="24"/>
          <w:highlight w:val="none"/>
        </w:rPr>
        <w:t>水泥物理力学性能检验；钢筋（含焊接与机械连接）力学性能检验；砂、石</w:t>
      </w:r>
      <w:r>
        <w:rPr>
          <w:rFonts w:hint="eastAsia" w:asciiTheme="minorEastAsia" w:hAnsiTheme="minorEastAsia" w:eastAsiaTheme="minorEastAsia" w:cstheme="minorEastAsia"/>
          <w:b w:val="0"/>
          <w:bCs/>
          <w:i w:val="0"/>
          <w:iCs/>
          <w:color w:val="auto"/>
          <w:sz w:val="24"/>
          <w:szCs w:val="24"/>
          <w:highlight w:val="none"/>
        </w:rPr>
        <w:t>水常规检验；砂浆、混凝土配合比及强度检验</w:t>
      </w:r>
      <w:r>
        <w:rPr>
          <w:rFonts w:hint="eastAsia" w:asciiTheme="minorEastAsia" w:hAnsiTheme="minorEastAsia" w:eastAsiaTheme="minorEastAsia" w:cstheme="minorEastAsia"/>
          <w:b w:val="0"/>
          <w:i w:val="0"/>
          <w:color w:val="auto"/>
          <w:sz w:val="24"/>
          <w:szCs w:val="24"/>
          <w:highlight w:val="none"/>
        </w:rPr>
        <w:t>。</w:t>
      </w:r>
    </w:p>
    <w:p>
      <w:pPr>
        <w:pStyle w:val="8"/>
        <w:ind w:left="0" w:leftChars="0" w:firstLine="480" w:firstLineChars="200"/>
        <w:rPr>
          <w:rFonts w:hint="eastAsia" w:ascii="Times New Roman" w:hAnsi="Times New Roman"/>
          <w:color w:val="auto"/>
          <w:highlight w:val="none"/>
          <w:lang w:eastAsia="zh-CN"/>
        </w:rPr>
      </w:pPr>
      <w:r>
        <w:rPr>
          <w:rFonts w:hint="eastAsia" w:ascii="Times New Roman" w:hAnsi="Times New Roman"/>
          <w:color w:val="auto"/>
          <w:highlight w:val="none"/>
        </w:rPr>
        <w:t xml:space="preserve">2.3 </w:t>
      </w:r>
      <w:r>
        <w:rPr>
          <w:rFonts w:hint="eastAsia" w:ascii="Times New Roman" w:hAnsi="Times New Roman"/>
          <w:b/>
          <w:bCs/>
          <w:color w:val="auto"/>
          <w:highlight w:val="none"/>
        </w:rPr>
        <w:t>对侧间隔</w:t>
      </w:r>
      <w:r>
        <w:rPr>
          <w:rFonts w:hint="eastAsia" w:ascii="Times New Roman" w:hAnsi="Times New Roman"/>
          <w:b/>
          <w:bCs/>
          <w:color w:val="auto"/>
          <w:highlight w:val="none"/>
          <w:lang w:val="en-US" w:eastAsia="zh-CN"/>
        </w:rPr>
        <w:t>工程</w:t>
      </w:r>
      <w:r>
        <w:rPr>
          <w:rFonts w:hint="eastAsia" w:ascii="Times New Roman" w:hAnsi="Times New Roman"/>
          <w:b/>
          <w:bCs/>
          <w:color w:val="auto"/>
          <w:highlight w:val="none"/>
          <w:lang w:eastAsia="zh-CN"/>
        </w:rPr>
        <w:t>：</w:t>
      </w:r>
      <w:r>
        <w:rPr>
          <w:rFonts w:hint="eastAsia" w:ascii="Times New Roman" w:hAnsi="Times New Roman"/>
          <w:color w:val="auto"/>
          <w:highlight w:val="none"/>
        </w:rPr>
        <w:t>施工图纸范围内的变电</w:t>
      </w:r>
      <w:r>
        <w:rPr>
          <w:rFonts w:hint="eastAsia" w:ascii="Times New Roman" w:hAnsi="Times New Roman"/>
          <w:color w:val="auto"/>
          <w:highlight w:val="none"/>
          <w:lang w:val="en-US" w:eastAsia="zh-CN"/>
        </w:rPr>
        <w:t>站扩建</w:t>
      </w:r>
      <w:r>
        <w:rPr>
          <w:rFonts w:hint="eastAsia" w:ascii="Calibri" w:hAnsi="Calibri" w:cs="Times New Roman" w:eastAsiaTheme="minorEastAsia"/>
          <w:b w:val="0"/>
          <w:color w:val="auto"/>
          <w:kern w:val="2"/>
          <w:sz w:val="24"/>
          <w:szCs w:val="22"/>
          <w:highlight w:val="none"/>
          <w:lang w:val="en-US" w:eastAsia="zh-CN" w:bidi="ar-SA"/>
        </w:rPr>
        <w:t>的变电</w:t>
      </w:r>
      <w:r>
        <w:rPr>
          <w:rFonts w:hint="eastAsia" w:cs="Times New Roman"/>
          <w:b w:val="0"/>
          <w:color w:val="auto"/>
          <w:kern w:val="2"/>
          <w:sz w:val="24"/>
          <w:szCs w:val="22"/>
          <w:highlight w:val="none"/>
          <w:lang w:val="en-US" w:eastAsia="zh-CN" w:bidi="ar-SA"/>
        </w:rPr>
        <w:t>站</w:t>
      </w:r>
      <w:r>
        <w:rPr>
          <w:rFonts w:hint="eastAsia" w:ascii="Calibri" w:hAnsi="Calibri" w:cs="Times New Roman" w:eastAsiaTheme="minorEastAsia"/>
          <w:b w:val="0"/>
          <w:color w:val="auto"/>
          <w:kern w:val="2"/>
          <w:sz w:val="24"/>
          <w:szCs w:val="22"/>
          <w:highlight w:val="none"/>
          <w:lang w:val="en-US" w:eastAsia="zh-CN" w:bidi="ar-SA"/>
        </w:rPr>
        <w:t>三通一平（含进站道路</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施工期间道路维护、站区树木砍伐、建、构筑物拆除清理）、变电建筑</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站区绿化、白蚁防治</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消防系统、消防器材采购等；站区上方的线路改迁（含10kV线路改迁、380V线路改迁、220V线路改迁、通信线路改迁设备材料费及永久占地费）、办理林木砍伐证件（含林木砍伐设计调查报告编制等）相关手续费、消防验</w:t>
      </w:r>
      <w:r>
        <w:rPr>
          <w:rFonts w:hint="eastAsia" w:ascii="Calibri" w:hAnsi="Calibri" w:cs="Times New Roman"/>
          <w:b w:val="0"/>
          <w:color w:val="auto"/>
          <w:kern w:val="2"/>
          <w:sz w:val="24"/>
          <w:szCs w:val="22"/>
          <w:highlight w:val="none"/>
          <w:lang w:val="en-US" w:eastAsia="zh-CN" w:bidi="ar-SA"/>
        </w:rPr>
        <w:t>收</w:t>
      </w:r>
      <w:r>
        <w:rPr>
          <w:rFonts w:hint="eastAsia" w:ascii="Calibri" w:hAnsi="Calibri" w:cs="Times New Roman" w:eastAsiaTheme="minorEastAsia"/>
          <w:b w:val="0"/>
          <w:color w:val="auto"/>
          <w:kern w:val="2"/>
          <w:sz w:val="24"/>
          <w:szCs w:val="22"/>
          <w:highlight w:val="none"/>
          <w:lang w:val="en-US" w:eastAsia="zh-CN" w:bidi="ar-SA"/>
        </w:rPr>
        <w:t>（通过</w:t>
      </w:r>
      <w:r>
        <w:rPr>
          <w:rFonts w:hint="eastAsia" w:asciiTheme="minorEastAsia" w:hAnsiTheme="minorEastAsia" w:eastAsiaTheme="minorEastAsia" w:cstheme="minorEastAsia"/>
          <w:b w:val="0"/>
          <w:i w:val="0"/>
          <w:color w:val="auto"/>
          <w:sz w:val="24"/>
          <w:szCs w:val="24"/>
          <w:highlight w:val="none"/>
        </w:rPr>
        <w:t>消防验收）</w:t>
      </w:r>
      <w:r>
        <w:rPr>
          <w:rFonts w:hint="eastAsia" w:ascii="Calibri" w:hAnsi="Calibri" w:cs="Times New Roman" w:eastAsiaTheme="minorEastAsia"/>
          <w:b w:val="0"/>
          <w:color w:val="auto"/>
          <w:kern w:val="2"/>
          <w:sz w:val="24"/>
          <w:szCs w:val="22"/>
          <w:highlight w:val="none"/>
          <w:lang w:val="en-US" w:eastAsia="zh-CN" w:bidi="ar-SA"/>
        </w:rPr>
        <w:t>、</w:t>
      </w:r>
      <w:r>
        <w:rPr>
          <w:rFonts w:hint="eastAsia" w:cs="Times New Roman"/>
          <w:b w:val="0"/>
          <w:color w:val="auto"/>
          <w:kern w:val="2"/>
          <w:sz w:val="24"/>
          <w:szCs w:val="22"/>
          <w:highlight w:val="none"/>
          <w:lang w:val="en-US" w:eastAsia="zh-CN" w:bidi="ar-SA"/>
        </w:rPr>
        <w:t>变电站围墙拆建</w:t>
      </w:r>
      <w:r>
        <w:rPr>
          <w:rFonts w:hint="eastAsia" w:ascii="Calibri" w:hAnsi="Calibri" w:cs="Times New Roman" w:eastAsiaTheme="minorEastAsia"/>
          <w:b w:val="0"/>
          <w:color w:val="auto"/>
          <w:kern w:val="2"/>
          <w:sz w:val="24"/>
          <w:szCs w:val="22"/>
          <w:highlight w:val="none"/>
          <w:lang w:val="en-US" w:eastAsia="zh-CN" w:bidi="ar-SA"/>
        </w:rPr>
        <w:t>、站外排水、根系外运（弃土消纳）等涉及的相关手续、边坡施工（含坡面绿化等）；施工过程中产生的所有余土、建筑材料、垃圾的清理及外运工作</w:t>
      </w:r>
      <w:r>
        <w:rPr>
          <w:rFonts w:hint="eastAsia" w:ascii="Calibri" w:hAnsi="Calibri" w:cs="Times New Roman"/>
          <w:b w:val="0"/>
          <w:color w:val="auto"/>
          <w:kern w:val="2"/>
          <w:sz w:val="24"/>
          <w:szCs w:val="22"/>
          <w:highlight w:val="none"/>
          <w:lang w:val="en-US" w:eastAsia="zh-CN" w:bidi="ar-SA"/>
        </w:rPr>
        <w:t>（</w:t>
      </w:r>
      <w:r>
        <w:rPr>
          <w:rFonts w:hint="eastAsia" w:ascii="Calibri" w:hAnsi="Calibri" w:cs="Times New Roman" w:eastAsiaTheme="minorEastAsia"/>
          <w:b w:val="0"/>
          <w:color w:val="auto"/>
          <w:kern w:val="2"/>
          <w:sz w:val="24"/>
          <w:szCs w:val="22"/>
          <w:highlight w:val="none"/>
          <w:lang w:val="en-US" w:eastAsia="zh-CN" w:bidi="ar-SA"/>
        </w:rPr>
        <w:t>消纳）；</w:t>
      </w:r>
      <w:r>
        <w:rPr>
          <w:rFonts w:hint="eastAsia" w:ascii="Calibri" w:hAnsi="Calibri" w:cs="Times New Roman"/>
          <w:b w:val="0"/>
          <w:color w:val="auto"/>
          <w:kern w:val="2"/>
          <w:sz w:val="24"/>
          <w:szCs w:val="22"/>
          <w:highlight w:val="none"/>
          <w:lang w:val="en-US" w:eastAsia="zh-CN" w:bidi="ar-SA"/>
        </w:rPr>
        <w:t>负责</w:t>
      </w:r>
      <w:r>
        <w:rPr>
          <w:rFonts w:hint="eastAsia" w:ascii="Calibri" w:hAnsi="Calibri" w:cs="Times New Roman" w:eastAsiaTheme="minorEastAsia"/>
          <w:b w:val="0"/>
          <w:color w:val="auto"/>
          <w:kern w:val="2"/>
          <w:sz w:val="24"/>
          <w:szCs w:val="22"/>
          <w:highlight w:val="none"/>
          <w:lang w:val="en-US" w:eastAsia="zh-CN" w:bidi="ar-SA"/>
        </w:rPr>
        <w:t>桩基检测</w:t>
      </w:r>
      <w:r>
        <w:rPr>
          <w:rFonts w:hint="eastAsia" w:ascii="Calibri" w:hAnsi="Calibri" w:cs="Times New Roman"/>
          <w:b w:val="0"/>
          <w:color w:val="auto"/>
          <w:kern w:val="2"/>
          <w:sz w:val="24"/>
          <w:szCs w:val="22"/>
          <w:highlight w:val="none"/>
          <w:lang w:val="en-US" w:eastAsia="zh-CN" w:bidi="ar-SA"/>
        </w:rPr>
        <w:t>前的</w:t>
      </w:r>
      <w:r>
        <w:rPr>
          <w:rFonts w:hint="eastAsia" w:ascii="Calibri" w:hAnsi="Calibri" w:cs="Times New Roman" w:eastAsiaTheme="minorEastAsia"/>
          <w:b w:val="0"/>
          <w:color w:val="auto"/>
          <w:kern w:val="2"/>
          <w:sz w:val="24"/>
          <w:szCs w:val="22"/>
          <w:highlight w:val="none"/>
          <w:lang w:val="en-US" w:eastAsia="zh-CN" w:bidi="ar-SA"/>
        </w:rPr>
        <w:t>破桩头、桩帽施工；临时用地附着物赔偿，施工临时用地复绿，确保项目环评水保验收通过；智慧工程配套设施配置的临时用房。</w:t>
      </w:r>
      <w:r>
        <w:rPr>
          <w:rFonts w:hint="eastAsia" w:ascii="Calibri" w:hAnsi="Calibri" w:cs="Times New Roman"/>
          <w:b w:val="0"/>
          <w:color w:val="auto"/>
          <w:kern w:val="2"/>
          <w:sz w:val="24"/>
          <w:szCs w:val="22"/>
          <w:highlight w:val="none"/>
          <w:lang w:val="en-US" w:eastAsia="zh-CN" w:bidi="ar-SA"/>
        </w:rPr>
        <w:t>甲供</w:t>
      </w:r>
      <w:r>
        <w:rPr>
          <w:rFonts w:hint="eastAsia" w:ascii="Calibri" w:hAnsi="Calibri" w:cs="Times New Roman" w:eastAsiaTheme="minorEastAsia"/>
          <w:b w:val="0"/>
          <w:color w:val="auto"/>
          <w:kern w:val="2"/>
          <w:sz w:val="24"/>
          <w:szCs w:val="22"/>
          <w:highlight w:val="none"/>
          <w:lang w:val="en-US" w:eastAsia="zh-CN" w:bidi="ar-SA"/>
        </w:rPr>
        <w:t>物资到货验收、卸车保管(含设置临时仓库)、二次倒运</w:t>
      </w:r>
      <w:r>
        <w:rPr>
          <w:rFonts w:hint="eastAsia" w:ascii="Calibri" w:hAnsi="Calibri" w:cs="Times New Roman"/>
          <w:b w:val="0"/>
          <w:color w:val="auto"/>
          <w:kern w:val="2"/>
          <w:sz w:val="24"/>
          <w:szCs w:val="22"/>
          <w:highlight w:val="none"/>
          <w:lang w:val="en-US" w:eastAsia="zh-CN" w:bidi="ar-SA"/>
        </w:rPr>
        <w:t>等。</w:t>
      </w:r>
      <w:r>
        <w:rPr>
          <w:rFonts w:hint="eastAsia" w:ascii="Times New Roman" w:hAnsi="Times New Roman"/>
          <w:color w:val="auto"/>
          <w:highlight w:val="none"/>
          <w:lang w:eastAsia="zh-CN"/>
        </w:rPr>
        <w:t>。</w:t>
      </w:r>
    </w:p>
    <w:p>
      <w:pPr>
        <w:pStyle w:val="8"/>
        <w:ind w:left="0" w:leftChars="0" w:firstLine="480" w:firstLineChars="200"/>
        <w:rPr>
          <w:rFonts w:hint="eastAsia" w:ascii="Times New Roman" w:hAnsi="Times New Roman"/>
          <w:color w:val="auto"/>
          <w:highlight w:val="none"/>
        </w:rPr>
      </w:pPr>
      <w:r>
        <w:rPr>
          <w:rFonts w:hint="eastAsia" w:ascii="Times New Roman" w:hAnsi="Times New Roman"/>
          <w:color w:val="auto"/>
          <w:highlight w:val="none"/>
        </w:rPr>
        <w:t>安装及调试工程，间隔一次、二次、通信等变电站工程对应设备的系统联调，扩建工程中的一、二次及通信设备拆除，五防锁具软件升级采购及接入系统调试，计算机监控系统</w:t>
      </w:r>
      <w:r>
        <w:rPr>
          <w:rFonts w:hint="eastAsia" w:ascii="Times New Roman" w:hAnsi="Times New Roman"/>
          <w:color w:val="auto"/>
          <w:highlight w:val="none"/>
          <w:lang w:val="en-US" w:eastAsia="zh-CN"/>
        </w:rPr>
        <w:t>修改</w:t>
      </w:r>
      <w:r>
        <w:rPr>
          <w:rFonts w:hint="eastAsia" w:ascii="Times New Roman" w:hAnsi="Times New Roman"/>
          <w:color w:val="auto"/>
          <w:highlight w:val="none"/>
        </w:rPr>
        <w:t>完善，电能计量系统</w:t>
      </w:r>
      <w:r>
        <w:rPr>
          <w:rFonts w:hint="eastAsia" w:ascii="Times New Roman" w:hAnsi="Times New Roman"/>
          <w:color w:val="auto"/>
          <w:highlight w:val="none"/>
          <w:lang w:val="en-US" w:eastAsia="zh-CN"/>
        </w:rPr>
        <w:t>修改</w:t>
      </w:r>
      <w:r>
        <w:rPr>
          <w:rFonts w:hint="eastAsia" w:ascii="Times New Roman" w:hAnsi="Times New Roman"/>
          <w:color w:val="auto"/>
          <w:highlight w:val="none"/>
        </w:rPr>
        <w:t>完善，保护信息管理子站系统</w:t>
      </w:r>
      <w:r>
        <w:rPr>
          <w:rFonts w:hint="eastAsia" w:ascii="Times New Roman" w:hAnsi="Times New Roman"/>
          <w:color w:val="auto"/>
          <w:highlight w:val="none"/>
          <w:lang w:val="en-US" w:eastAsia="zh-CN"/>
        </w:rPr>
        <w:t>修改</w:t>
      </w:r>
      <w:r>
        <w:rPr>
          <w:rFonts w:hint="eastAsia" w:ascii="Times New Roman" w:hAnsi="Times New Roman"/>
          <w:color w:val="auto"/>
          <w:highlight w:val="none"/>
        </w:rPr>
        <w:t>完善、监控后台信息更改、远动信息系统、安稳系统、行波测距、保信（含录波装置）系统信息更改、二次设备线路名称更改、电缆标牌更换、间隔线标识更换，光通道调试，间隔名调整，</w:t>
      </w:r>
      <w:r>
        <w:rPr>
          <w:rFonts w:hint="eastAsia" w:asciiTheme="minorEastAsia" w:hAnsiTheme="minorEastAsia" w:eastAsiaTheme="minorEastAsia" w:cstheme="minorEastAsia"/>
          <w:b w:val="0"/>
          <w:i w:val="0"/>
          <w:color w:val="auto"/>
          <w:sz w:val="24"/>
          <w:szCs w:val="24"/>
          <w:highlight w:val="none"/>
        </w:rPr>
        <w:t>安健环设施的购置和安装</w:t>
      </w:r>
      <w:r>
        <w:rPr>
          <w:rFonts w:hint="eastAsia" w:asciiTheme="minorEastAsia" w:hAnsiTheme="minorEastAsia" w:cstheme="minorEastAsia"/>
          <w:b w:val="0"/>
          <w:i w:val="0"/>
          <w:color w:val="auto"/>
          <w:sz w:val="24"/>
          <w:szCs w:val="24"/>
          <w:highlight w:val="none"/>
          <w:lang w:eastAsia="zh-CN"/>
        </w:rPr>
        <w:t>，</w:t>
      </w:r>
      <w:r>
        <w:rPr>
          <w:rFonts w:hint="eastAsia" w:ascii="Times New Roman" w:hAnsi="Times New Roman"/>
          <w:color w:val="auto"/>
          <w:highlight w:val="none"/>
        </w:rPr>
        <w:t>保护调试，光纤熔接及光通道调试，物资到货验收、卸车保管、二次倒运，设备搬迁，余物清理（包括工程拆除及清理），拆除设备、材料运输至玉林供电局仓库，电子化移交数据采集、资产录入等外业工作，安全生产管理系统输电设备台账录入；</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中标单位负责厂家安装调试</w:t>
      </w:r>
      <w:r>
        <w:rPr>
          <w:rFonts w:hint="eastAsia" w:asciiTheme="minorEastAsia" w:hAnsiTheme="minorEastAsia" w:cstheme="minorEastAsia"/>
          <w:b w:val="0"/>
          <w:bCs/>
          <w:i w:val="0"/>
          <w:iCs/>
          <w:color w:val="auto"/>
          <w:kern w:val="2"/>
          <w:sz w:val="24"/>
          <w:szCs w:val="24"/>
          <w:highlight w:val="none"/>
          <w:lang w:val="en-US" w:eastAsia="zh-CN" w:bidi="ar-SA"/>
        </w:rPr>
        <w:t>工作</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的现场组织、协调、管理工作，负责跟踪厂家安装设备验收整改问题及闭环</w:t>
      </w:r>
      <w:r>
        <w:rPr>
          <w:rFonts w:hint="eastAsia" w:ascii="Times New Roman" w:hAnsi="Times New Roman"/>
          <w:color w:val="auto"/>
          <w:highlight w:val="none"/>
          <w:lang w:eastAsia="zh-CN"/>
        </w:rPr>
        <w:t>。</w:t>
      </w:r>
      <w:r>
        <w:rPr>
          <w:rFonts w:hint="eastAsia" w:ascii="Times New Roman" w:hAnsi="Times New Roman"/>
          <w:color w:val="auto"/>
          <w:highlight w:val="none"/>
        </w:rPr>
        <w:t>整套启动试运工作。</w:t>
      </w:r>
    </w:p>
    <w:p>
      <w:pPr>
        <w:pStyle w:val="8"/>
        <w:ind w:firstLine="480"/>
        <w:rPr>
          <w:rFonts w:hint="eastAsia" w:ascii="Times New Roman" w:hAnsi="Times New Roman"/>
          <w:color w:val="auto"/>
          <w:highlight w:val="none"/>
        </w:rPr>
      </w:pPr>
      <w:r>
        <w:rPr>
          <w:rFonts w:hint="eastAsia" w:ascii="Times New Roman" w:hAnsi="Times New Roman"/>
          <w:color w:val="auto"/>
          <w:highlight w:val="none"/>
        </w:rPr>
        <w:t>不包括：其他费用中的建设场地征用、设备、水土保持项目验收及补偿等其他工作。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8"/>
        <w:ind w:firstLine="480"/>
        <w:rPr>
          <w:rFonts w:hint="eastAsia" w:ascii="Times New Roman" w:hAnsi="Times New Roman"/>
          <w:color w:val="auto"/>
          <w:highlight w:val="none"/>
        </w:rPr>
      </w:pPr>
      <w:r>
        <w:rPr>
          <w:rFonts w:hint="eastAsia" w:ascii="Times New Roman" w:hAnsi="Times New Roman"/>
          <w:color w:val="auto"/>
          <w:highlight w:val="none"/>
        </w:rPr>
        <w:t>见证取样检测：</w:t>
      </w:r>
      <w:r>
        <w:rPr>
          <w:rFonts w:hint="eastAsia" w:asciiTheme="minorEastAsia" w:hAnsiTheme="minorEastAsia" w:eastAsiaTheme="minorEastAsia" w:cstheme="minorEastAsia"/>
          <w:b w:val="0"/>
          <w:i w:val="0"/>
          <w:color w:val="auto"/>
          <w:sz w:val="24"/>
          <w:szCs w:val="24"/>
          <w:highlight w:val="none"/>
        </w:rPr>
        <w:t>水泥物理力学性能检验；钢筋（含焊接与机械连接）力学性能检验；</w:t>
      </w:r>
      <w:r>
        <w:rPr>
          <w:rFonts w:hint="eastAsia" w:asciiTheme="minorEastAsia" w:hAnsiTheme="minorEastAsia" w:cstheme="minorEastAsia"/>
          <w:b w:val="0"/>
          <w:i w:val="0"/>
          <w:color w:val="auto"/>
          <w:sz w:val="24"/>
          <w:szCs w:val="24"/>
          <w:highlight w:val="none"/>
          <w:lang w:eastAsia="zh-CN"/>
        </w:rPr>
        <w:t>砼搅拌用水、</w:t>
      </w:r>
      <w:r>
        <w:rPr>
          <w:rFonts w:hint="eastAsia" w:asciiTheme="minorEastAsia" w:hAnsiTheme="minorEastAsia" w:eastAsiaTheme="minorEastAsia" w:cstheme="minorEastAsia"/>
          <w:b w:val="0"/>
          <w:i w:val="0"/>
          <w:color w:val="auto"/>
          <w:sz w:val="24"/>
          <w:szCs w:val="24"/>
          <w:highlight w:val="none"/>
        </w:rPr>
        <w:t>砂、石</w:t>
      </w:r>
      <w:r>
        <w:rPr>
          <w:rFonts w:hint="eastAsia" w:asciiTheme="minorEastAsia" w:hAnsiTheme="minorEastAsia" w:cstheme="minorEastAsia"/>
          <w:b w:val="0"/>
          <w:i w:val="0"/>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水常规检验；砂浆、混凝土配合比及强度检验</w:t>
      </w:r>
      <w:r>
        <w:rPr>
          <w:rFonts w:hint="eastAsia" w:ascii="Times New Roman" w:hAnsi="Times New Roman"/>
          <w:color w:val="auto"/>
          <w:highlight w:val="none"/>
        </w:rPr>
        <w:t>。</w:t>
      </w:r>
    </w:p>
    <w:p>
      <w:pPr>
        <w:pStyle w:val="8"/>
        <w:ind w:firstLine="480"/>
        <w:rPr>
          <w:rFonts w:hint="eastAsia" w:ascii="Times New Roman" w:hAnsi="Times New Roman"/>
          <w:color w:val="auto"/>
          <w:highlight w:val="none"/>
        </w:rPr>
      </w:pPr>
    </w:p>
    <w:p>
      <w:pPr>
        <w:pStyle w:val="8"/>
        <w:ind w:left="0" w:leftChars="0" w:firstLine="482" w:firstLineChars="200"/>
        <w:rPr>
          <w:rFonts w:hint="eastAsia" w:ascii="Times New Roman" w:hAnsi="Times New Roman"/>
          <w:color w:val="auto"/>
          <w:highlight w:val="none"/>
        </w:rPr>
      </w:pPr>
      <w:r>
        <w:rPr>
          <w:rFonts w:hint="eastAsia" w:ascii="Times New Roman" w:hAnsi="Times New Roman"/>
          <w:b/>
          <w:bCs/>
          <w:color w:val="auto"/>
          <w:highlight w:val="none"/>
        </w:rPr>
        <w:t>2.4</w:t>
      </w:r>
      <w:r>
        <w:rPr>
          <w:rFonts w:hint="eastAsia" w:ascii="Times New Roman" w:hAnsi="Times New Roman"/>
          <w:b/>
          <w:bCs/>
          <w:color w:val="auto"/>
          <w:highlight w:val="none"/>
          <w:lang w:eastAsia="zh-CN"/>
        </w:rPr>
        <w:t>成均～兴业220kV线路工程、</w:t>
      </w:r>
      <w:r>
        <w:rPr>
          <w:rFonts w:hint="eastAsia" w:ascii="宋体" w:hAnsi="宋体" w:cs="宋体"/>
          <w:b/>
          <w:bCs/>
          <w:snapToGrid w:val="0"/>
          <w:color w:val="auto"/>
          <w:kern w:val="0"/>
          <w:sz w:val="24"/>
          <w:szCs w:val="24"/>
          <w:highlight w:val="none"/>
          <w:u w:val="none"/>
          <w:lang w:val="en-US" w:eastAsia="zh-CN" w:bidi="ar-SA"/>
        </w:rPr>
        <w:t>成均（铁联）站π接力园～筑路牵220kV线路工程</w:t>
      </w:r>
      <w:r>
        <w:rPr>
          <w:rFonts w:hint="eastAsia" w:ascii="Times New Roman" w:hAnsi="Times New Roman"/>
          <w:b/>
          <w:bCs/>
          <w:color w:val="auto"/>
          <w:highlight w:val="none"/>
          <w:lang w:eastAsia="zh-CN"/>
        </w:rPr>
        <w:t>：</w:t>
      </w:r>
      <w:r>
        <w:rPr>
          <w:rFonts w:hint="eastAsia" w:ascii="Times New Roman" w:hAnsi="Times New Roman"/>
          <w:color w:val="auto"/>
          <w:highlight w:val="none"/>
        </w:rPr>
        <w:t>施工图纸范围内的架空送电线路安装、调试工程。包括但不限于：线路本体工程、双回路相序进行调整、旧线路导线和地线弧垂调整、辅助施工费用、跨越</w:t>
      </w:r>
      <w:r>
        <w:rPr>
          <w:rFonts w:hint="eastAsia" w:asciiTheme="minorEastAsia" w:hAnsiTheme="minorEastAsia" w:eastAsiaTheme="minorEastAsia" w:cstheme="minorEastAsia"/>
          <w:b w:val="0"/>
          <w:bCs/>
          <w:i w:val="0"/>
          <w:iCs/>
          <w:color w:val="auto"/>
          <w:sz w:val="24"/>
          <w:szCs w:val="24"/>
          <w:highlight w:val="none"/>
          <w:lang w:eastAsia="zh-CN"/>
        </w:rPr>
        <w:t>铁路（</w:t>
      </w:r>
      <w:r>
        <w:rPr>
          <w:rFonts w:hint="eastAsia" w:asciiTheme="minorEastAsia" w:hAnsiTheme="minorEastAsia" w:eastAsiaTheme="minorEastAsia" w:cstheme="minorEastAsia"/>
          <w:b w:val="0"/>
          <w:bCs/>
          <w:i w:val="0"/>
          <w:iCs/>
          <w:color w:val="auto"/>
          <w:sz w:val="24"/>
          <w:szCs w:val="24"/>
          <w:highlight w:val="none"/>
          <w:lang w:val="en-US" w:eastAsia="zh-CN"/>
        </w:rPr>
        <w:t>预绞丝铠装保护条防护措施）</w:t>
      </w:r>
      <w:r>
        <w:rPr>
          <w:rFonts w:hint="eastAsia" w:ascii="Times New Roman" w:hAnsi="Times New Roman"/>
          <w:color w:val="auto"/>
          <w:highlight w:val="none"/>
        </w:rPr>
        <w:t>及河流封航、高速公路、电力线等各种跨越工程及其建设许可报批</w:t>
      </w:r>
      <w:r>
        <w:rPr>
          <w:rFonts w:hint="eastAsia" w:asciiTheme="minorEastAsia" w:hAnsi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航道测量费、安全论证费</w:t>
      </w:r>
      <w:r>
        <w:rPr>
          <w:rFonts w:hint="eastAsia" w:ascii="Times New Roman" w:hAnsi="Times New Roman"/>
          <w:color w:val="auto"/>
          <w:highlight w:val="none"/>
        </w:rPr>
        <w:t>，OPGW光缆架设（含光纤架设、光缆现场单盘开箱检验、金具及附件现场开箱检验、光缆单盘测试、光缆架设、导引（管道）光缆安装、光纤接头标识、光缆熔接、光缆接续及测量、光缆全程接续点单向衰耗测试、光缆全程接续点双向平均衰耗测试等），杆塔五牌（杆号牌、相序牌、警示牌、光缆牌、直升机巡视牌</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含牌框</w:t>
      </w:r>
      <w:r>
        <w:rPr>
          <w:rFonts w:hint="eastAsia" w:ascii="Times New Roman" w:hAnsi="Times New Roman"/>
          <w:color w:val="auto"/>
          <w:highlight w:val="none"/>
        </w:rPr>
        <w:t>）安装，杆塔双回路色标牌安装，运行杆号、警示标志喷漆，旧</w:t>
      </w:r>
      <w:r>
        <w:rPr>
          <w:rFonts w:hint="eastAsia" w:ascii="Times New Roman" w:hAnsi="Times New Roman"/>
          <w:color w:val="auto"/>
          <w:highlight w:val="none"/>
          <w:lang w:val="en-US" w:eastAsia="zh-CN"/>
        </w:rPr>
        <w:t>线路</w:t>
      </w:r>
      <w:r>
        <w:rPr>
          <w:rFonts w:hint="eastAsia" w:ascii="Times New Roman" w:hAnsi="Times New Roman"/>
          <w:color w:val="auto"/>
          <w:highlight w:val="none"/>
        </w:rPr>
        <w:t>杆号牌</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含牌框）</w:t>
      </w:r>
      <w:r>
        <w:rPr>
          <w:rFonts w:hint="eastAsia" w:ascii="Times New Roman" w:hAnsi="Times New Roman"/>
          <w:color w:val="auto"/>
          <w:highlight w:val="none"/>
        </w:rPr>
        <w:t>采购及安装，辅助施工费用，施工道路修筑（考虑桩基进场），跨越油气管道评估、排流措施、检测测试；各种跨越工程手续办理</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包含不限于安全监护费等）</w:t>
      </w:r>
      <w:r>
        <w:rPr>
          <w:rFonts w:hint="eastAsia" w:ascii="Times New Roman" w:hAnsi="Times New Roman"/>
          <w:color w:val="auto"/>
          <w:highlight w:val="none"/>
        </w:rPr>
        <w:t>，电力线、通信线迁移，拆除π接原线路余物清理（包括工程拆除及清理），拆除物资运回玉林供电局仓库；负责导、地线拉力试验；</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中标单位负责现场组织、管理X光等各项检测工作</w:t>
      </w:r>
      <w:r>
        <w:rPr>
          <w:rFonts w:hint="eastAsia" w:ascii="Times New Roman" w:hAnsi="Times New Roman"/>
          <w:color w:val="auto"/>
          <w:highlight w:val="none"/>
        </w:rPr>
        <w:t>，按建设单位要求见证取样、其他检测送至甲方委托检测单位；附属设施安装</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调试</w:t>
      </w:r>
      <w:r>
        <w:rPr>
          <w:rFonts w:hint="eastAsia" w:ascii="Times New Roman" w:hAnsi="Times New Roman"/>
          <w:color w:val="auto"/>
          <w:highlight w:val="none"/>
        </w:rPr>
        <w:t>（包括：综合在线监测装置、绝缘子污秽监测装置、分布式故障定位系统、线路避雷器、微气象在线监测装置、跨越铁路安全警示牌），电子化移交数据采集、资产录等入外业工作，安全生产管理系统输电设备台账录入；建设场地征用及清理费用编制结算工作，按3C绿色电网建设要求对余土进行处理，钻孔桩泥浆外运处理，塔基及弃土区植被恢复。线路通道树木砍伐人工费及办理林木砍伐证件（含林木砍伐设计调查报告编制等）相关手续费，钢管杆施工修路及附作物赔偿费，施工临时用地补偿费用（包含牵张场地、施工中因运输、堆放材料、机具，开挖基础土石方，开挖接地槽土石方，施工基础、组立杆塔过程中临时占用场地青苗赔偿、清理、复垦工作等相关费用），线路工程征地拆迁补偿工作服务（含沿线地方政府按公里或塔位收取的协调费）。线路参数测试，整套启动试运行。项目创优工作（含广西级、南网级、行优、国优等，包括创优材料准备、会务准备、专家费等工作）包含在报价中考虑。</w:t>
      </w:r>
    </w:p>
    <w:p>
      <w:pPr>
        <w:pStyle w:val="8"/>
        <w:ind w:firstLine="480"/>
        <w:rPr>
          <w:rFonts w:hint="eastAsia" w:ascii="Times New Roman" w:hAnsi="Times New Roman"/>
          <w:color w:val="auto"/>
          <w:highlight w:val="none"/>
        </w:rPr>
      </w:pPr>
      <w:r>
        <w:rPr>
          <w:rFonts w:hint="eastAsia" w:ascii="Times New Roman" w:hAnsi="Times New Roman"/>
          <w:color w:val="auto"/>
          <w:highlight w:val="none"/>
        </w:rPr>
        <w:t>不包括：杆塔占地及附着物补偿费、护坡挡土墙和排水沟的占地及附着物补偿费、线路走廊青苗补偿费及树木砍伐补偿费、森林植被恢复费、坟墓迁移补偿费、养殖池（塘）补偿费、宅基地补偿费、厂矿场和房屋等不动产类拆迁补偿等费用、巡线与检修站工程。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8"/>
        <w:ind w:firstLine="480"/>
        <w:rPr>
          <w:rFonts w:hint="eastAsia" w:ascii="Times New Roman" w:hAnsi="Times New Roman"/>
          <w:color w:val="auto"/>
          <w:highlight w:val="none"/>
        </w:rPr>
      </w:pPr>
      <w:r>
        <w:rPr>
          <w:rFonts w:hint="eastAsia" w:ascii="Times New Roman" w:hAnsi="Times New Roman"/>
          <w:color w:val="auto"/>
          <w:highlight w:val="none"/>
        </w:rPr>
        <w:t>（1）专项检测：场地土方回填试验（击实试验、压实度试验）；钢筋混凝土实体监测(钢筋保护层厚度、混凝土强度、尺寸偏差)；桩基础检测(承载力、桩身完整性)；地基承载力检测；</w:t>
      </w:r>
      <w:r>
        <w:rPr>
          <w:rFonts w:hint="eastAsia" w:asciiTheme="minorEastAsia" w:hAnsiTheme="minorEastAsia" w:eastAsiaTheme="minorEastAsia" w:cstheme="minorEastAsia"/>
          <w:b w:val="0"/>
          <w:bCs/>
          <w:i w:val="0"/>
          <w:iCs/>
          <w:color w:val="auto"/>
          <w:sz w:val="24"/>
          <w:szCs w:val="24"/>
          <w:highlight w:val="none"/>
          <w:lang w:val="en-US" w:eastAsia="zh-CN"/>
        </w:rPr>
        <w:t>直线管、</w:t>
      </w:r>
      <w:r>
        <w:rPr>
          <w:rFonts w:hint="eastAsia" w:ascii="Times New Roman" w:hAnsi="Times New Roman"/>
          <w:color w:val="auto"/>
          <w:highlight w:val="none"/>
        </w:rPr>
        <w:t>耐张线夹X光检测。</w:t>
      </w:r>
    </w:p>
    <w:p>
      <w:pPr>
        <w:pStyle w:val="8"/>
        <w:ind w:firstLine="480"/>
        <w:rPr>
          <w:rFonts w:hint="eastAsia" w:ascii="Times New Roman" w:hAnsi="Times New Roman"/>
          <w:color w:val="auto"/>
          <w:highlight w:val="none"/>
        </w:rPr>
      </w:pPr>
      <w:r>
        <w:rPr>
          <w:rFonts w:hint="eastAsia" w:ascii="Times New Roman" w:hAnsi="Times New Roman"/>
          <w:color w:val="auto"/>
          <w:highlight w:val="none"/>
        </w:rPr>
        <w:t>（2）见证取样检测：水泥物理力学性能检验；钢筋（含焊接与机械连接）力学性能检验；</w:t>
      </w:r>
      <w:r>
        <w:rPr>
          <w:rFonts w:hint="eastAsia" w:asciiTheme="minorEastAsia" w:hAnsiTheme="minorEastAsia" w:cstheme="minorEastAsia"/>
          <w:b w:val="0"/>
          <w:i w:val="0"/>
          <w:color w:val="auto"/>
          <w:sz w:val="24"/>
          <w:szCs w:val="24"/>
          <w:highlight w:val="none"/>
          <w:lang w:eastAsia="zh-CN"/>
        </w:rPr>
        <w:t>砼搅拌用水、</w:t>
      </w:r>
      <w:r>
        <w:rPr>
          <w:rFonts w:hint="eastAsia" w:ascii="Times New Roman" w:hAnsi="Times New Roman"/>
          <w:color w:val="auto"/>
          <w:highlight w:val="none"/>
        </w:rPr>
        <w:t>砂、石常规检验；混凝土、砂浆强度检验。</w:t>
      </w:r>
    </w:p>
    <w:p>
      <w:pPr>
        <w:pStyle w:val="8"/>
        <w:ind w:firstLine="480"/>
        <w:rPr>
          <w:rFonts w:hint="eastAsia" w:ascii="Times New Roman" w:hAnsi="Times New Roman"/>
          <w:color w:val="auto"/>
          <w:highlight w:val="none"/>
        </w:rPr>
      </w:pPr>
    </w:p>
    <w:p>
      <w:pPr>
        <w:pStyle w:val="3"/>
        <w:ind w:left="0" w:leftChars="0" w:firstLine="482" w:firstLineChars="20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三、特殊调试清单</w:t>
      </w:r>
    </w:p>
    <w:p>
      <w:pPr>
        <w:autoSpaceDE w:val="0"/>
        <w:autoSpaceDN w:val="0"/>
        <w:spacing w:line="360" w:lineRule="auto"/>
        <w:ind w:firstLine="480" w:firstLineChars="20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特殊调试项目明细表</w:t>
      </w:r>
    </w:p>
    <w:tbl>
      <w:tblPr>
        <w:tblStyle w:val="12"/>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ind w:left="0" w:leftChars="0" w:firstLine="0" w:firstLineChars="0"/>
              <w:jc w:val="both"/>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序号</w:t>
            </w:r>
          </w:p>
        </w:tc>
        <w:tc>
          <w:tcPr>
            <w:tcW w:w="5610" w:type="dxa"/>
            <w:vAlign w:val="center"/>
          </w:tcPr>
          <w:p>
            <w:pPr>
              <w:autoSpaceDE w:val="0"/>
              <w:autoSpaceDN w:val="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特殊调试项目</w:t>
            </w:r>
          </w:p>
        </w:tc>
        <w:tc>
          <w:tcPr>
            <w:tcW w:w="2220" w:type="dxa"/>
            <w:vAlign w:val="center"/>
          </w:tcPr>
          <w:p>
            <w:pPr>
              <w:autoSpaceDE w:val="0"/>
              <w:autoSpaceDN w:val="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5610" w:type="dxa"/>
            <w:vAlign w:val="center"/>
          </w:tcPr>
          <w:p>
            <w:pPr>
              <w:autoSpaceDE w:val="0"/>
              <w:autoSpaceDN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根据规程规范及南方电网公司反措要求试验调试</w:t>
            </w:r>
          </w:p>
        </w:tc>
        <w:tc>
          <w:tcPr>
            <w:tcW w:w="2220" w:type="dxa"/>
            <w:vAlign w:val="center"/>
          </w:tcPr>
          <w:p>
            <w:pPr>
              <w:autoSpaceDE w:val="0"/>
              <w:autoSpaceDN w:val="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r>
    </w:tbl>
    <w:p>
      <w:pPr>
        <w:pStyle w:val="3"/>
        <w:ind w:left="0" w:leftChars="0" w:firstLine="480" w:firstLineChars="0"/>
        <w:rPr>
          <w:rFonts w:hint="eastAsia" w:eastAsiaTheme="minorEastAsia"/>
          <w:color w:val="auto"/>
          <w:highlight w:val="none"/>
          <w:lang w:eastAsia="zh-CN"/>
        </w:rPr>
      </w:pPr>
      <w:r>
        <w:rPr>
          <w:rFonts w:hint="eastAsia"/>
          <w:color w:val="auto"/>
          <w:highlight w:val="none"/>
          <w:lang w:val="en-US" w:eastAsia="zh-CN"/>
        </w:rPr>
        <w:t>四</w:t>
      </w:r>
      <w:r>
        <w:rPr>
          <w:rFonts w:hint="eastAsia"/>
          <w:color w:val="auto"/>
          <w:highlight w:val="none"/>
        </w:rPr>
        <w:t>、承包方式</w:t>
      </w:r>
      <w:r>
        <w:rPr>
          <w:rFonts w:hint="eastAsia"/>
          <w:color w:val="auto"/>
          <w:highlight w:val="none"/>
          <w:lang w:eastAsia="zh-CN"/>
        </w:rPr>
        <w:t>：</w:t>
      </w:r>
      <w:r>
        <w:rPr>
          <w:rFonts w:hint="eastAsia"/>
          <w:color w:val="auto"/>
          <w:highlight w:val="none"/>
        </w:rPr>
        <w:t>包工、部分包料</w:t>
      </w:r>
      <w:r>
        <w:rPr>
          <w:rFonts w:hint="eastAsia"/>
          <w:color w:val="auto"/>
          <w:highlight w:val="none"/>
          <w:lang w:eastAsia="zh-CN"/>
        </w:rPr>
        <w:t>。</w:t>
      </w:r>
    </w:p>
    <w:p>
      <w:pPr>
        <w:pStyle w:val="3"/>
        <w:ind w:firstLine="643"/>
        <w:rPr>
          <w:color w:val="auto"/>
          <w:sz w:val="28"/>
          <w:szCs w:val="28"/>
          <w:highlight w:val="none"/>
        </w:rPr>
      </w:pPr>
      <w:r>
        <w:rPr>
          <w:rFonts w:hint="eastAsia"/>
          <w:color w:val="auto"/>
          <w:sz w:val="24"/>
          <w:szCs w:val="24"/>
          <w:highlight w:val="none"/>
          <w:lang w:val="en-US" w:eastAsia="zh-CN"/>
        </w:rPr>
        <w:t>甲乙供</w:t>
      </w:r>
      <w:r>
        <w:rPr>
          <w:rFonts w:hint="eastAsia"/>
          <w:color w:val="auto"/>
          <w:sz w:val="24"/>
          <w:szCs w:val="24"/>
          <w:highlight w:val="none"/>
        </w:rPr>
        <w:t>物资清单划分</w:t>
      </w:r>
    </w:p>
    <w:p>
      <w:pPr>
        <w:pStyle w:val="2"/>
        <w:spacing w:before="156" w:after="156"/>
        <w:ind w:firstLine="482"/>
        <w:rPr>
          <w:color w:val="auto"/>
          <w:highlight w:val="none"/>
        </w:rPr>
      </w:pPr>
      <w:r>
        <w:rPr>
          <w:rFonts w:hint="eastAsia"/>
          <w:color w:val="auto"/>
          <w:highlight w:val="none"/>
          <w:lang w:val="en-US" w:eastAsia="zh-CN"/>
        </w:rPr>
        <w:t>4</w:t>
      </w:r>
      <w:r>
        <w:rPr>
          <w:rFonts w:hint="eastAsia"/>
          <w:color w:val="auto"/>
          <w:highlight w:val="none"/>
        </w:rPr>
        <w:t xml:space="preserve">.1 </w:t>
      </w:r>
      <w:r>
        <w:rPr>
          <w:rFonts w:hint="eastAsia"/>
          <w:color w:val="auto"/>
          <w:highlight w:val="none"/>
          <w:lang w:val="en-US" w:eastAsia="zh-CN"/>
        </w:rPr>
        <w:t xml:space="preserve">  22</w:t>
      </w:r>
      <w:r>
        <w:rPr>
          <w:rFonts w:hint="eastAsia"/>
          <w:color w:val="auto"/>
          <w:highlight w:val="none"/>
        </w:rPr>
        <w:t>0kV</w:t>
      </w:r>
      <w:r>
        <w:rPr>
          <w:rFonts w:hint="eastAsia"/>
          <w:color w:val="auto"/>
          <w:highlight w:val="none"/>
          <w:lang w:val="en-US" w:eastAsia="zh-CN"/>
        </w:rPr>
        <w:t>成均（铁联）</w:t>
      </w:r>
      <w:r>
        <w:rPr>
          <w:rFonts w:hint="eastAsia"/>
          <w:color w:val="auto"/>
          <w:highlight w:val="none"/>
        </w:rPr>
        <w:t>变电站工程</w:t>
      </w:r>
    </w:p>
    <w:p>
      <w:pPr>
        <w:ind w:firstLine="482"/>
        <w:jc w:val="center"/>
        <w:rPr>
          <w:b/>
          <w:color w:val="auto"/>
          <w:highlight w:val="none"/>
        </w:rPr>
      </w:pPr>
      <w:r>
        <w:rPr>
          <w:rFonts w:hint="eastAsia"/>
          <w:b/>
          <w:color w:val="auto"/>
          <w:highlight w:val="none"/>
        </w:rPr>
        <w:t>招标人提供的设备、材料清单</w:t>
      </w:r>
    </w:p>
    <w:tbl>
      <w:tblPr>
        <w:tblStyle w:val="12"/>
        <w:tblW w:w="9954" w:type="dxa"/>
        <w:jc w:val="center"/>
        <w:tblLayout w:type="fixed"/>
        <w:tblCellMar>
          <w:top w:w="0" w:type="dxa"/>
          <w:left w:w="108" w:type="dxa"/>
          <w:bottom w:w="0" w:type="dxa"/>
          <w:right w:w="108" w:type="dxa"/>
        </w:tblCellMar>
      </w:tblPr>
      <w:tblGrid>
        <w:gridCol w:w="955"/>
        <w:gridCol w:w="3404"/>
        <w:gridCol w:w="850"/>
        <w:gridCol w:w="852"/>
        <w:gridCol w:w="1277"/>
        <w:gridCol w:w="2616"/>
      </w:tblGrid>
      <w:tr>
        <w:tblPrEx>
          <w:tblCellMar>
            <w:top w:w="0" w:type="dxa"/>
            <w:left w:w="108" w:type="dxa"/>
            <w:bottom w:w="0" w:type="dxa"/>
            <w:right w:w="108" w:type="dxa"/>
          </w:tblCellMar>
        </w:tblPrEx>
        <w:trPr>
          <w:trHeight w:val="397" w:hRule="atLeast"/>
          <w:tblHeader/>
          <w:jc w:val="center"/>
        </w:trPr>
        <w:tc>
          <w:tcPr>
            <w:tcW w:w="955" w:type="dxa"/>
            <w:tcBorders>
              <w:top w:val="single" w:color="auto" w:sz="8" w:space="0"/>
              <w:left w:val="single" w:color="auto" w:sz="8" w:space="0"/>
              <w:bottom w:val="single" w:color="auto" w:sz="4" w:space="0"/>
              <w:right w:val="single" w:color="auto" w:sz="4" w:space="0"/>
            </w:tcBorders>
            <w:vAlign w:val="center"/>
          </w:tcPr>
          <w:p>
            <w:pPr>
              <w:widowControl/>
              <w:spacing w:line="240" w:lineRule="auto"/>
              <w:ind w:firstLine="0" w:firstLineChars="0"/>
              <w:rPr>
                <w:rFonts w:ascii="宋体" w:hAnsi="宋体"/>
                <w:b/>
                <w:color w:val="auto"/>
                <w:kern w:val="0"/>
                <w:sz w:val="24"/>
                <w:szCs w:val="24"/>
                <w:highlight w:val="none"/>
              </w:rPr>
            </w:pPr>
            <w:r>
              <w:rPr>
                <w:rFonts w:hint="eastAsia" w:ascii="宋体" w:hAnsi="宋体"/>
                <w:b/>
                <w:color w:val="auto"/>
                <w:kern w:val="0"/>
                <w:sz w:val="24"/>
                <w:szCs w:val="24"/>
                <w:highlight w:val="none"/>
              </w:rPr>
              <w:t>序号</w:t>
            </w:r>
          </w:p>
        </w:tc>
        <w:tc>
          <w:tcPr>
            <w:tcW w:w="3404"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sz w:val="24"/>
                <w:szCs w:val="24"/>
                <w:highlight w:val="none"/>
              </w:rPr>
            </w:pPr>
            <w:r>
              <w:rPr>
                <w:rFonts w:hint="eastAsia" w:ascii="宋体" w:hAnsi="宋体"/>
                <w:b/>
                <w:color w:val="auto"/>
                <w:kern w:val="0"/>
                <w:sz w:val="24"/>
                <w:szCs w:val="24"/>
                <w:highlight w:val="none"/>
              </w:rPr>
              <w:t>设备、材料名称</w:t>
            </w:r>
          </w:p>
        </w:tc>
        <w:tc>
          <w:tcPr>
            <w:tcW w:w="850"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sz w:val="24"/>
                <w:szCs w:val="24"/>
                <w:highlight w:val="none"/>
              </w:rPr>
            </w:pPr>
            <w:r>
              <w:rPr>
                <w:rFonts w:hint="eastAsia" w:ascii="宋体" w:hAnsi="宋体"/>
                <w:b/>
                <w:color w:val="auto"/>
                <w:kern w:val="0"/>
                <w:sz w:val="24"/>
                <w:szCs w:val="24"/>
                <w:highlight w:val="none"/>
              </w:rPr>
              <w:t>规格型号</w:t>
            </w:r>
          </w:p>
        </w:tc>
        <w:tc>
          <w:tcPr>
            <w:tcW w:w="852"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sz w:val="24"/>
                <w:szCs w:val="24"/>
                <w:highlight w:val="none"/>
              </w:rPr>
            </w:pPr>
            <w:r>
              <w:rPr>
                <w:rFonts w:hint="eastAsia" w:ascii="宋体" w:hAnsi="宋体"/>
                <w:b/>
                <w:color w:val="auto"/>
                <w:kern w:val="0"/>
                <w:sz w:val="24"/>
                <w:szCs w:val="24"/>
                <w:highlight w:val="none"/>
              </w:rPr>
              <w:t>单位</w:t>
            </w:r>
          </w:p>
        </w:tc>
        <w:tc>
          <w:tcPr>
            <w:tcW w:w="1277"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sz w:val="24"/>
                <w:szCs w:val="24"/>
                <w:highlight w:val="none"/>
              </w:rPr>
            </w:pPr>
            <w:r>
              <w:rPr>
                <w:rFonts w:hint="eastAsia" w:ascii="宋体" w:hAnsi="宋体"/>
                <w:b/>
                <w:color w:val="auto"/>
                <w:kern w:val="0"/>
                <w:sz w:val="24"/>
                <w:szCs w:val="24"/>
                <w:highlight w:val="none"/>
              </w:rPr>
              <w:t>数量</w:t>
            </w:r>
          </w:p>
        </w:tc>
        <w:tc>
          <w:tcPr>
            <w:tcW w:w="2616"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sz w:val="24"/>
                <w:szCs w:val="24"/>
                <w:highlight w:val="none"/>
              </w:rPr>
            </w:pPr>
            <w:r>
              <w:rPr>
                <w:rFonts w:hint="eastAsia" w:ascii="宋体" w:hAnsi="宋体"/>
                <w:b/>
                <w:color w:val="auto"/>
                <w:kern w:val="0"/>
                <w:sz w:val="24"/>
                <w:szCs w:val="24"/>
                <w:highlight w:val="none"/>
              </w:rPr>
              <w:t>单价（元）</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widowControl/>
              <w:spacing w:line="240" w:lineRule="auto"/>
              <w:ind w:firstLine="0" w:firstLineChars="0"/>
              <w:jc w:val="center"/>
              <w:rPr>
                <w:rFonts w:ascii="宋体" w:hAnsi="宋体"/>
                <w:color w:val="auto"/>
                <w:kern w:val="0"/>
                <w:sz w:val="24"/>
                <w:szCs w:val="24"/>
                <w:highlight w:val="none"/>
              </w:rPr>
            </w:pPr>
            <w:r>
              <w:rPr>
                <w:rFonts w:hint="eastAsia" w:ascii="宋体" w:hAnsi="宋体"/>
                <w:color w:val="auto"/>
                <w:kern w:val="0"/>
                <w:sz w:val="24"/>
                <w:szCs w:val="24"/>
                <w:highlight w:val="none"/>
              </w:rPr>
              <w:t>一</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color w:val="auto"/>
                <w:sz w:val="24"/>
                <w:szCs w:val="24"/>
                <w:highlight w:val="none"/>
              </w:rPr>
            </w:pPr>
            <w:r>
              <w:rPr>
                <w:rFonts w:hint="eastAsia"/>
                <w:color w:val="auto"/>
                <w:sz w:val="24"/>
                <w:szCs w:val="24"/>
                <w:highlight w:val="none"/>
              </w:rPr>
              <w:t>安装工程（含通信）</w:t>
            </w:r>
          </w:p>
        </w:tc>
        <w:tc>
          <w:tcPr>
            <w:tcW w:w="850"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color w:val="auto"/>
                <w:kern w:val="0"/>
                <w:sz w:val="24"/>
                <w:szCs w:val="24"/>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jc w:val="center"/>
              <w:rPr>
                <w:color w:val="auto"/>
                <w:sz w:val="24"/>
                <w:szCs w:val="24"/>
                <w:highlight w:val="none"/>
              </w:rPr>
            </w:pPr>
          </w:p>
        </w:tc>
        <w:tc>
          <w:tcPr>
            <w:tcW w:w="1277"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sz w:val="24"/>
                <w:szCs w:val="24"/>
                <w:highlight w:val="none"/>
              </w:rPr>
            </w:pPr>
          </w:p>
        </w:tc>
        <w:tc>
          <w:tcPr>
            <w:tcW w:w="2616" w:type="dxa"/>
            <w:tcBorders>
              <w:top w:val="nil"/>
              <w:left w:val="nil"/>
              <w:bottom w:val="single" w:color="auto" w:sz="4" w:space="0"/>
              <w:right w:val="single" w:color="auto" w:sz="4" w:space="0"/>
            </w:tcBorders>
            <w:vAlign w:val="center"/>
          </w:tcPr>
          <w:p>
            <w:pPr>
              <w:widowControl/>
              <w:spacing w:line="240" w:lineRule="auto"/>
              <w:ind w:firstLine="0" w:firstLineChars="0"/>
              <w:jc w:val="right"/>
              <w:rPr>
                <w:color w:val="auto"/>
                <w:sz w:val="24"/>
                <w:szCs w:val="24"/>
                <w:highlight w:val="none"/>
              </w:rPr>
            </w:pP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widowControl/>
              <w:spacing w:line="240" w:lineRule="auto"/>
              <w:ind w:firstLine="0" w:firstLineChars="0"/>
              <w:jc w:val="center"/>
              <w:rPr>
                <w:rFonts w:ascii="宋体" w:hAnsi="宋体"/>
                <w:color w:val="auto"/>
                <w:kern w:val="0"/>
                <w:sz w:val="24"/>
                <w:szCs w:val="24"/>
                <w:highlight w:val="none"/>
              </w:rPr>
            </w:pPr>
            <w:r>
              <w:rPr>
                <w:rFonts w:hint="eastAsia" w:ascii="宋体" w:hAnsi="宋体"/>
                <w:color w:val="auto"/>
                <w:kern w:val="0"/>
                <w:sz w:val="24"/>
                <w:szCs w:val="24"/>
                <w:highlight w:val="none"/>
              </w:rPr>
              <w:t>（一）</w:t>
            </w:r>
          </w:p>
        </w:tc>
        <w:tc>
          <w:tcPr>
            <w:tcW w:w="3404" w:type="dxa"/>
            <w:tcBorders>
              <w:top w:val="nil"/>
              <w:left w:val="nil"/>
              <w:bottom w:val="single" w:color="auto" w:sz="4" w:space="0"/>
              <w:right w:val="single" w:color="auto" w:sz="4" w:space="0"/>
            </w:tcBorders>
            <w:vAlign w:val="center"/>
          </w:tcPr>
          <w:p>
            <w:pPr>
              <w:spacing w:line="240" w:lineRule="auto"/>
              <w:ind w:firstLine="0" w:firstLineChars="0"/>
              <w:rPr>
                <w:color w:val="auto"/>
                <w:sz w:val="24"/>
                <w:szCs w:val="24"/>
                <w:highlight w:val="none"/>
              </w:rPr>
            </w:pPr>
            <w:r>
              <w:rPr>
                <w:rFonts w:hint="eastAsia"/>
                <w:color w:val="auto"/>
                <w:sz w:val="24"/>
                <w:szCs w:val="24"/>
                <w:highlight w:val="none"/>
              </w:rPr>
              <w:t>设备部分</w:t>
            </w:r>
          </w:p>
        </w:tc>
        <w:tc>
          <w:tcPr>
            <w:tcW w:w="850"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color w:val="auto"/>
                <w:kern w:val="0"/>
                <w:sz w:val="24"/>
                <w:szCs w:val="24"/>
                <w:highlight w:val="none"/>
              </w:rPr>
            </w:pPr>
          </w:p>
        </w:tc>
        <w:tc>
          <w:tcPr>
            <w:tcW w:w="852"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sz w:val="24"/>
                <w:szCs w:val="24"/>
                <w:highlight w:val="none"/>
              </w:rPr>
            </w:pPr>
          </w:p>
        </w:tc>
        <w:tc>
          <w:tcPr>
            <w:tcW w:w="1277"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sz w:val="24"/>
                <w:szCs w:val="24"/>
                <w:highlight w:val="none"/>
              </w:rPr>
            </w:pPr>
          </w:p>
        </w:tc>
        <w:tc>
          <w:tcPr>
            <w:tcW w:w="2616" w:type="dxa"/>
            <w:tcBorders>
              <w:top w:val="nil"/>
              <w:left w:val="nil"/>
              <w:bottom w:val="single" w:color="auto" w:sz="4" w:space="0"/>
              <w:right w:val="single" w:color="auto" w:sz="4" w:space="0"/>
            </w:tcBorders>
            <w:vAlign w:val="center"/>
          </w:tcPr>
          <w:p>
            <w:pPr>
              <w:widowControl/>
              <w:spacing w:line="240" w:lineRule="auto"/>
              <w:ind w:firstLine="0" w:firstLineChars="0"/>
              <w:jc w:val="right"/>
              <w:rPr>
                <w:color w:val="auto"/>
                <w:sz w:val="24"/>
                <w:szCs w:val="24"/>
                <w:highlight w:val="none"/>
              </w:rPr>
            </w:pP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color w:val="auto"/>
                <w:sz w:val="24"/>
                <w:szCs w:val="24"/>
                <w:highlight w:val="none"/>
              </w:rPr>
            </w:pPr>
            <w:r>
              <w:rPr>
                <w:color w:val="auto"/>
                <w:sz w:val="24"/>
                <w:szCs w:val="24"/>
                <w:highlight w:val="none"/>
              </w:rPr>
              <w:t>1</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lang w:eastAsia="zh-CN"/>
              </w:rPr>
            </w:pPr>
            <w:r>
              <w:rPr>
                <w:rFonts w:hint="eastAsia" w:cs="Times New Roman"/>
                <w:color w:val="auto"/>
                <w:highlight w:val="none"/>
                <w:lang w:val="en-US" w:eastAsia="zh-CN"/>
              </w:rPr>
              <w:t>除中标人购买外的所有设备（其中封闭母线桥列为甲供设备）</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color w:val="auto"/>
                <w:sz w:val="24"/>
                <w:szCs w:val="24"/>
                <w:highlight w:val="none"/>
              </w:rPr>
            </w:pPr>
            <w:r>
              <w:rPr>
                <w:rFonts w:hint="eastAsia"/>
                <w:color w:val="auto"/>
                <w:sz w:val="24"/>
                <w:szCs w:val="24"/>
                <w:highlight w:val="none"/>
              </w:rPr>
              <w:t>（二）</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材料部分</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2616"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lang w:eastAsia="zh-CN"/>
              </w:rPr>
            </w:pPr>
            <w:r>
              <w:rPr>
                <w:rFonts w:hint="eastAsia" w:cs="Times New Roman"/>
                <w:color w:val="auto"/>
                <w:highlight w:val="none"/>
                <w:lang w:val="en-US" w:eastAsia="zh-CN"/>
              </w:rPr>
              <w:t>电力电缆（不含消防电缆、照明电缆、通信电缆）</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m</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2</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控制电缆（不含消防电缆、照明电缆、装置对时电缆）</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m</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3</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eastAsiaTheme="minorEastAsia"/>
                <w:color w:val="auto"/>
                <w:highlight w:val="none"/>
                <w:lang w:eastAsia="zh-CN"/>
              </w:rPr>
            </w:pPr>
            <w:r>
              <w:rPr>
                <w:rFonts w:hint="eastAsia" w:cs="Times New Roman"/>
                <w:color w:val="auto"/>
                <w:highlight w:val="none"/>
                <w:lang w:val="en-US" w:eastAsia="zh-CN"/>
              </w:rPr>
              <w:t>10kV及以上冷、热缩电缆头</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套</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4</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户外检修电源箱、户外动力箱、发电车开关箱、端子箱</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个</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5</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35kV</w:t>
            </w:r>
            <w:r>
              <w:rPr>
                <w:rFonts w:hint="eastAsia" w:cs="Times New Roman"/>
                <w:color w:val="auto"/>
                <w:highlight w:val="none"/>
                <w:lang w:eastAsia="zh-CN"/>
              </w:rPr>
              <w:t>及以上</w:t>
            </w:r>
            <w:r>
              <w:rPr>
                <w:rFonts w:hint="eastAsia" w:cs="Times New Roman"/>
                <w:color w:val="auto"/>
                <w:highlight w:val="none"/>
              </w:rPr>
              <w:t>支柱绝缘子</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个</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6</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导线（不含金具）</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吨</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7</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绝缘子（不含金具）</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片</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8</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35kV穿墙套管</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只</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sz w:val="24"/>
                <w:szCs w:val="24"/>
                <w:highlight w:val="none"/>
              </w:rPr>
            </w:pPr>
            <w:r>
              <w:rPr>
                <w:rFonts w:hint="eastAsia" w:ascii="宋体" w:hAnsi="宋体" w:cs="宋体" w:eastAsiaTheme="minorEastAsia"/>
                <w:b w:val="0"/>
                <w:bCs w:val="0"/>
                <w:snapToGrid w:val="0"/>
                <w:color w:val="auto"/>
                <w:kern w:val="0"/>
                <w:sz w:val="24"/>
                <w:szCs w:val="24"/>
                <w:highlight w:val="none"/>
                <w:u w:val="none"/>
                <w:lang w:val="en-US" w:eastAsia="zh-CN" w:bidi="ar-SA"/>
              </w:rPr>
              <w:t>9</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电缆桥架、复合电缆支架</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支</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10</w:t>
            </w:r>
          </w:p>
        </w:tc>
        <w:tc>
          <w:tcPr>
            <w:tcW w:w="3404" w:type="dxa"/>
            <w:tcBorders>
              <w:top w:val="nil"/>
              <w:left w:val="nil"/>
              <w:bottom w:val="single" w:color="auto" w:sz="4" w:space="0"/>
              <w:right w:val="single" w:color="auto" w:sz="4" w:space="0"/>
            </w:tcBorders>
            <w:vAlign w:val="center"/>
          </w:tcPr>
          <w:p>
            <w:pPr>
              <w:widowControl/>
              <w:spacing w:line="240" w:lineRule="auto"/>
              <w:ind w:firstLine="0" w:firstLineChars="0"/>
              <w:rPr>
                <w:rFonts w:hint="default" w:cs="Times New Roman"/>
                <w:color w:val="auto"/>
                <w:highlight w:val="none"/>
                <w:lang w:val="en-US" w:eastAsia="zh-CN"/>
              </w:rPr>
            </w:pPr>
            <w:r>
              <w:rPr>
                <w:rFonts w:hint="eastAsia" w:cs="Times New Roman"/>
                <w:color w:val="auto"/>
                <w:highlight w:val="none"/>
                <w:lang w:val="en-US" w:eastAsia="zh-CN"/>
              </w:rPr>
              <w:t>10kV外来电源电力电缆、10kV电缆头</w:t>
            </w:r>
          </w:p>
        </w:tc>
        <w:tc>
          <w:tcPr>
            <w:tcW w:w="850"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lang w:val="en-US" w:eastAsia="zh-CN"/>
              </w:rPr>
              <w:t>m</w:t>
            </w:r>
          </w:p>
        </w:tc>
        <w:tc>
          <w:tcPr>
            <w:tcW w:w="1277"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lang w:val="en-US" w:eastAsia="zh-CN"/>
              </w:rPr>
              <w:t>自行计算</w:t>
            </w:r>
          </w:p>
        </w:tc>
        <w:tc>
          <w:tcPr>
            <w:tcW w:w="2616" w:type="dxa"/>
            <w:tcBorders>
              <w:top w:val="nil"/>
              <w:left w:val="nil"/>
              <w:bottom w:val="single" w:color="auto" w:sz="4" w:space="0"/>
              <w:right w:val="single" w:color="auto" w:sz="4" w:space="0"/>
            </w:tcBorders>
            <w:vAlign w:val="top"/>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sz w:val="24"/>
                <w:szCs w:val="24"/>
                <w:highlight w:val="none"/>
              </w:rPr>
            </w:pPr>
            <w:r>
              <w:rPr>
                <w:rFonts w:hint="eastAsia"/>
                <w:color w:val="auto"/>
                <w:sz w:val="24"/>
                <w:szCs w:val="24"/>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建筑工程</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2616" w:type="dxa"/>
            <w:tcBorders>
              <w:top w:val="single" w:color="auto" w:sz="6" w:space="0"/>
              <w:left w:val="single" w:color="auto" w:sz="6" w:space="0"/>
              <w:bottom w:val="single" w:color="auto" w:sz="6" w:space="0"/>
              <w:right w:val="single" w:color="auto" w:sz="4" w:space="0"/>
            </w:tcBorders>
            <w:vAlign w:val="center"/>
          </w:tcPr>
          <w:p>
            <w:pPr>
              <w:widowControl/>
              <w:spacing w:line="240" w:lineRule="auto"/>
              <w:ind w:firstLine="0" w:firstLineChars="0"/>
              <w:rPr>
                <w:rFonts w:hint="eastAsia" w:cs="Times New Roman"/>
                <w:color w:val="auto"/>
                <w:highlight w:val="none"/>
              </w:rPr>
            </w:pPr>
          </w:p>
        </w:tc>
      </w:tr>
      <w:tr>
        <w:tblPrEx>
          <w:tblCellMar>
            <w:top w:w="0" w:type="dxa"/>
            <w:left w:w="108" w:type="dxa"/>
            <w:bottom w:w="0" w:type="dxa"/>
            <w:right w:w="108" w:type="dxa"/>
          </w:tblCellMar>
        </w:tblPrEx>
        <w:trPr>
          <w:trHeight w:val="36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sz w:val="24"/>
                <w:szCs w:val="24"/>
                <w:highlight w:val="none"/>
              </w:rPr>
            </w:pPr>
            <w:r>
              <w:rPr>
                <w:rFonts w:hint="eastAsia"/>
                <w:color w:val="auto"/>
                <w:sz w:val="24"/>
                <w:szCs w:val="24"/>
                <w:highlight w:val="none"/>
              </w:rPr>
              <w:t>（一）</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设备部分</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2616" w:type="dxa"/>
            <w:tcBorders>
              <w:top w:val="single" w:color="auto" w:sz="6" w:space="0"/>
              <w:left w:val="single" w:color="auto" w:sz="6" w:space="0"/>
              <w:bottom w:val="single" w:color="auto" w:sz="6" w:space="0"/>
              <w:right w:val="single" w:color="auto" w:sz="4" w:space="0"/>
            </w:tcBorders>
            <w:vAlign w:val="center"/>
          </w:tcPr>
          <w:p>
            <w:pPr>
              <w:widowControl/>
              <w:spacing w:line="240" w:lineRule="auto"/>
              <w:ind w:firstLine="0" w:firstLineChars="0"/>
              <w:rPr>
                <w:rFonts w:hint="eastAsia" w:cs="Times New Roman"/>
                <w:color w:val="auto"/>
                <w:highlight w:val="none"/>
              </w:rPr>
            </w:pPr>
          </w:p>
        </w:tc>
      </w:tr>
      <w:tr>
        <w:tblPrEx>
          <w:tblCellMar>
            <w:top w:w="0" w:type="dxa"/>
            <w:left w:w="108" w:type="dxa"/>
            <w:bottom w:w="0" w:type="dxa"/>
            <w:right w:w="108" w:type="dxa"/>
          </w:tblCellMar>
        </w:tblPrEx>
        <w:trPr>
          <w:trHeight w:val="39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sz w:val="24"/>
                <w:szCs w:val="24"/>
                <w:highlight w:val="none"/>
              </w:rPr>
            </w:pPr>
            <w:r>
              <w:rPr>
                <w:color w:val="auto"/>
                <w:sz w:val="24"/>
                <w:szCs w:val="24"/>
                <w:highlight w:val="none"/>
              </w:rPr>
              <w:t>1</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空调</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lang w:eastAsia="zh-CN"/>
              </w:rPr>
            </w:pPr>
            <w:r>
              <w:rPr>
                <w:rFonts w:hint="eastAsia" w:cs="Times New Roman"/>
                <w:color w:val="auto"/>
                <w:highlight w:val="none"/>
                <w:lang w:eastAsia="zh-CN"/>
              </w:rPr>
              <w:t>台</w:t>
            </w: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自行计算</w:t>
            </w:r>
          </w:p>
        </w:tc>
        <w:tc>
          <w:tcPr>
            <w:tcW w:w="2616" w:type="dxa"/>
            <w:tcBorders>
              <w:top w:val="single" w:color="auto" w:sz="6" w:space="0"/>
              <w:left w:val="single" w:color="auto" w:sz="6" w:space="0"/>
              <w:bottom w:val="single" w:color="auto" w:sz="6" w:space="0"/>
              <w:right w:val="single" w:color="auto" w:sz="4"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sz w:val="24"/>
                <w:szCs w:val="24"/>
                <w:highlight w:val="none"/>
              </w:rPr>
            </w:pPr>
            <w:r>
              <w:rPr>
                <w:rFonts w:hint="eastAsia"/>
                <w:color w:val="auto"/>
                <w:sz w:val="24"/>
                <w:szCs w:val="24"/>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rPr>
              <w:t>材料部分</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2616" w:type="dxa"/>
            <w:tcBorders>
              <w:top w:val="single" w:color="auto" w:sz="6" w:space="0"/>
              <w:left w:val="single" w:color="auto" w:sz="6" w:space="0"/>
              <w:bottom w:val="single" w:color="auto" w:sz="6" w:space="0"/>
              <w:right w:val="single" w:color="auto" w:sz="4" w:space="0"/>
            </w:tcBorders>
            <w:vAlign w:val="center"/>
          </w:tcPr>
          <w:p>
            <w:pPr>
              <w:widowControl/>
              <w:spacing w:line="240" w:lineRule="auto"/>
              <w:ind w:firstLine="0" w:firstLineChars="0"/>
              <w:rPr>
                <w:rFonts w:hint="eastAsia" w:cs="Times New Roman"/>
                <w:color w:val="auto"/>
                <w:highlight w:val="none"/>
              </w:rPr>
            </w:pPr>
          </w:p>
        </w:tc>
      </w:tr>
      <w:tr>
        <w:tblPrEx>
          <w:tblCellMar>
            <w:top w:w="0" w:type="dxa"/>
            <w:left w:w="108" w:type="dxa"/>
            <w:bottom w:w="0" w:type="dxa"/>
            <w:right w:w="108" w:type="dxa"/>
          </w:tblCellMar>
        </w:tblPrEx>
        <w:trPr>
          <w:trHeight w:val="39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sz w:val="24"/>
                <w:szCs w:val="24"/>
                <w:highlight w:val="none"/>
              </w:rPr>
            </w:pPr>
            <w:r>
              <w:rPr>
                <w:rFonts w:hint="eastAsia"/>
                <w:color w:val="auto"/>
                <w:sz w:val="24"/>
                <w:szCs w:val="24"/>
                <w:highlight w:val="none"/>
              </w:rPr>
              <w:t>1</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rPr>
              <w:t>复合电缆沟盖板</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lang w:val="en-US" w:eastAsia="zh-CN"/>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rPr>
              <w:t>块</w:t>
            </w: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rPr>
              <w:t>自行计算</w:t>
            </w:r>
          </w:p>
        </w:tc>
        <w:tc>
          <w:tcPr>
            <w:tcW w:w="2616"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cs="Times New Roman"/>
                <w:color w:val="auto"/>
                <w:highlight w:val="none"/>
                <w:lang w:val="en-US" w:eastAsia="zh-CN"/>
              </w:rPr>
            </w:pPr>
            <w:r>
              <w:rPr>
                <w:rFonts w:hint="eastAsia" w:cs="Times New Roman"/>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hint="eastAsia" w:eastAsiaTheme="minorEastAsia"/>
                <w:color w:val="auto"/>
                <w:sz w:val="24"/>
                <w:szCs w:val="24"/>
                <w:highlight w:val="none"/>
                <w:lang w:val="en-US" w:eastAsia="zh-CN"/>
              </w:rPr>
            </w:pPr>
            <w:r>
              <w:rPr>
                <w:rFonts w:hint="eastAsia"/>
                <w:color w:val="auto"/>
                <w:sz w:val="24"/>
                <w:szCs w:val="24"/>
                <w:highlight w:val="none"/>
                <w:lang w:val="en-US" w:eastAsia="zh-CN"/>
              </w:rPr>
              <w:t>2</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变电站钢结构</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吨</w:t>
            </w: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自行计算</w:t>
            </w:r>
          </w:p>
        </w:tc>
        <w:tc>
          <w:tcPr>
            <w:tcW w:w="2616"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cs="Times New Roman"/>
                <w:color w:val="auto"/>
                <w:highlight w:val="none"/>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95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hint="eastAsia" w:eastAsiaTheme="minorEastAsia"/>
                <w:color w:val="auto"/>
                <w:sz w:val="24"/>
                <w:szCs w:val="24"/>
                <w:highlight w:val="none"/>
                <w:lang w:val="en-US" w:eastAsia="zh-CN"/>
              </w:rPr>
            </w:pPr>
            <w:r>
              <w:rPr>
                <w:rFonts w:hint="eastAsia"/>
                <w:color w:val="auto"/>
                <w:sz w:val="24"/>
                <w:szCs w:val="24"/>
                <w:highlight w:val="none"/>
                <w:lang w:val="en-US" w:eastAsia="zh-CN"/>
              </w:rPr>
              <w:t>3</w:t>
            </w:r>
          </w:p>
        </w:tc>
        <w:tc>
          <w:tcPr>
            <w:tcW w:w="340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1277"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cs="Times New Roman"/>
                <w:color w:val="auto"/>
                <w:highlight w:val="none"/>
              </w:rPr>
            </w:pPr>
          </w:p>
        </w:tc>
        <w:tc>
          <w:tcPr>
            <w:tcW w:w="2616"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cs="Times New Roman"/>
                <w:color w:val="auto"/>
                <w:highlight w:val="none"/>
              </w:rPr>
            </w:pPr>
          </w:p>
        </w:tc>
      </w:tr>
    </w:tbl>
    <w:p>
      <w:pPr>
        <w:ind w:firstLine="480"/>
        <w:rPr>
          <w:color w:val="auto"/>
          <w:highlight w:val="none"/>
        </w:rPr>
      </w:pPr>
    </w:p>
    <w:p>
      <w:pPr>
        <w:pStyle w:val="2"/>
        <w:rPr>
          <w:highlight w:val="none"/>
        </w:rPr>
      </w:pPr>
    </w:p>
    <w:p>
      <w:pPr>
        <w:ind w:firstLine="482"/>
        <w:jc w:val="center"/>
        <w:rPr>
          <w:b/>
          <w:color w:val="auto"/>
          <w:highlight w:val="none"/>
        </w:rPr>
      </w:pPr>
      <w:r>
        <w:rPr>
          <w:rFonts w:hint="eastAsia"/>
          <w:b/>
          <w:color w:val="auto"/>
          <w:highlight w:val="none"/>
        </w:rPr>
        <w:t>中标人提供的设备、材料清单</w:t>
      </w:r>
    </w:p>
    <w:tbl>
      <w:tblPr>
        <w:tblStyle w:val="12"/>
        <w:tblW w:w="9855" w:type="dxa"/>
        <w:jc w:val="center"/>
        <w:tblLayout w:type="fixed"/>
        <w:tblCellMar>
          <w:top w:w="0" w:type="dxa"/>
          <w:left w:w="108" w:type="dxa"/>
          <w:bottom w:w="0" w:type="dxa"/>
          <w:right w:w="108" w:type="dxa"/>
        </w:tblCellMar>
      </w:tblPr>
      <w:tblGrid>
        <w:gridCol w:w="946"/>
        <w:gridCol w:w="2848"/>
        <w:gridCol w:w="1579"/>
        <w:gridCol w:w="1149"/>
        <w:gridCol w:w="1666"/>
        <w:gridCol w:w="1667"/>
      </w:tblGrid>
      <w:tr>
        <w:tblPrEx>
          <w:tblCellMar>
            <w:top w:w="0" w:type="dxa"/>
            <w:left w:w="108" w:type="dxa"/>
            <w:bottom w:w="0" w:type="dxa"/>
            <w:right w:w="108" w:type="dxa"/>
          </w:tblCellMar>
        </w:tblPrEx>
        <w:trPr>
          <w:trHeight w:val="397" w:hRule="atLeast"/>
          <w:tblHeader/>
          <w:jc w:val="center"/>
        </w:trPr>
        <w:tc>
          <w:tcPr>
            <w:tcW w:w="946" w:type="dxa"/>
            <w:tcBorders>
              <w:top w:val="single" w:color="auto" w:sz="8" w:space="0"/>
              <w:left w:val="single" w:color="auto" w:sz="8" w:space="0"/>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highlight w:val="none"/>
              </w:rPr>
            </w:pPr>
            <w:r>
              <w:rPr>
                <w:rFonts w:hint="eastAsia" w:ascii="宋体" w:hAnsi="宋体"/>
                <w:b/>
                <w:color w:val="auto"/>
                <w:kern w:val="0"/>
                <w:highlight w:val="none"/>
              </w:rPr>
              <w:t>序号</w:t>
            </w:r>
          </w:p>
        </w:tc>
        <w:tc>
          <w:tcPr>
            <w:tcW w:w="2848"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79"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highlight w:val="none"/>
              </w:rPr>
            </w:pPr>
            <w:r>
              <w:rPr>
                <w:rFonts w:hint="eastAsia" w:ascii="宋体" w:hAnsi="宋体"/>
                <w:b/>
                <w:color w:val="auto"/>
                <w:kern w:val="0"/>
                <w:highlight w:val="none"/>
              </w:rPr>
              <w:t>单位</w:t>
            </w:r>
          </w:p>
        </w:tc>
        <w:tc>
          <w:tcPr>
            <w:tcW w:w="1666"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highlight w:val="none"/>
              </w:rPr>
            </w:pPr>
            <w:r>
              <w:rPr>
                <w:rFonts w:hint="eastAsia" w:ascii="宋体" w:hAnsi="宋体"/>
                <w:b/>
                <w:color w:val="auto"/>
                <w:kern w:val="0"/>
                <w:highlight w:val="none"/>
              </w:rPr>
              <w:t>数量</w:t>
            </w:r>
          </w:p>
        </w:tc>
        <w:tc>
          <w:tcPr>
            <w:tcW w:w="1667" w:type="dxa"/>
            <w:tcBorders>
              <w:top w:val="single" w:color="auto" w:sz="8" w:space="0"/>
              <w:left w:val="nil"/>
              <w:bottom w:val="single" w:color="auto" w:sz="4" w:space="0"/>
              <w:right w:val="single" w:color="auto" w:sz="4" w:space="0"/>
            </w:tcBorders>
            <w:vAlign w:val="center"/>
          </w:tcPr>
          <w:p>
            <w:pPr>
              <w:widowControl/>
              <w:spacing w:line="240" w:lineRule="auto"/>
              <w:ind w:firstLine="0" w:firstLineChars="0"/>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widowControl/>
              <w:spacing w:line="240" w:lineRule="auto"/>
              <w:ind w:firstLine="0" w:firstLineChars="0"/>
              <w:jc w:val="center"/>
              <w:rPr>
                <w:rFonts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vAlign w:val="center"/>
          </w:tcPr>
          <w:p>
            <w:pPr>
              <w:widowControl/>
              <w:spacing w:line="240" w:lineRule="auto"/>
              <w:ind w:firstLine="0" w:firstLineChars="0"/>
              <w:rPr>
                <w:color w:val="auto"/>
                <w:highlight w:val="none"/>
              </w:rPr>
            </w:pPr>
            <w:r>
              <w:rPr>
                <w:rFonts w:hint="eastAsia"/>
                <w:color w:val="auto"/>
                <w:highlight w:val="none"/>
              </w:rPr>
              <w:t>安装工程（含通信）</w:t>
            </w:r>
          </w:p>
        </w:tc>
        <w:tc>
          <w:tcPr>
            <w:tcW w:w="1579"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240" w:lineRule="auto"/>
              <w:ind w:firstLine="0" w:firstLineChars="0"/>
              <w:jc w:val="center"/>
              <w:rPr>
                <w:color w:val="auto"/>
                <w:highlight w:val="none"/>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widowControl/>
              <w:spacing w:line="240" w:lineRule="auto"/>
              <w:ind w:firstLine="0" w:firstLineChars="0"/>
              <w:jc w:val="center"/>
              <w:rPr>
                <w:rFonts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vAlign w:val="center"/>
          </w:tcPr>
          <w:p>
            <w:pPr>
              <w:spacing w:line="240" w:lineRule="auto"/>
              <w:ind w:firstLine="0" w:firstLineChars="0"/>
              <w:rPr>
                <w:color w:val="auto"/>
                <w:highlight w:val="none"/>
              </w:rPr>
            </w:pPr>
            <w:r>
              <w:rPr>
                <w:rFonts w:hint="eastAsia"/>
                <w:color w:val="auto"/>
                <w:highlight w:val="none"/>
              </w:rPr>
              <w:t>设备部分</w:t>
            </w:r>
          </w:p>
        </w:tc>
        <w:tc>
          <w:tcPr>
            <w:tcW w:w="1579"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highlight w:val="none"/>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rFonts w:hint="eastAsia" w:cs="Times New Roman" w:eastAsiaTheme="minorEastAsia"/>
                <w:color w:val="auto"/>
                <w:highlight w:val="none"/>
                <w:lang w:val="en-US" w:eastAsia="zh-CN"/>
              </w:rPr>
            </w:pPr>
            <w:r>
              <w:rPr>
                <w:rFonts w:hint="eastAsia" w:cs="Times New Roman"/>
                <w:color w:val="auto"/>
                <w:highlight w:val="none"/>
                <w:lang w:val="en-US" w:eastAsia="zh-CN"/>
              </w:rPr>
              <w:t>1</w:t>
            </w:r>
          </w:p>
        </w:tc>
        <w:tc>
          <w:tcPr>
            <w:tcW w:w="2848"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eastAsiaTheme="minorEastAsia"/>
                <w:color w:val="auto"/>
                <w:highlight w:val="none"/>
                <w:lang w:val="en-US" w:eastAsia="zh-CN"/>
              </w:rPr>
            </w:pPr>
            <w:r>
              <w:rPr>
                <w:rFonts w:hint="eastAsia" w:cs="Times New Roman"/>
                <w:color w:val="auto"/>
                <w:highlight w:val="none"/>
                <w:lang w:val="en-US" w:eastAsia="zh-CN"/>
              </w:rPr>
              <w:t>无</w:t>
            </w:r>
          </w:p>
        </w:tc>
        <w:tc>
          <w:tcPr>
            <w:tcW w:w="1579" w:type="dxa"/>
            <w:tcBorders>
              <w:top w:val="nil"/>
              <w:left w:val="nil"/>
              <w:bottom w:val="single" w:color="auto" w:sz="4" w:space="0"/>
              <w:right w:val="single" w:color="auto" w:sz="4" w:space="0"/>
            </w:tcBorders>
            <w:vAlign w:val="top"/>
          </w:tcPr>
          <w:p>
            <w:pPr>
              <w:spacing w:line="240" w:lineRule="auto"/>
              <w:ind w:firstLine="0" w:firstLineChars="0"/>
              <w:rPr>
                <w:rFonts w:hint="eastAsia" w:cs="Times New Roman"/>
                <w:color w:val="auto"/>
                <w:highlight w:val="none"/>
              </w:rPr>
            </w:pPr>
          </w:p>
        </w:tc>
        <w:tc>
          <w:tcPr>
            <w:tcW w:w="1149"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cs="Times New Roman"/>
                <w:color w:val="auto"/>
                <w:highlight w:val="none"/>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cs="Times New Roman"/>
                <w:color w:val="auto"/>
                <w:highlight w:val="none"/>
              </w:rPr>
            </w:pPr>
          </w:p>
        </w:tc>
        <w:tc>
          <w:tcPr>
            <w:tcW w:w="1667"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cs="Times New Roman"/>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rFonts w:hint="eastAsia" w:eastAsiaTheme="minorEastAsia"/>
                <w:color w:val="auto"/>
                <w:highlight w:val="none"/>
                <w:lang w:eastAsia="zh-CN"/>
              </w:rPr>
            </w:pPr>
          </w:p>
        </w:tc>
        <w:tc>
          <w:tcPr>
            <w:tcW w:w="2848" w:type="dxa"/>
            <w:tcBorders>
              <w:top w:val="nil"/>
              <w:left w:val="nil"/>
              <w:bottom w:val="single" w:color="auto" w:sz="4" w:space="0"/>
              <w:right w:val="single" w:color="auto" w:sz="4" w:space="0"/>
            </w:tcBorders>
            <w:vAlign w:val="center"/>
          </w:tcPr>
          <w:p>
            <w:pPr>
              <w:spacing w:line="240" w:lineRule="auto"/>
              <w:ind w:firstLine="0" w:firstLineChars="0"/>
              <w:rPr>
                <w:color w:val="auto"/>
                <w:highlight w:val="none"/>
              </w:rPr>
            </w:pPr>
          </w:p>
        </w:tc>
        <w:tc>
          <w:tcPr>
            <w:tcW w:w="1579" w:type="dxa"/>
            <w:tcBorders>
              <w:top w:val="nil"/>
              <w:left w:val="nil"/>
              <w:bottom w:val="single" w:color="auto" w:sz="4" w:space="0"/>
              <w:right w:val="single" w:color="auto" w:sz="4" w:space="0"/>
            </w:tcBorders>
          </w:tcPr>
          <w:p>
            <w:pPr>
              <w:spacing w:line="240" w:lineRule="auto"/>
              <w:ind w:firstLine="0" w:firstLineChars="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highlight w:val="none"/>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rFonts w:ascii="Calibri" w:hAnsi="Calibri" w:cs="Times New Roman" w:eastAsiaTheme="minorEastAsia"/>
                <w:color w:val="auto"/>
                <w:kern w:val="2"/>
                <w:sz w:val="24"/>
                <w:szCs w:val="22"/>
                <w:highlight w:val="none"/>
                <w:lang w:val="en-US" w:eastAsia="zh-CN" w:bidi="ar-SA"/>
              </w:rPr>
            </w:pPr>
          </w:p>
        </w:tc>
        <w:tc>
          <w:tcPr>
            <w:tcW w:w="1667" w:type="dxa"/>
            <w:tcBorders>
              <w:top w:val="nil"/>
              <w:left w:val="nil"/>
              <w:bottom w:val="single" w:color="auto" w:sz="4" w:space="0"/>
              <w:right w:val="single" w:color="auto" w:sz="4" w:space="0"/>
            </w:tcBorders>
            <w:vAlign w:val="center"/>
          </w:tcPr>
          <w:p>
            <w:pPr>
              <w:spacing w:line="240" w:lineRule="auto"/>
              <w:ind w:firstLine="0" w:firstLineChars="0"/>
              <w:jc w:val="center"/>
              <w:rPr>
                <w:rFonts w:ascii="Calibri" w:hAnsi="Calibri" w:cs="Times New Roman" w:eastAsiaTheme="minorEastAsia"/>
                <w:color w:val="auto"/>
                <w:kern w:val="2"/>
                <w:sz w:val="24"/>
                <w:szCs w:val="22"/>
                <w:highlight w:val="none"/>
                <w:lang w:val="en-US" w:eastAsia="zh-CN" w:bidi="ar-SA"/>
              </w:rPr>
            </w:pPr>
          </w:p>
        </w:tc>
      </w:tr>
      <w:tr>
        <w:tblPrEx>
          <w:tblCellMar>
            <w:top w:w="0" w:type="dxa"/>
            <w:left w:w="108" w:type="dxa"/>
            <w:bottom w:w="0" w:type="dxa"/>
            <w:right w:w="108" w:type="dxa"/>
          </w:tblCellMar>
        </w:tblPrEx>
        <w:trPr>
          <w:trHeight w:val="90" w:hRule="atLeast"/>
          <w:jc w:val="center"/>
        </w:trPr>
        <w:tc>
          <w:tcPr>
            <w:tcW w:w="946"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（二）</w:t>
            </w:r>
          </w:p>
        </w:tc>
        <w:tc>
          <w:tcPr>
            <w:tcW w:w="2848" w:type="dxa"/>
            <w:tcBorders>
              <w:top w:val="nil"/>
              <w:left w:val="nil"/>
              <w:bottom w:val="single" w:color="auto" w:sz="4" w:space="0"/>
              <w:right w:val="single" w:color="auto" w:sz="4" w:space="0"/>
            </w:tcBorders>
            <w:vAlign w:val="center"/>
          </w:tcPr>
          <w:p>
            <w:pPr>
              <w:spacing w:line="240" w:lineRule="auto"/>
              <w:ind w:firstLine="0" w:firstLineChars="0"/>
              <w:rPr>
                <w:color w:val="auto"/>
                <w:highlight w:val="none"/>
              </w:rPr>
            </w:pPr>
            <w:r>
              <w:rPr>
                <w:rFonts w:hint="eastAsia"/>
                <w:color w:val="auto"/>
                <w:highlight w:val="none"/>
              </w:rPr>
              <w:t>材料部分</w:t>
            </w:r>
          </w:p>
        </w:tc>
        <w:tc>
          <w:tcPr>
            <w:tcW w:w="1579"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spacing w:line="240" w:lineRule="auto"/>
              <w:ind w:firstLine="0" w:firstLineChars="0"/>
              <w:rPr>
                <w:color w:val="auto"/>
                <w:highlight w:val="none"/>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color w:val="auto"/>
                <w:highlight w:val="none"/>
              </w:rPr>
            </w:pPr>
          </w:p>
        </w:tc>
        <w:tc>
          <w:tcPr>
            <w:tcW w:w="1667" w:type="dxa"/>
            <w:tcBorders>
              <w:top w:val="nil"/>
              <w:left w:val="nil"/>
              <w:bottom w:val="single" w:color="auto" w:sz="4" w:space="0"/>
              <w:right w:val="single" w:color="auto" w:sz="4" w:space="0"/>
            </w:tcBorders>
            <w:vAlign w:val="center"/>
          </w:tcPr>
          <w:p>
            <w:pPr>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rFonts w:hint="eastAsia" w:eastAsiaTheme="minorEastAsia"/>
                <w:color w:val="auto"/>
                <w:highlight w:val="none"/>
                <w:lang w:val="en-US" w:eastAsia="zh-CN"/>
              </w:rPr>
            </w:pPr>
            <w:r>
              <w:rPr>
                <w:rFonts w:hint="eastAsia"/>
                <w:color w:val="auto"/>
                <w:highlight w:val="none"/>
                <w:lang w:val="en-US" w:eastAsia="zh-CN"/>
              </w:rPr>
              <w:t>1</w:t>
            </w:r>
          </w:p>
        </w:tc>
        <w:tc>
          <w:tcPr>
            <w:tcW w:w="2848"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asciiTheme="minorEastAsia" w:hAnsiTheme="minorEastAsia" w:eastAsiaTheme="minorEastAsia" w:cstheme="minorEastAsia"/>
                <w:color w:val="auto"/>
                <w:kern w:val="2"/>
                <w:sz w:val="24"/>
                <w:szCs w:val="22"/>
                <w:highlight w:val="none"/>
                <w:lang w:val="en-US" w:eastAsia="zh-CN" w:bidi="ar-SA"/>
              </w:rPr>
            </w:pPr>
            <w:r>
              <w:rPr>
                <w:rFonts w:hint="eastAsia" w:asciiTheme="minorEastAsia" w:hAnsiTheme="minorEastAsia" w:eastAsiaTheme="minorEastAsia" w:cstheme="minorEastAsia"/>
                <w:color w:val="auto"/>
                <w:highlight w:val="none"/>
                <w:lang w:val="en-US" w:eastAsia="zh-CN"/>
              </w:rPr>
              <w:t>10kV外来电源所有材料、设备（除10kV电力电缆外、10kV电缆头）</w:t>
            </w:r>
          </w:p>
        </w:tc>
        <w:tc>
          <w:tcPr>
            <w:tcW w:w="1579"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项</w:t>
            </w: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lang w:eastAsia="zh-CN"/>
              </w:rPr>
              <w:t>自行计算</w:t>
            </w:r>
          </w:p>
        </w:tc>
        <w:tc>
          <w:tcPr>
            <w:tcW w:w="1667"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lang w:eastAsia="zh-CN"/>
              </w:rPr>
              <w:t>自行报价</w:t>
            </w: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rFonts w:hint="default"/>
                <w:color w:val="auto"/>
                <w:highlight w:val="none"/>
                <w:lang w:val="en-US" w:eastAsia="zh-CN"/>
              </w:rPr>
            </w:pPr>
            <w:r>
              <w:rPr>
                <w:rFonts w:hint="eastAsia"/>
                <w:color w:val="auto"/>
                <w:highlight w:val="none"/>
                <w:lang w:val="en-US" w:eastAsia="zh-CN"/>
              </w:rPr>
              <w:t>2</w:t>
            </w:r>
          </w:p>
        </w:tc>
        <w:tc>
          <w:tcPr>
            <w:tcW w:w="2848"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asciiTheme="minorEastAsia" w:hAnsiTheme="minorEastAsia" w:eastAsiaTheme="minorEastAsia" w:cstheme="minorEastAsia"/>
                <w:color w:val="auto"/>
                <w:kern w:val="2"/>
                <w:sz w:val="24"/>
                <w:szCs w:val="22"/>
                <w:highlight w:val="none"/>
                <w:lang w:val="en-US" w:eastAsia="zh-CN" w:bidi="ar-SA"/>
              </w:rPr>
            </w:pPr>
            <w:r>
              <w:rPr>
                <w:rFonts w:hint="eastAsia" w:asciiTheme="minorEastAsia" w:hAnsiTheme="minorEastAsia" w:eastAsiaTheme="minorEastAsia" w:cstheme="minorEastAsia"/>
                <w:color w:val="auto"/>
                <w:highlight w:val="none"/>
              </w:rPr>
              <w:t>除</w:t>
            </w:r>
            <w:r>
              <w:rPr>
                <w:rFonts w:hint="eastAsia" w:asciiTheme="minorEastAsia" w:hAnsiTheme="minorEastAsia" w:eastAsiaTheme="minorEastAsia" w:cstheme="minorEastAsia"/>
                <w:color w:val="auto"/>
                <w:highlight w:val="none"/>
                <w:lang w:eastAsia="zh-CN"/>
              </w:rPr>
              <w:t>以上标明的材料及</w:t>
            </w:r>
            <w:r>
              <w:rPr>
                <w:rFonts w:hint="eastAsia" w:asciiTheme="minorEastAsia" w:hAnsiTheme="minorEastAsia" w:eastAsiaTheme="minorEastAsia" w:cstheme="minorEastAsia"/>
                <w:color w:val="auto"/>
                <w:highlight w:val="none"/>
              </w:rPr>
              <w:t>招标人购买外的所有材料</w:t>
            </w:r>
          </w:p>
        </w:tc>
        <w:tc>
          <w:tcPr>
            <w:tcW w:w="1579"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rFonts w:hint="eastAsia" w:ascii="Calibri" w:hAnsi="Calibri" w:cs="Times New Roman" w:eastAsiaTheme="minorEastAsia"/>
                <w:color w:val="auto"/>
                <w:kern w:val="0"/>
                <w:sz w:val="24"/>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nil"/>
              <w:left w:val="single" w:color="auto" w:sz="8" w:space="0"/>
              <w:bottom w:val="single" w:color="auto" w:sz="4" w:space="0"/>
              <w:right w:val="single" w:color="auto" w:sz="4" w:space="0"/>
            </w:tcBorders>
            <w:vAlign w:val="center"/>
          </w:tcPr>
          <w:p>
            <w:pPr>
              <w:spacing w:line="240" w:lineRule="auto"/>
              <w:ind w:firstLine="0" w:firstLineChars="0"/>
              <w:jc w:val="center"/>
              <w:rPr>
                <w:rFonts w:hint="default"/>
                <w:color w:val="auto"/>
                <w:highlight w:val="none"/>
                <w:lang w:val="en-US" w:eastAsia="zh-CN"/>
              </w:rPr>
            </w:pPr>
            <w:r>
              <w:rPr>
                <w:rFonts w:hint="eastAsia"/>
                <w:color w:val="auto"/>
                <w:highlight w:val="none"/>
                <w:lang w:val="en-US" w:eastAsia="zh-CN"/>
              </w:rPr>
              <w:t>3</w:t>
            </w:r>
          </w:p>
        </w:tc>
        <w:tc>
          <w:tcPr>
            <w:tcW w:w="2848" w:type="dxa"/>
            <w:tcBorders>
              <w:top w:val="nil"/>
              <w:left w:val="nil"/>
              <w:bottom w:val="single" w:color="auto" w:sz="4" w:space="0"/>
              <w:right w:val="single" w:color="auto" w:sz="4" w:space="0"/>
            </w:tcBorders>
            <w:vAlign w:val="center"/>
          </w:tcPr>
          <w:p>
            <w:pPr>
              <w:widowControl/>
              <w:spacing w:line="240" w:lineRule="auto"/>
              <w:ind w:firstLine="0" w:firstLineChars="0"/>
              <w:rPr>
                <w:rFonts w:hint="eastAsia" w:asciiTheme="minorEastAsia" w:hAnsiTheme="minorEastAsia" w:eastAsiaTheme="minorEastAsia" w:cstheme="minorEastAsia"/>
                <w:color w:val="auto"/>
                <w:kern w:val="2"/>
                <w:sz w:val="24"/>
                <w:szCs w:val="22"/>
                <w:highlight w:val="none"/>
                <w:lang w:val="en-US" w:eastAsia="zh-CN" w:bidi="ar-SA"/>
              </w:rPr>
            </w:pPr>
          </w:p>
        </w:tc>
        <w:tc>
          <w:tcPr>
            <w:tcW w:w="1579" w:type="dxa"/>
            <w:tcBorders>
              <w:top w:val="nil"/>
              <w:left w:val="nil"/>
              <w:bottom w:val="single" w:color="auto" w:sz="4" w:space="0"/>
              <w:right w:val="single" w:color="auto" w:sz="4" w:space="0"/>
            </w:tcBorders>
            <w:vAlign w:val="center"/>
          </w:tcPr>
          <w:p>
            <w:pPr>
              <w:widowControl/>
              <w:snapToGrid w:val="0"/>
              <w:spacing w:line="240" w:lineRule="auto"/>
              <w:ind w:firstLine="0" w:firstLineChars="0"/>
              <w:jc w:val="center"/>
              <w:rPr>
                <w:rFonts w:ascii="Calibri" w:hAnsi="Calibri" w:cs="Times New Roman" w:eastAsiaTheme="minorEastAsia"/>
                <w:color w:val="auto"/>
                <w:kern w:val="0"/>
                <w:sz w:val="24"/>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p>
        </w:tc>
        <w:tc>
          <w:tcPr>
            <w:tcW w:w="1666" w:type="dxa"/>
            <w:tcBorders>
              <w:top w:val="nil"/>
              <w:left w:val="nil"/>
              <w:bottom w:val="single" w:color="auto" w:sz="4" w:space="0"/>
              <w:right w:val="single" w:color="auto" w:sz="4" w:space="0"/>
            </w:tcBorders>
            <w:vAlign w:val="center"/>
          </w:tcPr>
          <w:p>
            <w:pPr>
              <w:spacing w:line="240" w:lineRule="auto"/>
              <w:ind w:firstLine="0" w:firstLineChars="0"/>
              <w:jc w:val="center"/>
              <w:rPr>
                <w:rFonts w:hint="default" w:ascii="Calibri" w:hAnsi="Calibri" w:cs="Times New Roman" w:eastAsiaTheme="minorEastAsia"/>
                <w:color w:val="auto"/>
                <w:kern w:val="2"/>
                <w:sz w:val="24"/>
                <w:szCs w:val="22"/>
                <w:highlight w:val="none"/>
                <w:lang w:val="en-US" w:eastAsia="zh-CN" w:bidi="ar-SA"/>
              </w:rPr>
            </w:pPr>
          </w:p>
        </w:tc>
        <w:tc>
          <w:tcPr>
            <w:tcW w:w="1667" w:type="dxa"/>
            <w:tcBorders>
              <w:top w:val="nil"/>
              <w:left w:val="nil"/>
              <w:bottom w:val="single" w:color="auto" w:sz="4"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color w:val="auto"/>
                <w:highlight w:val="none"/>
              </w:rPr>
            </w:pPr>
            <w:r>
              <w:rPr>
                <w:rFonts w:hint="eastAsia"/>
                <w:color w:val="auto"/>
                <w:highlight w:val="none"/>
              </w:rPr>
              <w:t>建筑工程</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（一）</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color w:val="auto"/>
                <w:highlight w:val="none"/>
              </w:rPr>
            </w:pPr>
            <w:r>
              <w:rPr>
                <w:rFonts w:hint="eastAsia"/>
                <w:color w:val="auto"/>
                <w:highlight w:val="none"/>
              </w:rPr>
              <w:t>设备部分</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color w:val="auto"/>
                <w:highlight w:val="none"/>
              </w:rPr>
              <w:t>1</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left"/>
              <w:rPr>
                <w:color w:val="auto"/>
                <w:highlight w:val="none"/>
              </w:rPr>
            </w:pPr>
            <w:r>
              <w:rPr>
                <w:rFonts w:hint="eastAsia"/>
                <w:color w:val="auto"/>
                <w:highlight w:val="none"/>
              </w:rPr>
              <w:t>主变水喷淋灭火系统（含电缆）</w:t>
            </w:r>
          </w:p>
        </w:tc>
        <w:tc>
          <w:tcPr>
            <w:tcW w:w="157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2</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left"/>
              <w:rPr>
                <w:rFonts w:hint="eastAsia" w:eastAsiaTheme="minorEastAsia"/>
                <w:color w:val="auto"/>
                <w:highlight w:val="none"/>
                <w:lang w:eastAsia="zh-CN"/>
              </w:rPr>
            </w:pPr>
            <w:r>
              <w:rPr>
                <w:rFonts w:hint="eastAsia"/>
                <w:color w:val="auto"/>
                <w:highlight w:val="none"/>
              </w:rPr>
              <w:t>消防及火灾自动报警系统（含电缆）</w:t>
            </w:r>
          </w:p>
        </w:tc>
        <w:tc>
          <w:tcPr>
            <w:tcW w:w="157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3</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left"/>
              <w:rPr>
                <w:color w:val="auto"/>
                <w:highlight w:val="none"/>
              </w:rPr>
            </w:pPr>
            <w:r>
              <w:rPr>
                <w:rFonts w:hint="eastAsia"/>
                <w:color w:val="auto"/>
                <w:highlight w:val="none"/>
              </w:rPr>
              <w:t>供水一体化设备</w:t>
            </w:r>
          </w:p>
        </w:tc>
        <w:tc>
          <w:tcPr>
            <w:tcW w:w="157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69"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4</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r>
              <w:rPr>
                <w:rFonts w:hint="eastAsia"/>
                <w:color w:val="auto"/>
                <w:highlight w:val="none"/>
              </w:rPr>
              <w:t>污水处理装置</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5</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r>
              <w:rPr>
                <w:rFonts w:hint="eastAsia"/>
                <w:color w:val="auto"/>
                <w:highlight w:val="none"/>
              </w:rPr>
              <w:t>排气扇</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台</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6</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r>
              <w:rPr>
                <w:rFonts w:hint="eastAsia"/>
                <w:color w:val="auto"/>
                <w:highlight w:val="none"/>
              </w:rPr>
              <w:t>轴流风机</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台</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7</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eastAsiaTheme="minorEastAsia"/>
                <w:color w:val="auto"/>
                <w:highlight w:val="none"/>
                <w:lang w:eastAsia="zh-CN"/>
              </w:rPr>
            </w:pPr>
            <w:r>
              <w:rPr>
                <w:rFonts w:hint="eastAsia"/>
                <w:color w:val="auto"/>
                <w:highlight w:val="none"/>
              </w:rPr>
              <w:t>感温消防系统</w:t>
            </w:r>
            <w:r>
              <w:rPr>
                <w:rFonts w:hint="eastAsia"/>
                <w:color w:val="auto"/>
                <w:highlight w:val="none"/>
                <w:lang w:eastAsia="zh-CN"/>
              </w:rPr>
              <w:t>（含设备、感温电缆或光纤）</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8</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r>
              <w:rPr>
                <w:rFonts w:hint="eastAsia"/>
                <w:color w:val="auto"/>
                <w:highlight w:val="none"/>
                <w:lang w:eastAsia="zh-CN"/>
              </w:rPr>
              <w:t>消防器材、</w:t>
            </w:r>
            <w:r>
              <w:rPr>
                <w:rFonts w:hint="eastAsia" w:ascii="宋体" w:hAnsi="宋体"/>
                <w:color w:val="auto"/>
                <w:highlight w:val="none"/>
              </w:rPr>
              <w:t>消防铲、消防斧、消防桶</w:t>
            </w:r>
            <w:r>
              <w:rPr>
                <w:rFonts w:hint="eastAsia" w:ascii="宋体" w:hAnsi="宋体"/>
                <w:color w:val="auto"/>
                <w:highlight w:val="none"/>
                <w:lang w:eastAsia="zh-CN"/>
              </w:rPr>
              <w:t>（</w:t>
            </w:r>
            <w:r>
              <w:rPr>
                <w:rFonts w:hint="eastAsia" w:ascii="宋体" w:hAnsi="宋体"/>
                <w:color w:val="auto"/>
                <w:highlight w:val="none"/>
                <w:lang w:val="en-US" w:eastAsia="zh-CN"/>
              </w:rPr>
              <w:t>器材质量</w:t>
            </w:r>
            <w:r>
              <w:rPr>
                <w:rFonts w:hint="eastAsia" w:ascii="宋体" w:hAnsi="宋体"/>
                <w:color w:val="auto"/>
                <w:highlight w:val="none"/>
                <w:lang w:eastAsia="zh-CN"/>
              </w:rPr>
              <w:t>符合国家相关法律、法规的要</w:t>
            </w:r>
            <w:r>
              <w:rPr>
                <w:rFonts w:hint="eastAsia" w:ascii="宋体" w:hAnsi="宋体"/>
                <w:color w:val="auto"/>
                <w:highlight w:val="none"/>
                <w:lang w:val="en-US" w:eastAsia="zh-CN"/>
              </w:rPr>
              <w:t>求</w:t>
            </w:r>
            <w:r>
              <w:rPr>
                <w:rFonts w:hint="eastAsia" w:ascii="宋体" w:hAnsi="宋体"/>
                <w:color w:val="auto"/>
                <w:highlight w:val="none"/>
                <w:lang w:eastAsia="zh-CN"/>
              </w:rPr>
              <w:t>）</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hint="eastAsia" w:eastAsiaTheme="minorEastAsia"/>
                <w:color w:val="auto"/>
                <w:highlight w:val="none"/>
                <w:lang w:val="en-US" w:eastAsia="zh-CN"/>
              </w:rPr>
            </w:pPr>
            <w:r>
              <w:rPr>
                <w:rFonts w:hint="eastAsia"/>
                <w:color w:val="auto"/>
                <w:highlight w:val="none"/>
                <w:lang w:val="en-US" w:eastAsia="zh-CN"/>
              </w:rPr>
              <w:t>9</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highlight w:val="none"/>
              </w:rPr>
            </w:pPr>
            <w:r>
              <w:rPr>
                <w:rFonts w:hint="eastAsia" w:cs="Times New Roman"/>
                <w:color w:val="auto"/>
                <w:highlight w:val="none"/>
              </w:rPr>
              <w:t>户内动力配电箱、户内检修电源箱</w:t>
            </w:r>
            <w:r>
              <w:rPr>
                <w:rFonts w:hint="eastAsia" w:cs="Times New Roman"/>
                <w:color w:val="auto"/>
                <w:highlight w:val="none"/>
                <w:lang w:eastAsia="zh-CN"/>
              </w:rPr>
              <w:t>（</w:t>
            </w:r>
            <w:r>
              <w:rPr>
                <w:rFonts w:hint="eastAsia" w:cs="Times New Roman"/>
                <w:color w:val="auto"/>
                <w:highlight w:val="none"/>
                <w:lang w:val="en-US" w:eastAsia="zh-CN"/>
              </w:rPr>
              <w:t>含照明、消防的配电箱和电源箱</w:t>
            </w:r>
            <w:r>
              <w:rPr>
                <w:rFonts w:hint="eastAsia" w:cs="Times New Roman"/>
                <w:color w:val="auto"/>
                <w:highlight w:val="none"/>
                <w:lang w:eastAsia="zh-CN"/>
              </w:rPr>
              <w:t>）</w:t>
            </w:r>
          </w:p>
        </w:tc>
        <w:tc>
          <w:tcPr>
            <w:tcW w:w="157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highlight w:val="none"/>
              </w:rPr>
            </w:pPr>
            <w:r>
              <w:rPr>
                <w:rFonts w:hint="eastAsia" w:cs="Times New Roman"/>
                <w:color w:val="auto"/>
                <w:highlight w:val="none"/>
              </w:rPr>
              <w:t>个</w:t>
            </w: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highlight w:val="none"/>
              </w:rPr>
            </w:pPr>
            <w:r>
              <w:rPr>
                <w:rFonts w:hint="eastAsia" w:cs="Times New Roman"/>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top"/>
          </w:tcPr>
          <w:p>
            <w:pPr>
              <w:spacing w:line="240" w:lineRule="auto"/>
              <w:ind w:firstLine="0" w:firstLineChars="0"/>
              <w:rPr>
                <w:rFonts w:hint="eastAsia" w:cs="Times New Roman"/>
                <w:color w:val="auto"/>
                <w:highlight w:val="none"/>
              </w:rPr>
            </w:pPr>
            <w:r>
              <w:rPr>
                <w:rFonts w:hint="eastAsia" w:cs="Times New Roman"/>
                <w:color w:val="auto"/>
                <w:highlight w:val="none"/>
              </w:rPr>
              <w:t>电力建设工程装置性材料预算价（</w:t>
            </w:r>
            <w:r>
              <w:rPr>
                <w:rFonts w:hint="eastAsia" w:cs="Times New Roman"/>
                <w:color w:val="auto"/>
                <w:highlight w:val="none"/>
                <w:lang w:eastAsia="zh-CN"/>
              </w:rPr>
              <w:t>2018年版</w:t>
            </w:r>
            <w:r>
              <w:rPr>
                <w:rFonts w:hint="eastAsia" w:cs="Times New Roman"/>
                <w:color w:val="auto"/>
                <w:highlight w:val="none"/>
              </w:rPr>
              <w:t>）</w:t>
            </w: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hint="default" w:eastAsiaTheme="minorEastAsia"/>
                <w:color w:val="auto"/>
                <w:highlight w:val="none"/>
                <w:lang w:val="en-US" w:eastAsia="zh-CN"/>
              </w:rPr>
            </w:pPr>
            <w:r>
              <w:rPr>
                <w:rFonts w:hint="eastAsia"/>
                <w:color w:val="auto"/>
                <w:highlight w:val="none"/>
                <w:lang w:val="en-US" w:eastAsia="zh-CN"/>
              </w:rPr>
              <w:t>10</w:t>
            </w:r>
          </w:p>
        </w:tc>
        <w:tc>
          <w:tcPr>
            <w:tcW w:w="2848"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r>
              <w:rPr>
                <w:rFonts w:hint="eastAsia"/>
                <w:color w:val="auto"/>
                <w:highlight w:val="none"/>
              </w:rPr>
              <w:t>除以上标明的设备及招标人购买外的所有设备</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color w:val="auto"/>
                <w:highlight w:val="none"/>
              </w:rPr>
            </w:pPr>
            <w:r>
              <w:rPr>
                <w:rFonts w:hint="eastAsia"/>
                <w:color w:val="auto"/>
                <w:highlight w:val="none"/>
              </w:rPr>
              <w:t>材料部分</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right"/>
              <w:rPr>
                <w:color w:val="auto"/>
                <w:highlight w:val="none"/>
              </w:rPr>
            </w:pPr>
          </w:p>
        </w:tc>
      </w:tr>
      <w:tr>
        <w:tblPrEx>
          <w:tblCellMar>
            <w:top w:w="0" w:type="dxa"/>
            <w:left w:w="108" w:type="dxa"/>
            <w:bottom w:w="0" w:type="dxa"/>
            <w:right w:w="108" w:type="dxa"/>
          </w:tblCellMar>
        </w:tblPrEx>
        <w:trPr>
          <w:trHeight w:val="397" w:hRule="atLeast"/>
          <w:jc w:val="center"/>
        </w:trPr>
        <w:tc>
          <w:tcPr>
            <w:tcW w:w="94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color w:val="auto"/>
                <w:highlight w:val="none"/>
              </w:rPr>
            </w:pPr>
            <w:r>
              <w:rPr>
                <w:rFonts w:hint="eastAsia"/>
                <w:color w:val="auto"/>
                <w:highlight w:val="none"/>
              </w:rPr>
              <w:t>1</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color w:val="auto"/>
                <w:highlight w:val="none"/>
              </w:rPr>
            </w:pPr>
            <w:r>
              <w:rPr>
                <w:rFonts w:hint="eastAsia"/>
                <w:color w:val="auto"/>
                <w:highlight w:val="none"/>
              </w:rPr>
              <w:t>除招标人购买外的所有材料</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ascii="Calibri" w:hAnsi="Calibri" w:cs="Times New Roman" w:eastAsiaTheme="minorEastAsia"/>
                <w:color w:val="auto"/>
                <w:kern w:val="2"/>
                <w:sz w:val="24"/>
                <w:szCs w:val="22"/>
                <w:highlight w:val="none"/>
                <w:lang w:val="en-US" w:eastAsia="zh-CN" w:bidi="ar-SA"/>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rFonts w:ascii="Calibri" w:hAnsi="Calibri" w:cs="Times New Roman" w:eastAsiaTheme="minorEastAsia"/>
                <w:color w:val="auto"/>
                <w:kern w:val="2"/>
                <w:sz w:val="24"/>
                <w:szCs w:val="22"/>
                <w:highlight w:val="none"/>
                <w:lang w:val="en-US" w:eastAsia="zh-CN" w:bidi="ar-SA"/>
              </w:rPr>
            </w:pPr>
            <w:r>
              <w:rPr>
                <w:rFonts w:hint="eastAsia"/>
                <w:color w:val="auto"/>
                <w:highlight w:val="none"/>
              </w:rPr>
              <w:t>自行报价</w:t>
            </w:r>
          </w:p>
        </w:tc>
      </w:tr>
    </w:tbl>
    <w:p>
      <w:pPr>
        <w:pStyle w:val="19"/>
        <w:ind w:firstLine="480"/>
        <w:rPr>
          <w:rFonts w:hint="eastAsia"/>
          <w:color w:val="auto"/>
          <w:highlight w:val="none"/>
        </w:rPr>
      </w:pPr>
    </w:p>
    <w:p>
      <w:pPr>
        <w:pStyle w:val="19"/>
        <w:ind w:firstLine="480"/>
        <w:rPr>
          <w:rFonts w:hint="eastAsia"/>
          <w:color w:val="auto"/>
          <w:highlight w:val="none"/>
        </w:rPr>
      </w:pPr>
    </w:p>
    <w:p>
      <w:pPr>
        <w:pStyle w:val="19"/>
        <w:ind w:firstLine="480"/>
        <w:rPr>
          <w:rFonts w:hint="eastAsia"/>
          <w:color w:val="auto"/>
          <w:highlight w:val="none"/>
        </w:rPr>
      </w:pPr>
    </w:p>
    <w:p>
      <w:pPr>
        <w:pStyle w:val="2"/>
        <w:rPr>
          <w:rFonts w:hint="eastAsia" w:ascii="Arial" w:hAnsi="Arial" w:cs="Times New Roman" w:eastAsiaTheme="minorEastAsia"/>
          <w:b/>
          <w:color w:val="auto"/>
          <w:kern w:val="2"/>
          <w:sz w:val="24"/>
          <w:szCs w:val="24"/>
          <w:highlight w:val="none"/>
          <w:lang w:val="en-US" w:eastAsia="zh-CN" w:bidi="ar-SA"/>
        </w:rPr>
      </w:pPr>
      <w:r>
        <w:rPr>
          <w:rFonts w:hint="eastAsia" w:cs="Times New Roman"/>
          <w:b/>
          <w:color w:val="auto"/>
          <w:kern w:val="2"/>
          <w:sz w:val="24"/>
          <w:szCs w:val="24"/>
          <w:highlight w:val="none"/>
          <w:lang w:val="en-US" w:eastAsia="zh-CN" w:bidi="ar-SA"/>
        </w:rPr>
        <w:t>4</w:t>
      </w:r>
      <w:r>
        <w:rPr>
          <w:rFonts w:hint="eastAsia" w:ascii="Arial" w:hAnsi="Arial" w:cs="Times New Roman" w:eastAsiaTheme="minorEastAsia"/>
          <w:b/>
          <w:color w:val="auto"/>
          <w:kern w:val="2"/>
          <w:sz w:val="24"/>
          <w:szCs w:val="24"/>
          <w:highlight w:val="none"/>
          <w:lang w:val="en-US" w:eastAsia="zh-CN" w:bidi="ar-SA"/>
        </w:rPr>
        <w:t xml:space="preserve">.2 </w:t>
      </w:r>
      <w:r>
        <w:rPr>
          <w:rFonts w:hint="eastAsia" w:cs="Times New Roman"/>
          <w:b/>
          <w:color w:val="auto"/>
          <w:kern w:val="2"/>
          <w:sz w:val="24"/>
          <w:szCs w:val="24"/>
          <w:highlight w:val="none"/>
          <w:lang w:val="en-US" w:eastAsia="zh-CN" w:bidi="ar-SA"/>
        </w:rPr>
        <w:t>对侧间隔</w:t>
      </w:r>
      <w:r>
        <w:rPr>
          <w:rFonts w:hint="eastAsia" w:ascii="Arial" w:hAnsi="Arial" w:cs="Times New Roman" w:eastAsiaTheme="minorEastAsia"/>
          <w:b/>
          <w:color w:val="auto"/>
          <w:kern w:val="2"/>
          <w:sz w:val="24"/>
          <w:szCs w:val="24"/>
          <w:highlight w:val="none"/>
          <w:lang w:val="en-US" w:eastAsia="zh-CN" w:bidi="ar-SA"/>
        </w:rPr>
        <w:t>改造工程</w:t>
      </w:r>
    </w:p>
    <w:p>
      <w:pPr>
        <w:spacing w:line="360" w:lineRule="auto"/>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招标人提供的设备、材料清单</w:t>
      </w:r>
    </w:p>
    <w:tbl>
      <w:tblPr>
        <w:tblStyle w:val="12"/>
        <w:tblW w:w="9889" w:type="dxa"/>
        <w:jc w:val="center"/>
        <w:tblLayout w:type="fixed"/>
        <w:tblCellMar>
          <w:top w:w="0" w:type="dxa"/>
          <w:left w:w="108" w:type="dxa"/>
          <w:bottom w:w="0" w:type="dxa"/>
          <w:right w:w="108" w:type="dxa"/>
        </w:tblCellMar>
      </w:tblPr>
      <w:tblGrid>
        <w:gridCol w:w="878"/>
        <w:gridCol w:w="3484"/>
        <w:gridCol w:w="850"/>
        <w:gridCol w:w="852"/>
        <w:gridCol w:w="1135"/>
        <w:gridCol w:w="2690"/>
      </w:tblGrid>
      <w:tr>
        <w:tblPrEx>
          <w:tblCellMar>
            <w:top w:w="0" w:type="dxa"/>
            <w:left w:w="108" w:type="dxa"/>
            <w:bottom w:w="0" w:type="dxa"/>
            <w:right w:w="108" w:type="dxa"/>
          </w:tblCellMar>
        </w:tblPrEx>
        <w:trPr>
          <w:trHeight w:val="397" w:hRule="atLeast"/>
          <w:tblHeader/>
          <w:jc w:val="center"/>
        </w:trPr>
        <w:tc>
          <w:tcPr>
            <w:tcW w:w="878" w:type="dxa"/>
            <w:tcBorders>
              <w:top w:val="single" w:color="auto" w:sz="8" w:space="0"/>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序号</w:t>
            </w:r>
          </w:p>
        </w:tc>
        <w:tc>
          <w:tcPr>
            <w:tcW w:w="3484" w:type="dxa"/>
            <w:tcBorders>
              <w:top w:val="single" w:color="auto" w:sz="8" w:space="0"/>
              <w:left w:val="nil"/>
              <w:bottom w:val="single" w:color="auto" w:sz="4" w:space="0"/>
              <w:right w:val="single" w:color="auto" w:sz="4" w:space="0"/>
            </w:tcBorders>
            <w:vAlign w:val="center"/>
          </w:tcPr>
          <w:p>
            <w:pPr>
              <w:widowControl/>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设备、材料名称</w:t>
            </w:r>
          </w:p>
        </w:tc>
        <w:tc>
          <w:tcPr>
            <w:tcW w:w="850" w:type="dxa"/>
            <w:tcBorders>
              <w:top w:val="single" w:color="auto" w:sz="8" w:space="0"/>
              <w:left w:val="nil"/>
              <w:bottom w:val="single" w:color="auto" w:sz="4" w:space="0"/>
              <w:right w:val="single" w:color="auto" w:sz="4" w:space="0"/>
            </w:tcBorders>
            <w:vAlign w:val="center"/>
          </w:tcPr>
          <w:p>
            <w:pPr>
              <w:widowControl/>
              <w:ind w:left="0" w:leftChars="0" w:firstLine="0" w:firstLineChars="0"/>
              <w:jc w:val="both"/>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规格型号</w:t>
            </w:r>
          </w:p>
        </w:tc>
        <w:tc>
          <w:tcPr>
            <w:tcW w:w="852" w:type="dxa"/>
            <w:tcBorders>
              <w:top w:val="single" w:color="auto" w:sz="8" w:space="0"/>
              <w:left w:val="nil"/>
              <w:bottom w:val="single" w:color="auto" w:sz="4" w:space="0"/>
              <w:right w:val="single" w:color="auto" w:sz="4" w:space="0"/>
            </w:tcBorders>
            <w:vAlign w:val="center"/>
          </w:tcPr>
          <w:p>
            <w:pPr>
              <w:widowControl/>
              <w:ind w:left="0" w:leftChars="0" w:firstLine="0" w:firstLineChars="0"/>
              <w:jc w:val="both"/>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单位</w:t>
            </w:r>
          </w:p>
        </w:tc>
        <w:tc>
          <w:tcPr>
            <w:tcW w:w="1135" w:type="dxa"/>
            <w:tcBorders>
              <w:top w:val="single" w:color="auto" w:sz="8" w:space="0"/>
              <w:left w:val="nil"/>
              <w:bottom w:val="single" w:color="auto" w:sz="4" w:space="0"/>
              <w:right w:val="single" w:color="auto" w:sz="4" w:space="0"/>
            </w:tcBorders>
            <w:vAlign w:val="center"/>
          </w:tcPr>
          <w:p>
            <w:pPr>
              <w:widowControl/>
              <w:ind w:left="0" w:leftChars="0" w:firstLine="0" w:firstLineChars="0"/>
              <w:jc w:val="both"/>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数量</w:t>
            </w:r>
          </w:p>
        </w:tc>
        <w:tc>
          <w:tcPr>
            <w:tcW w:w="2690" w:type="dxa"/>
            <w:tcBorders>
              <w:top w:val="single" w:color="auto" w:sz="8" w:space="0"/>
              <w:left w:val="nil"/>
              <w:bottom w:val="single" w:color="auto" w:sz="4" w:space="0"/>
              <w:right w:val="single" w:color="auto" w:sz="4" w:space="0"/>
            </w:tcBorders>
            <w:vAlign w:val="center"/>
          </w:tcPr>
          <w:p>
            <w:pPr>
              <w:widowControl/>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单价（元）</w:t>
            </w:r>
          </w:p>
        </w:tc>
      </w:tr>
      <w:tr>
        <w:tblPrEx>
          <w:tblCellMar>
            <w:top w:w="0" w:type="dxa"/>
            <w:left w:w="108" w:type="dxa"/>
            <w:bottom w:w="0" w:type="dxa"/>
            <w:right w:w="108" w:type="dxa"/>
          </w:tblCellMar>
        </w:tblPrEx>
        <w:trPr>
          <w:trHeight w:val="397" w:hRule="atLeast"/>
          <w:jc w:val="center"/>
        </w:trPr>
        <w:tc>
          <w:tcPr>
            <w:tcW w:w="878" w:type="dxa"/>
            <w:tcBorders>
              <w:top w:val="nil"/>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一</w:t>
            </w:r>
          </w:p>
        </w:tc>
        <w:tc>
          <w:tcPr>
            <w:tcW w:w="3484" w:type="dxa"/>
            <w:tcBorders>
              <w:top w:val="nil"/>
              <w:left w:val="nil"/>
              <w:bottom w:val="single" w:color="auto" w:sz="4" w:space="0"/>
              <w:right w:val="single" w:color="auto" w:sz="4" w:space="0"/>
            </w:tcBorders>
            <w:vAlign w:val="center"/>
          </w:tcPr>
          <w:p>
            <w:pPr>
              <w:widowControl/>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 xml:space="preserve">安装工程（含通信） </w:t>
            </w:r>
          </w:p>
        </w:tc>
        <w:tc>
          <w:tcPr>
            <w:tcW w:w="850" w:type="dxa"/>
            <w:tcBorders>
              <w:top w:val="nil"/>
              <w:left w:val="nil"/>
              <w:bottom w:val="single" w:color="auto" w:sz="4" w:space="0"/>
              <w:right w:val="single" w:color="auto" w:sz="4" w:space="0"/>
            </w:tcBorders>
            <w:vAlign w:val="center"/>
          </w:tcPr>
          <w:p>
            <w:pPr>
              <w:widowControl/>
              <w:snapToGrid w:val="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nil"/>
              <w:left w:val="nil"/>
              <w:bottom w:val="single" w:color="auto" w:sz="4" w:space="0"/>
              <w:right w:val="single" w:color="auto" w:sz="4" w:space="0"/>
            </w:tcBorders>
            <w:vAlign w:val="center"/>
          </w:tcPr>
          <w:p>
            <w:pPr>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nil"/>
              <w:left w:val="nil"/>
              <w:bottom w:val="single" w:color="auto" w:sz="4" w:space="0"/>
              <w:right w:val="single" w:color="auto" w:sz="4" w:space="0"/>
            </w:tcBorders>
            <w:vAlign w:val="center"/>
          </w:tcPr>
          <w:p>
            <w:pPr>
              <w:widowControl/>
              <w:jc w:val="righ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78" w:type="dxa"/>
            <w:tcBorders>
              <w:top w:val="nil"/>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（一）</w:t>
            </w:r>
          </w:p>
        </w:tc>
        <w:tc>
          <w:tcPr>
            <w:tcW w:w="3484"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设备部分</w:t>
            </w:r>
          </w:p>
        </w:tc>
        <w:tc>
          <w:tcPr>
            <w:tcW w:w="850"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nil"/>
              <w:left w:val="nil"/>
              <w:bottom w:val="single" w:color="auto" w:sz="4" w:space="0"/>
              <w:right w:val="single" w:color="auto" w:sz="4" w:space="0"/>
            </w:tcBorders>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3484"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除中标人购买外的所有设备（其中封闭母线桥列为甲供设备）</w:t>
            </w:r>
          </w:p>
        </w:tc>
        <w:tc>
          <w:tcPr>
            <w:tcW w:w="850"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p>
        </w:tc>
        <w:tc>
          <w:tcPr>
            <w:tcW w:w="852"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p>
        </w:tc>
        <w:tc>
          <w:tcPr>
            <w:tcW w:w="1135"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自行计算</w:t>
            </w:r>
          </w:p>
        </w:tc>
        <w:tc>
          <w:tcPr>
            <w:tcW w:w="2690"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p>
        </w:tc>
      </w:tr>
      <w:tr>
        <w:tblPrEx>
          <w:tblCellMar>
            <w:top w:w="0" w:type="dxa"/>
            <w:left w:w="108" w:type="dxa"/>
            <w:bottom w:w="0" w:type="dxa"/>
            <w:right w:w="108" w:type="dxa"/>
          </w:tblCellMar>
        </w:tblPrEx>
        <w:trPr>
          <w:trHeight w:val="397" w:hRule="atLeast"/>
          <w:jc w:val="center"/>
        </w:trPr>
        <w:tc>
          <w:tcPr>
            <w:tcW w:w="878"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（二）</w:t>
            </w:r>
          </w:p>
        </w:tc>
        <w:tc>
          <w:tcPr>
            <w:tcW w:w="3484"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材料部分</w:t>
            </w:r>
          </w:p>
        </w:tc>
        <w:tc>
          <w:tcPr>
            <w:tcW w:w="850"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nil"/>
              <w:left w:val="nil"/>
              <w:bottom w:val="single" w:color="auto" w:sz="4" w:space="0"/>
              <w:right w:val="single" w:color="auto" w:sz="4" w:space="0"/>
            </w:tcBorders>
            <w:vAlign w:val="center"/>
          </w:tcPr>
          <w:p>
            <w:pPr>
              <w:ind w:left="0" w:leftChars="0" w:firstLine="0" w:firstLineChars="0"/>
              <w:jc w:val="righ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78"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3484"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电力电缆（不含照明电缆）、控制电缆（不含消防电缆、通信电缆、装置对时电缆）</w:t>
            </w:r>
          </w:p>
        </w:tc>
        <w:tc>
          <w:tcPr>
            <w:tcW w:w="850"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p>
        </w:tc>
        <w:tc>
          <w:tcPr>
            <w:tcW w:w="852"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m</w:t>
            </w:r>
          </w:p>
        </w:tc>
        <w:tc>
          <w:tcPr>
            <w:tcW w:w="1135" w:type="dxa"/>
            <w:tcBorders>
              <w:top w:val="nil"/>
              <w:left w:val="nil"/>
              <w:bottom w:val="single" w:color="auto" w:sz="4" w:space="0"/>
              <w:right w:val="single" w:color="auto" w:sz="4" w:space="0"/>
            </w:tcBorders>
            <w:vAlign w:val="center"/>
          </w:tcPr>
          <w:p>
            <w:pPr>
              <w:spacing w:line="240" w:lineRule="auto"/>
              <w:ind w:firstLine="0" w:firstLineChars="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自行计算</w:t>
            </w:r>
          </w:p>
        </w:tc>
        <w:tc>
          <w:tcPr>
            <w:tcW w:w="2690" w:type="dxa"/>
            <w:tcBorders>
              <w:top w:val="nil"/>
              <w:left w:val="nil"/>
              <w:bottom w:val="single" w:color="auto" w:sz="4" w:space="0"/>
              <w:right w:val="single" w:color="auto" w:sz="4" w:space="0"/>
            </w:tcBorders>
          </w:tcPr>
          <w:p>
            <w:pPr>
              <w:spacing w:line="240" w:lineRule="auto"/>
              <w:ind w:firstLine="0" w:firstLineChars="0"/>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2</w:t>
            </w:r>
          </w:p>
        </w:tc>
        <w:tc>
          <w:tcPr>
            <w:tcW w:w="348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户外检修电源箱、户外动力箱、发电车开关箱、端子箱</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个</w:t>
            </w:r>
          </w:p>
        </w:tc>
        <w:tc>
          <w:tcPr>
            <w:tcW w:w="1135"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3</w:t>
            </w:r>
          </w:p>
        </w:tc>
        <w:tc>
          <w:tcPr>
            <w:tcW w:w="348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rPr>
              <w:t>35kV</w:t>
            </w:r>
            <w:r>
              <w:rPr>
                <w:rFonts w:hint="eastAsia" w:cs="Times New Roman"/>
                <w:color w:val="auto"/>
                <w:highlight w:val="none"/>
                <w:lang w:eastAsia="zh-CN"/>
              </w:rPr>
              <w:t>及以上</w:t>
            </w:r>
            <w:r>
              <w:rPr>
                <w:rFonts w:hint="eastAsia" w:cs="Times New Roman"/>
                <w:color w:val="auto"/>
                <w:highlight w:val="none"/>
              </w:rPr>
              <w:t>支柱绝缘子</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个</w:t>
            </w:r>
          </w:p>
        </w:tc>
        <w:tc>
          <w:tcPr>
            <w:tcW w:w="1135"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4</w:t>
            </w:r>
          </w:p>
        </w:tc>
        <w:tc>
          <w:tcPr>
            <w:tcW w:w="348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导线（不含金具）</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吨</w:t>
            </w:r>
          </w:p>
        </w:tc>
        <w:tc>
          <w:tcPr>
            <w:tcW w:w="1135"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5</w:t>
            </w:r>
          </w:p>
        </w:tc>
        <w:tc>
          <w:tcPr>
            <w:tcW w:w="348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绝缘子（不含金具）</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片</w:t>
            </w:r>
          </w:p>
        </w:tc>
        <w:tc>
          <w:tcPr>
            <w:tcW w:w="1135"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6</w:t>
            </w:r>
          </w:p>
        </w:tc>
        <w:tc>
          <w:tcPr>
            <w:tcW w:w="348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35kV穿墙套管</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只</w:t>
            </w:r>
          </w:p>
        </w:tc>
        <w:tc>
          <w:tcPr>
            <w:tcW w:w="1135"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7</w:t>
            </w:r>
          </w:p>
        </w:tc>
        <w:tc>
          <w:tcPr>
            <w:tcW w:w="3484"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电缆桥架、复合电缆支架</w:t>
            </w: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支</w:t>
            </w:r>
          </w:p>
        </w:tc>
        <w:tc>
          <w:tcPr>
            <w:tcW w:w="1135" w:type="dxa"/>
            <w:tcBorders>
              <w:top w:val="single" w:color="auto" w:sz="6" w:space="0"/>
              <w:left w:val="single" w:color="auto" w:sz="6" w:space="0"/>
              <w:bottom w:val="single" w:color="auto" w:sz="6" w:space="0"/>
              <w:right w:val="single" w:color="auto" w:sz="6" w:space="0"/>
            </w:tcBorders>
            <w:vAlign w:val="center"/>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widowControl/>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s="Times New Roman"/>
                <w:color w:val="auto"/>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二</w:t>
            </w:r>
          </w:p>
        </w:tc>
        <w:tc>
          <w:tcPr>
            <w:tcW w:w="3484"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建筑工程</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single" w:color="auto" w:sz="6" w:space="0"/>
              <w:left w:val="single" w:color="auto" w:sz="6" w:space="0"/>
              <w:bottom w:val="single" w:color="auto" w:sz="6" w:space="0"/>
              <w:right w:val="single" w:color="auto" w:sz="4" w:space="0"/>
            </w:tcBorders>
            <w:vAlign w:val="center"/>
          </w:tcPr>
          <w:p>
            <w:pPr>
              <w:ind w:left="0" w:leftChars="0" w:firstLine="0" w:firstLineChars="0"/>
              <w:jc w:val="righ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（一）</w:t>
            </w:r>
          </w:p>
        </w:tc>
        <w:tc>
          <w:tcPr>
            <w:tcW w:w="3484"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设备部分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single" w:color="auto" w:sz="6" w:space="0"/>
              <w:left w:val="single" w:color="auto" w:sz="6" w:space="0"/>
              <w:bottom w:val="single" w:color="auto" w:sz="6" w:space="0"/>
              <w:right w:val="single" w:color="auto" w:sz="4" w:space="0"/>
            </w:tcBorders>
            <w:vAlign w:val="center"/>
          </w:tcPr>
          <w:p>
            <w:pPr>
              <w:ind w:left="0" w:leftChars="0" w:firstLine="0" w:firstLineChars="0"/>
              <w:jc w:val="righ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15"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3484"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无</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single" w:color="auto" w:sz="6" w:space="0"/>
              <w:left w:val="single" w:color="auto" w:sz="6" w:space="0"/>
              <w:bottom w:val="single" w:color="auto" w:sz="6" w:space="0"/>
              <w:right w:val="single" w:color="auto" w:sz="4" w:space="0"/>
            </w:tcBorders>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（二）</w:t>
            </w:r>
          </w:p>
        </w:tc>
        <w:tc>
          <w:tcPr>
            <w:tcW w:w="3484"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材料部分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single" w:color="auto" w:sz="6" w:space="0"/>
              <w:left w:val="single" w:color="auto" w:sz="6" w:space="0"/>
              <w:bottom w:val="single" w:color="auto" w:sz="6" w:space="0"/>
              <w:right w:val="single" w:color="auto" w:sz="4" w:space="0"/>
            </w:tcBorders>
            <w:vAlign w:val="center"/>
          </w:tcPr>
          <w:p>
            <w:pPr>
              <w:ind w:left="0" w:leftChars="0" w:firstLine="0" w:firstLineChars="0"/>
              <w:jc w:val="righ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78"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3484"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无</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2690" w:type="dxa"/>
            <w:tcBorders>
              <w:top w:val="single" w:color="auto" w:sz="6" w:space="0"/>
              <w:left w:val="single" w:color="auto" w:sz="6" w:space="0"/>
              <w:bottom w:val="single" w:color="auto" w:sz="6" w:space="0"/>
              <w:right w:val="single" w:color="auto" w:sz="4" w:space="0"/>
            </w:tcBorders>
          </w:tcPr>
          <w:p>
            <w:pPr>
              <w:ind w:left="0" w:leftChars="0" w:firstLine="0" w:firstLineChars="0"/>
              <w:rPr>
                <w:rFonts w:hint="eastAsia" w:ascii="宋体" w:hAnsi="宋体" w:cs="宋体" w:eastAsiaTheme="minorEastAsia"/>
                <w:b w:val="0"/>
                <w:bCs w:val="0"/>
                <w:snapToGrid w:val="0"/>
                <w:color w:val="auto"/>
                <w:kern w:val="0"/>
                <w:sz w:val="24"/>
                <w:szCs w:val="24"/>
                <w:highlight w:val="none"/>
                <w:u w:val="none"/>
                <w:lang w:val="en-US" w:eastAsia="zh-CN" w:bidi="ar-SA"/>
              </w:rPr>
            </w:pPr>
          </w:p>
        </w:tc>
      </w:tr>
    </w:tbl>
    <w:p>
      <w:pPr>
        <w:spacing w:line="360" w:lineRule="auto"/>
        <w:jc w:val="center"/>
        <w:rPr>
          <w:rFonts w:hint="eastAsia" w:ascii="Arial" w:hAnsi="Arial" w:cs="Times New Roman" w:eastAsiaTheme="minorEastAsia"/>
          <w:b/>
          <w:color w:val="auto"/>
          <w:kern w:val="2"/>
          <w:sz w:val="24"/>
          <w:szCs w:val="24"/>
          <w:highlight w:val="none"/>
          <w:lang w:val="en-US" w:eastAsia="zh-CN" w:bidi="ar-SA"/>
        </w:rPr>
      </w:pPr>
    </w:p>
    <w:p>
      <w:pPr>
        <w:spacing w:line="360" w:lineRule="auto"/>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中标人提供的设备、材料清单</w:t>
      </w:r>
    </w:p>
    <w:tbl>
      <w:tblPr>
        <w:tblStyle w:val="12"/>
        <w:tblpPr w:leftFromText="180" w:rightFromText="180" w:vertAnchor="text" w:horzAnchor="page" w:tblpX="1129" w:tblpY="710"/>
        <w:tblW w:w="9855" w:type="dxa"/>
        <w:tblInd w:w="0" w:type="dxa"/>
        <w:tblLayout w:type="fixed"/>
        <w:tblCellMar>
          <w:top w:w="0" w:type="dxa"/>
          <w:left w:w="108" w:type="dxa"/>
          <w:bottom w:w="0" w:type="dxa"/>
          <w:right w:w="108" w:type="dxa"/>
        </w:tblCellMar>
      </w:tblPr>
      <w:tblGrid>
        <w:gridCol w:w="852"/>
        <w:gridCol w:w="4475"/>
        <w:gridCol w:w="842"/>
        <w:gridCol w:w="825"/>
        <w:gridCol w:w="1194"/>
        <w:gridCol w:w="1667"/>
      </w:tblGrid>
      <w:tr>
        <w:tblPrEx>
          <w:tblCellMar>
            <w:top w:w="0" w:type="dxa"/>
            <w:left w:w="108" w:type="dxa"/>
            <w:bottom w:w="0" w:type="dxa"/>
            <w:right w:w="108" w:type="dxa"/>
          </w:tblCellMar>
        </w:tblPrEx>
        <w:trPr>
          <w:trHeight w:val="397" w:hRule="atLeast"/>
          <w:tblHeader/>
        </w:trPr>
        <w:tc>
          <w:tcPr>
            <w:tcW w:w="852" w:type="dxa"/>
            <w:tcBorders>
              <w:top w:val="single" w:color="auto" w:sz="8" w:space="0"/>
              <w:left w:val="single" w:color="auto" w:sz="8" w:space="0"/>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序号</w:t>
            </w:r>
          </w:p>
        </w:tc>
        <w:tc>
          <w:tcPr>
            <w:tcW w:w="4475" w:type="dxa"/>
            <w:tcBorders>
              <w:top w:val="single" w:color="auto" w:sz="8" w:space="0"/>
              <w:left w:val="nil"/>
              <w:bottom w:val="single" w:color="auto" w:sz="4" w:space="0"/>
              <w:right w:val="single" w:color="auto" w:sz="4" w:space="0"/>
            </w:tcBorders>
            <w:vAlign w:val="center"/>
          </w:tcPr>
          <w:p>
            <w:pPr>
              <w:widowControl/>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设备、材料名称</w:t>
            </w:r>
          </w:p>
        </w:tc>
        <w:tc>
          <w:tcPr>
            <w:tcW w:w="842" w:type="dxa"/>
            <w:tcBorders>
              <w:top w:val="single" w:color="auto" w:sz="8" w:space="0"/>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规格型号</w:t>
            </w:r>
          </w:p>
        </w:tc>
        <w:tc>
          <w:tcPr>
            <w:tcW w:w="825" w:type="dxa"/>
            <w:tcBorders>
              <w:top w:val="single" w:color="auto" w:sz="8" w:space="0"/>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单位</w:t>
            </w:r>
          </w:p>
        </w:tc>
        <w:tc>
          <w:tcPr>
            <w:tcW w:w="1194" w:type="dxa"/>
            <w:tcBorders>
              <w:top w:val="single" w:color="auto" w:sz="8" w:space="0"/>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数量</w:t>
            </w:r>
          </w:p>
        </w:tc>
        <w:tc>
          <w:tcPr>
            <w:tcW w:w="1667" w:type="dxa"/>
            <w:tcBorders>
              <w:top w:val="single" w:color="auto" w:sz="8" w:space="0"/>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单价（元）</w:t>
            </w:r>
          </w:p>
        </w:tc>
      </w:tr>
      <w:tr>
        <w:tblPrEx>
          <w:tblCellMar>
            <w:top w:w="0" w:type="dxa"/>
            <w:left w:w="108" w:type="dxa"/>
            <w:bottom w:w="0" w:type="dxa"/>
            <w:right w:w="108" w:type="dxa"/>
          </w:tblCellMar>
        </w:tblPrEx>
        <w:trPr>
          <w:trHeight w:val="90" w:hRule="atLeast"/>
        </w:trPr>
        <w:tc>
          <w:tcPr>
            <w:tcW w:w="852" w:type="dxa"/>
            <w:tcBorders>
              <w:top w:val="nil"/>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一</w:t>
            </w:r>
          </w:p>
        </w:tc>
        <w:tc>
          <w:tcPr>
            <w:tcW w:w="4475" w:type="dxa"/>
            <w:tcBorders>
              <w:top w:val="nil"/>
              <w:left w:val="nil"/>
              <w:bottom w:val="single" w:color="auto" w:sz="4" w:space="0"/>
              <w:right w:val="single" w:color="auto" w:sz="4" w:space="0"/>
            </w:tcBorders>
            <w:vAlign w:val="center"/>
          </w:tcPr>
          <w:p>
            <w:pPr>
              <w:widowControl/>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 xml:space="preserve">安装工程（含通信） </w:t>
            </w:r>
          </w:p>
        </w:tc>
        <w:tc>
          <w:tcPr>
            <w:tcW w:w="842" w:type="dxa"/>
            <w:tcBorders>
              <w:top w:val="nil"/>
              <w:left w:val="nil"/>
              <w:bottom w:val="single" w:color="auto" w:sz="4" w:space="0"/>
              <w:right w:val="single" w:color="auto" w:sz="4" w:space="0"/>
            </w:tcBorders>
            <w:vAlign w:val="center"/>
          </w:tcPr>
          <w:p>
            <w:pPr>
              <w:widowControl/>
              <w:snapToGrid w:val="0"/>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25" w:type="dxa"/>
            <w:tcBorders>
              <w:top w:val="nil"/>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94"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667" w:type="dxa"/>
            <w:tcBorders>
              <w:top w:val="nil"/>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trHeight w:val="397" w:hRule="atLeast"/>
        </w:trPr>
        <w:tc>
          <w:tcPr>
            <w:tcW w:w="852" w:type="dxa"/>
            <w:tcBorders>
              <w:top w:val="nil"/>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b w:val="0"/>
                <w:bCs w:val="0"/>
                <w:snapToGrid w:val="0"/>
                <w:color w:val="auto"/>
                <w:kern w:val="0"/>
                <w:sz w:val="24"/>
                <w:szCs w:val="24"/>
                <w:highlight w:val="none"/>
                <w:u w:val="none"/>
                <w:lang w:val="en-US" w:eastAsia="zh-CN" w:bidi="ar-SA"/>
              </w:rPr>
              <w:t>（</w:t>
            </w:r>
            <w:r>
              <w:rPr>
                <w:rFonts w:hint="eastAsia" w:ascii="宋体" w:hAnsi="宋体" w:cs="宋体" w:eastAsiaTheme="minorEastAsia"/>
                <w:b w:val="0"/>
                <w:bCs w:val="0"/>
                <w:snapToGrid w:val="0"/>
                <w:color w:val="auto"/>
                <w:kern w:val="0"/>
                <w:sz w:val="24"/>
                <w:szCs w:val="24"/>
                <w:highlight w:val="none"/>
                <w:u w:val="none"/>
                <w:lang w:val="en-US" w:eastAsia="zh-CN" w:bidi="ar-SA"/>
              </w:rPr>
              <w:t>一）</w:t>
            </w:r>
          </w:p>
        </w:tc>
        <w:tc>
          <w:tcPr>
            <w:tcW w:w="4475" w:type="dxa"/>
            <w:tcBorders>
              <w:top w:val="nil"/>
              <w:left w:val="nil"/>
              <w:bottom w:val="single" w:color="auto" w:sz="4" w:space="0"/>
              <w:right w:val="single" w:color="auto" w:sz="4" w:space="0"/>
            </w:tcBorders>
            <w:vAlign w:val="center"/>
          </w:tcPr>
          <w:p>
            <w:pPr>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设备部分</w:t>
            </w:r>
          </w:p>
        </w:tc>
        <w:tc>
          <w:tcPr>
            <w:tcW w:w="842" w:type="dxa"/>
            <w:tcBorders>
              <w:top w:val="nil"/>
              <w:left w:val="nil"/>
              <w:bottom w:val="single" w:color="auto" w:sz="4" w:space="0"/>
              <w:right w:val="single" w:color="auto" w:sz="4" w:space="0"/>
            </w:tcBorders>
            <w:vAlign w:val="center"/>
          </w:tcPr>
          <w:p>
            <w:pPr>
              <w:widowControl/>
              <w:snapToGrid w:val="0"/>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25"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194"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1667" w:type="dxa"/>
            <w:tcBorders>
              <w:top w:val="nil"/>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r>
      <w:tr>
        <w:tblPrEx>
          <w:tblCellMar>
            <w:top w:w="0" w:type="dxa"/>
            <w:left w:w="108" w:type="dxa"/>
            <w:bottom w:w="0" w:type="dxa"/>
            <w:right w:w="108" w:type="dxa"/>
          </w:tblCellMar>
        </w:tblPrEx>
        <w:trPr>
          <w:cantSplit/>
          <w:trHeight w:val="397" w:hRule="atLeast"/>
        </w:trPr>
        <w:tc>
          <w:tcPr>
            <w:tcW w:w="852"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1</w:t>
            </w:r>
          </w:p>
        </w:tc>
        <w:tc>
          <w:tcPr>
            <w:tcW w:w="4475"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保护信息管理子站系统接入软件升级采购、线路间隔接入站内原有电能质量在线监测装置、直流系统及交流不间断电源接入、同步时钟对时系统接入、视频及环境监测系统接入、智能巡检机器人扩容，广西中调调度端二次系统</w:t>
            </w:r>
            <w:r>
              <w:rPr>
                <w:rFonts w:hint="eastAsia" w:ascii="宋体" w:hAnsi="宋体" w:cs="宋体"/>
                <w:b w:val="0"/>
                <w:bCs w:val="0"/>
                <w:snapToGrid w:val="0"/>
                <w:color w:val="auto"/>
                <w:kern w:val="0"/>
                <w:sz w:val="21"/>
                <w:szCs w:val="21"/>
                <w:highlight w:val="none"/>
                <w:u w:val="none"/>
                <w:lang w:val="en-US" w:eastAsia="zh-CN" w:bidi="ar-SA"/>
              </w:rPr>
              <w:t>调试</w:t>
            </w:r>
            <w:r>
              <w:rPr>
                <w:rFonts w:hint="eastAsia" w:ascii="宋体" w:hAnsi="宋体" w:cs="宋体" w:eastAsiaTheme="minorEastAsia"/>
                <w:b w:val="0"/>
                <w:bCs w:val="0"/>
                <w:snapToGrid w:val="0"/>
                <w:color w:val="auto"/>
                <w:kern w:val="0"/>
                <w:sz w:val="21"/>
                <w:szCs w:val="21"/>
                <w:highlight w:val="none"/>
                <w:u w:val="none"/>
                <w:lang w:val="en-US" w:eastAsia="zh-CN" w:bidi="ar-SA"/>
              </w:rPr>
              <w:t>，计算机监控系统完善接入软件升级采购，五防锁具软件升级采购及接入系统调试，安稳接入，光通道调试、保护对调）；与对侧工程保护、光通道对调联调，间隔一、二次、通信旧设备试验调试费。</w:t>
            </w:r>
          </w:p>
        </w:tc>
        <w:tc>
          <w:tcPr>
            <w:tcW w:w="842" w:type="dxa"/>
            <w:tcBorders>
              <w:top w:val="nil"/>
              <w:left w:val="nil"/>
              <w:bottom w:val="single" w:color="auto" w:sz="4" w:space="0"/>
              <w:right w:val="single" w:color="auto" w:sz="4" w:space="0"/>
            </w:tcBorders>
          </w:tcPr>
          <w:p>
            <w:pPr>
              <w:ind w:left="0" w:leftChars="0" w:firstLine="0" w:firstLineChars="0"/>
              <w:jc w:val="left"/>
              <w:rPr>
                <w:rFonts w:hint="eastAsia" w:ascii="宋体" w:hAnsi="宋体" w:cs="宋体" w:eastAsiaTheme="minorEastAsia"/>
                <w:b w:val="0"/>
                <w:bCs w:val="0"/>
                <w:snapToGrid w:val="0"/>
                <w:color w:val="auto"/>
                <w:kern w:val="0"/>
                <w:sz w:val="24"/>
                <w:szCs w:val="24"/>
                <w:highlight w:val="none"/>
                <w:u w:val="none"/>
                <w:lang w:val="en-US" w:eastAsia="zh-CN" w:bidi="ar-SA"/>
              </w:rPr>
            </w:pPr>
          </w:p>
        </w:tc>
        <w:tc>
          <w:tcPr>
            <w:tcW w:w="825"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间隔</w:t>
            </w:r>
          </w:p>
        </w:tc>
        <w:tc>
          <w:tcPr>
            <w:tcW w:w="1194"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1667"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cantSplit/>
          <w:trHeight w:val="397" w:hRule="atLeast"/>
        </w:trPr>
        <w:tc>
          <w:tcPr>
            <w:tcW w:w="852"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（二）</w:t>
            </w:r>
          </w:p>
        </w:tc>
        <w:tc>
          <w:tcPr>
            <w:tcW w:w="4475"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材料部分</w:t>
            </w:r>
          </w:p>
        </w:tc>
        <w:tc>
          <w:tcPr>
            <w:tcW w:w="842" w:type="dxa"/>
            <w:tcBorders>
              <w:top w:val="nil"/>
              <w:left w:val="nil"/>
              <w:bottom w:val="single" w:color="auto" w:sz="4" w:space="0"/>
              <w:right w:val="single" w:color="auto" w:sz="4" w:space="0"/>
            </w:tcBorders>
            <w:vAlign w:val="center"/>
          </w:tcPr>
          <w:p>
            <w:pPr>
              <w:widowControl/>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667"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397" w:hRule="atLeast"/>
        </w:trPr>
        <w:tc>
          <w:tcPr>
            <w:tcW w:w="852"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1</w:t>
            </w:r>
          </w:p>
        </w:tc>
        <w:tc>
          <w:tcPr>
            <w:tcW w:w="4475" w:type="dxa"/>
            <w:tcBorders>
              <w:top w:val="nil"/>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除招标人购买外的所有材料</w:t>
            </w:r>
          </w:p>
        </w:tc>
        <w:tc>
          <w:tcPr>
            <w:tcW w:w="842" w:type="dxa"/>
            <w:tcBorders>
              <w:top w:val="nil"/>
              <w:left w:val="nil"/>
              <w:bottom w:val="single" w:color="auto" w:sz="4" w:space="0"/>
              <w:right w:val="single" w:color="auto" w:sz="4" w:space="0"/>
            </w:tcBorders>
            <w:vAlign w:val="center"/>
          </w:tcPr>
          <w:p>
            <w:pPr>
              <w:widowControl/>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1667"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二</w:t>
            </w:r>
          </w:p>
        </w:tc>
        <w:tc>
          <w:tcPr>
            <w:tcW w:w="4475"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建筑工程</w:t>
            </w:r>
          </w:p>
        </w:tc>
        <w:tc>
          <w:tcPr>
            <w:tcW w:w="842" w:type="dxa"/>
            <w:tcBorders>
              <w:top w:val="single" w:color="auto" w:sz="6" w:space="0"/>
              <w:left w:val="single" w:color="auto" w:sz="6" w:space="0"/>
              <w:bottom w:val="single" w:color="auto" w:sz="6" w:space="0"/>
              <w:right w:val="single" w:color="auto" w:sz="6" w:space="0"/>
            </w:tcBorders>
            <w:vAlign w:val="center"/>
          </w:tcPr>
          <w:p>
            <w:pPr>
              <w:snapToGrid w:val="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667" w:type="dxa"/>
            <w:tcBorders>
              <w:top w:val="single" w:color="auto" w:sz="6" w:space="0"/>
              <w:left w:val="single" w:color="auto" w:sz="6" w:space="0"/>
              <w:bottom w:val="single" w:color="auto" w:sz="6" w:space="0"/>
              <w:right w:val="single" w:color="auto" w:sz="4"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397" w:hRule="atLeast"/>
        </w:trPr>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（一）</w:t>
            </w:r>
          </w:p>
        </w:tc>
        <w:tc>
          <w:tcPr>
            <w:tcW w:w="4475"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设备部分</w:t>
            </w:r>
          </w:p>
        </w:tc>
        <w:tc>
          <w:tcPr>
            <w:tcW w:w="842" w:type="dxa"/>
            <w:tcBorders>
              <w:top w:val="single" w:color="auto" w:sz="6" w:space="0"/>
              <w:left w:val="single" w:color="auto" w:sz="6" w:space="0"/>
              <w:bottom w:val="single" w:color="auto" w:sz="6" w:space="0"/>
              <w:right w:val="single" w:color="auto" w:sz="6" w:space="0"/>
            </w:tcBorders>
            <w:vAlign w:val="center"/>
          </w:tcPr>
          <w:p>
            <w:pPr>
              <w:snapToGrid w:val="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667" w:type="dxa"/>
            <w:tcBorders>
              <w:top w:val="single" w:color="auto" w:sz="6" w:space="0"/>
              <w:left w:val="single" w:color="auto" w:sz="6" w:space="0"/>
              <w:bottom w:val="single" w:color="auto" w:sz="6" w:space="0"/>
              <w:right w:val="single" w:color="auto" w:sz="4"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90" w:hRule="atLeast"/>
        </w:trPr>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1</w:t>
            </w:r>
          </w:p>
        </w:tc>
        <w:tc>
          <w:tcPr>
            <w:tcW w:w="447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lang w:eastAsia="zh-CN"/>
              </w:rPr>
              <w:t>消防器材、</w:t>
            </w:r>
            <w:r>
              <w:rPr>
                <w:rFonts w:hint="eastAsia" w:ascii="宋体" w:hAnsi="宋体"/>
                <w:color w:val="auto"/>
                <w:highlight w:val="none"/>
              </w:rPr>
              <w:t>消防铲、消防斧、消防桶</w:t>
            </w:r>
            <w:r>
              <w:rPr>
                <w:rFonts w:hint="eastAsia" w:ascii="宋体" w:hAnsi="宋体"/>
                <w:color w:val="auto"/>
                <w:highlight w:val="none"/>
                <w:lang w:eastAsia="zh-CN"/>
              </w:rPr>
              <w:t>（</w:t>
            </w:r>
            <w:r>
              <w:rPr>
                <w:rFonts w:hint="eastAsia" w:ascii="宋体" w:hAnsi="宋体"/>
                <w:color w:val="auto"/>
                <w:highlight w:val="none"/>
                <w:lang w:val="en-US" w:eastAsia="zh-CN"/>
              </w:rPr>
              <w:t>器材质量</w:t>
            </w:r>
            <w:r>
              <w:rPr>
                <w:rFonts w:hint="eastAsia" w:ascii="宋体" w:hAnsi="宋体"/>
                <w:color w:val="auto"/>
                <w:highlight w:val="none"/>
                <w:lang w:eastAsia="zh-CN"/>
              </w:rPr>
              <w:t>符合国家相关法律、法规的要</w:t>
            </w:r>
            <w:r>
              <w:rPr>
                <w:rFonts w:hint="eastAsia" w:ascii="宋体" w:hAnsi="宋体"/>
                <w:color w:val="auto"/>
                <w:highlight w:val="none"/>
                <w:lang w:val="en-US" w:eastAsia="zh-CN"/>
              </w:rPr>
              <w:t>求</w:t>
            </w:r>
            <w:r>
              <w:rPr>
                <w:rFonts w:hint="eastAsia" w:ascii="宋体" w:hAnsi="宋体"/>
                <w:color w:val="auto"/>
                <w:highlight w:val="none"/>
                <w:lang w:eastAsia="zh-CN"/>
              </w:rPr>
              <w:t>）</w:t>
            </w:r>
          </w:p>
        </w:tc>
        <w:tc>
          <w:tcPr>
            <w:tcW w:w="842" w:type="dxa"/>
            <w:tcBorders>
              <w:top w:val="single" w:color="auto" w:sz="6" w:space="0"/>
              <w:left w:val="single" w:color="auto" w:sz="6" w:space="0"/>
              <w:bottom w:val="single" w:color="auto" w:sz="6" w:space="0"/>
              <w:right w:val="single" w:color="auto" w:sz="6" w:space="0"/>
            </w:tcBorders>
            <w:vAlign w:val="center"/>
          </w:tcPr>
          <w:p>
            <w:pPr>
              <w:snapToGrid w:val="0"/>
              <w:spacing w:line="240" w:lineRule="auto"/>
              <w:ind w:firstLine="0" w:firstLineChars="0"/>
              <w:rPr>
                <w:rFonts w:hint="eastAsia" w:ascii="宋体" w:hAnsi="Calibri" w:cs="Times New Roman" w:eastAsiaTheme="minorEastAsia"/>
                <w:color w:val="auto"/>
                <w:kern w:val="2"/>
                <w:sz w:val="24"/>
                <w:szCs w:val="22"/>
                <w:highlight w:val="none"/>
                <w:lang w:val="en-US" w:eastAsia="zh-CN" w:bidi="ar-SA"/>
              </w:rPr>
            </w:pPr>
          </w:p>
        </w:tc>
        <w:tc>
          <w:tcPr>
            <w:tcW w:w="825"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rPr>
              <w:t>套</w:t>
            </w:r>
          </w:p>
        </w:tc>
        <w:tc>
          <w:tcPr>
            <w:tcW w:w="1194"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spacing w:line="240" w:lineRule="auto"/>
              <w:ind w:firstLine="0" w:firstLineChars="0"/>
              <w:jc w:val="center"/>
              <w:rPr>
                <w:rFonts w:hint="eastAsia" w:ascii="Calibri" w:hAnsi="Calibri" w:cs="Times New Roman" w:eastAsiaTheme="minorEastAsia"/>
                <w:color w:val="auto"/>
                <w:kern w:val="2"/>
                <w:sz w:val="24"/>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trHeight w:val="90" w:hRule="atLeast"/>
        </w:trPr>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2</w:t>
            </w:r>
          </w:p>
        </w:tc>
        <w:tc>
          <w:tcPr>
            <w:tcW w:w="447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除招标人购买外的所有设备</w:t>
            </w:r>
          </w:p>
        </w:tc>
        <w:tc>
          <w:tcPr>
            <w:tcW w:w="84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1667" w:type="dxa"/>
            <w:tcBorders>
              <w:top w:val="single" w:color="auto" w:sz="6" w:space="0"/>
              <w:left w:val="single" w:color="auto" w:sz="6" w:space="0"/>
              <w:bottom w:val="single" w:color="auto" w:sz="6" w:space="0"/>
              <w:right w:val="single" w:color="auto" w:sz="4" w:space="0"/>
            </w:tcBorders>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852"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（二）</w:t>
            </w:r>
          </w:p>
        </w:tc>
        <w:tc>
          <w:tcPr>
            <w:tcW w:w="4475"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材料部分</w:t>
            </w:r>
          </w:p>
        </w:tc>
        <w:tc>
          <w:tcPr>
            <w:tcW w:w="842"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667" w:type="dxa"/>
            <w:tcBorders>
              <w:top w:val="single" w:color="auto" w:sz="6" w:space="0"/>
              <w:left w:val="single" w:color="auto" w:sz="6" w:space="0"/>
              <w:bottom w:val="single" w:color="auto" w:sz="6"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397" w:hRule="atLeast"/>
        </w:trPr>
        <w:tc>
          <w:tcPr>
            <w:tcW w:w="852"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1</w:t>
            </w:r>
          </w:p>
        </w:tc>
        <w:tc>
          <w:tcPr>
            <w:tcW w:w="4475"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除招标人购买外的所有材料</w:t>
            </w:r>
          </w:p>
        </w:tc>
        <w:tc>
          <w:tcPr>
            <w:tcW w:w="842" w:type="dxa"/>
            <w:tcBorders>
              <w:top w:val="single" w:color="auto" w:sz="6" w:space="0"/>
              <w:left w:val="single" w:color="auto" w:sz="6" w:space="0"/>
              <w:bottom w:val="single" w:color="auto" w:sz="6" w:space="0"/>
              <w:right w:val="single" w:color="auto" w:sz="6" w:space="0"/>
            </w:tcBorders>
            <w:vAlign w:val="center"/>
          </w:tcPr>
          <w:p>
            <w:pPr>
              <w:snapToGrid w:val="0"/>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2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94"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1667" w:type="dxa"/>
            <w:tcBorders>
              <w:top w:val="single" w:color="auto" w:sz="6" w:space="0"/>
              <w:left w:val="single" w:color="auto" w:sz="6" w:space="0"/>
              <w:bottom w:val="single" w:color="auto" w:sz="6" w:space="0"/>
              <w:right w:val="single" w:color="auto" w:sz="4" w:space="0"/>
            </w:tcBorders>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bl>
    <w:p>
      <w:pPr>
        <w:pStyle w:val="2"/>
        <w:rPr>
          <w:rFonts w:hint="eastAsia"/>
          <w:color w:val="auto"/>
          <w:highlight w:val="none"/>
          <w:lang w:val="en-US" w:eastAsia="zh-CN"/>
        </w:rPr>
      </w:pPr>
    </w:p>
    <w:p>
      <w:pPr>
        <w:pStyle w:val="2"/>
        <w:rPr>
          <w:rFonts w:hint="eastAsia" w:ascii="Arial" w:hAnsi="Arial" w:cs="Times New Roman" w:eastAsiaTheme="minorEastAsia"/>
          <w:b/>
          <w:color w:val="auto"/>
          <w:kern w:val="2"/>
          <w:sz w:val="24"/>
          <w:szCs w:val="24"/>
          <w:highlight w:val="none"/>
          <w:lang w:val="en-US" w:eastAsia="zh-CN" w:bidi="ar-SA"/>
        </w:rPr>
      </w:pPr>
      <w:r>
        <w:rPr>
          <w:rFonts w:hint="eastAsia" w:cs="Times New Roman"/>
          <w:b/>
          <w:color w:val="auto"/>
          <w:kern w:val="2"/>
          <w:sz w:val="24"/>
          <w:szCs w:val="24"/>
          <w:highlight w:val="none"/>
          <w:lang w:val="en-US" w:eastAsia="zh-CN" w:bidi="ar-SA"/>
        </w:rPr>
        <w:t>3</w:t>
      </w:r>
      <w:r>
        <w:rPr>
          <w:rFonts w:hint="eastAsia" w:ascii="Arial" w:hAnsi="Arial" w:cs="Times New Roman" w:eastAsiaTheme="minorEastAsia"/>
          <w:b/>
          <w:color w:val="auto"/>
          <w:kern w:val="2"/>
          <w:sz w:val="24"/>
          <w:szCs w:val="24"/>
          <w:highlight w:val="none"/>
          <w:lang w:val="en-US" w:eastAsia="zh-CN" w:bidi="ar-SA"/>
        </w:rPr>
        <w:t xml:space="preserve">.3 </w:t>
      </w:r>
      <w:r>
        <w:rPr>
          <w:rFonts w:hint="eastAsia" w:ascii="Times New Roman" w:hAnsi="Times New Roman"/>
          <w:b/>
          <w:bCs/>
          <w:color w:val="auto"/>
          <w:highlight w:val="none"/>
          <w:lang w:eastAsia="zh-CN"/>
        </w:rPr>
        <w:t>成均～兴业220kV线路工程、</w:t>
      </w:r>
      <w:r>
        <w:rPr>
          <w:rFonts w:hint="eastAsia" w:ascii="宋体" w:hAnsi="宋体" w:cs="宋体"/>
          <w:b/>
          <w:bCs/>
          <w:snapToGrid w:val="0"/>
          <w:color w:val="auto"/>
          <w:kern w:val="0"/>
          <w:sz w:val="24"/>
          <w:szCs w:val="24"/>
          <w:highlight w:val="none"/>
          <w:u w:val="none"/>
          <w:lang w:val="en-US" w:eastAsia="zh-CN" w:bidi="ar-SA"/>
        </w:rPr>
        <w:t>成均（铁联）站π接力园～筑路牵220kV线路工程</w:t>
      </w:r>
    </w:p>
    <w:p>
      <w:pPr>
        <w:pStyle w:val="19"/>
        <w:ind w:firstLine="480"/>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招标人提供的设备、材料清单</w:t>
      </w:r>
    </w:p>
    <w:tbl>
      <w:tblPr>
        <w:tblStyle w:val="12"/>
        <w:tblW w:w="9978" w:type="dxa"/>
        <w:jc w:val="center"/>
        <w:tblLayout w:type="fixed"/>
        <w:tblCellMar>
          <w:top w:w="0" w:type="dxa"/>
          <w:left w:w="108" w:type="dxa"/>
          <w:bottom w:w="0" w:type="dxa"/>
          <w:right w:w="108" w:type="dxa"/>
        </w:tblCellMar>
      </w:tblPr>
      <w:tblGrid>
        <w:gridCol w:w="845"/>
        <w:gridCol w:w="2856"/>
        <w:gridCol w:w="1251"/>
        <w:gridCol w:w="1143"/>
        <w:gridCol w:w="1233"/>
        <w:gridCol w:w="2650"/>
      </w:tblGrid>
      <w:tr>
        <w:tblPrEx>
          <w:tblCellMar>
            <w:top w:w="0" w:type="dxa"/>
            <w:left w:w="108" w:type="dxa"/>
            <w:bottom w:w="0" w:type="dxa"/>
            <w:right w:w="108" w:type="dxa"/>
          </w:tblCellMar>
        </w:tblPrEx>
        <w:trPr>
          <w:trHeight w:val="397" w:hRule="atLeast"/>
          <w:tblHeader/>
          <w:jc w:val="center"/>
        </w:trPr>
        <w:tc>
          <w:tcPr>
            <w:tcW w:w="845" w:type="dxa"/>
            <w:tcBorders>
              <w:top w:val="single" w:color="auto" w:sz="8" w:space="0"/>
              <w:left w:val="single" w:color="auto" w:sz="8" w:space="0"/>
              <w:bottom w:val="single" w:color="auto" w:sz="4" w:space="0"/>
              <w:right w:val="single" w:color="auto" w:sz="4" w:space="0"/>
            </w:tcBorders>
            <w:vAlign w:val="center"/>
          </w:tcPr>
          <w:p>
            <w:pPr>
              <w:widowControl/>
              <w:ind w:left="0" w:leftChars="0" w:firstLine="0" w:firstLineChars="0"/>
              <w:jc w:val="both"/>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序号</w:t>
            </w:r>
          </w:p>
        </w:tc>
        <w:tc>
          <w:tcPr>
            <w:tcW w:w="2856"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设备、材料名称</w:t>
            </w:r>
          </w:p>
        </w:tc>
        <w:tc>
          <w:tcPr>
            <w:tcW w:w="1251"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规格型号</w:t>
            </w:r>
          </w:p>
        </w:tc>
        <w:tc>
          <w:tcPr>
            <w:tcW w:w="1143"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单位</w:t>
            </w:r>
          </w:p>
        </w:tc>
        <w:tc>
          <w:tcPr>
            <w:tcW w:w="1233"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数量</w:t>
            </w:r>
          </w:p>
        </w:tc>
        <w:tc>
          <w:tcPr>
            <w:tcW w:w="2650"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单价（元）</w:t>
            </w:r>
          </w:p>
        </w:tc>
      </w:tr>
      <w:tr>
        <w:tblPrEx>
          <w:tblCellMar>
            <w:top w:w="0" w:type="dxa"/>
            <w:left w:w="108" w:type="dxa"/>
            <w:bottom w:w="0" w:type="dxa"/>
            <w:right w:w="108" w:type="dxa"/>
          </w:tblCellMar>
        </w:tblPrEx>
        <w:trPr>
          <w:trHeight w:val="397" w:hRule="atLeast"/>
          <w:jc w:val="center"/>
        </w:trPr>
        <w:tc>
          <w:tcPr>
            <w:tcW w:w="845" w:type="dxa"/>
            <w:tcBorders>
              <w:top w:val="nil"/>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（一）</w:t>
            </w:r>
          </w:p>
        </w:tc>
        <w:tc>
          <w:tcPr>
            <w:tcW w:w="2856"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设备部分</w:t>
            </w:r>
          </w:p>
        </w:tc>
        <w:tc>
          <w:tcPr>
            <w:tcW w:w="1251"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43"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233"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2650" w:type="dxa"/>
            <w:tcBorders>
              <w:top w:val="nil"/>
              <w:left w:val="nil"/>
              <w:bottom w:val="single" w:color="auto" w:sz="4" w:space="0"/>
              <w:right w:val="single" w:color="auto" w:sz="4" w:space="0"/>
            </w:tcBorders>
            <w:vAlign w:val="center"/>
          </w:tcPr>
          <w:p>
            <w:pPr>
              <w:widowControl/>
              <w:ind w:left="0" w:leftChars="0" w:firstLine="0" w:firstLineChars="0"/>
              <w:jc w:val="righ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45"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1</w:t>
            </w:r>
          </w:p>
        </w:tc>
        <w:tc>
          <w:tcPr>
            <w:tcW w:w="2856" w:type="dxa"/>
            <w:tcBorders>
              <w:top w:val="nil"/>
              <w:left w:val="nil"/>
              <w:bottom w:val="single" w:color="auto" w:sz="4" w:space="0"/>
              <w:right w:val="single" w:color="auto" w:sz="4" w:space="0"/>
            </w:tcBorders>
            <w:vAlign w:val="center"/>
          </w:tcPr>
          <w:p>
            <w:pPr>
              <w:widowControl/>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线路所有设备</w:t>
            </w:r>
          </w:p>
        </w:tc>
        <w:tc>
          <w:tcPr>
            <w:tcW w:w="1251"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43"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套</w:t>
            </w:r>
          </w:p>
        </w:tc>
        <w:tc>
          <w:tcPr>
            <w:tcW w:w="1233"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650"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电力建设工程装置性材料预算价（2018年版）</w:t>
            </w:r>
          </w:p>
        </w:tc>
      </w:tr>
      <w:tr>
        <w:tblPrEx>
          <w:tblCellMar>
            <w:top w:w="0" w:type="dxa"/>
            <w:left w:w="108" w:type="dxa"/>
            <w:bottom w:w="0" w:type="dxa"/>
            <w:right w:w="108" w:type="dxa"/>
          </w:tblCellMar>
        </w:tblPrEx>
        <w:trPr>
          <w:trHeight w:val="90" w:hRule="atLeast"/>
          <w:jc w:val="center"/>
        </w:trPr>
        <w:tc>
          <w:tcPr>
            <w:tcW w:w="845"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（二）</w:t>
            </w:r>
          </w:p>
        </w:tc>
        <w:tc>
          <w:tcPr>
            <w:tcW w:w="2856"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材料部分</w:t>
            </w:r>
          </w:p>
        </w:tc>
        <w:tc>
          <w:tcPr>
            <w:tcW w:w="1251"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43"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233"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2650" w:type="dxa"/>
            <w:tcBorders>
              <w:top w:val="nil"/>
              <w:left w:val="nil"/>
              <w:bottom w:val="single" w:color="auto" w:sz="4" w:space="0"/>
              <w:right w:val="single" w:color="auto" w:sz="4" w:space="0"/>
            </w:tcBorders>
            <w:vAlign w:val="center"/>
          </w:tcPr>
          <w:p>
            <w:pPr>
              <w:ind w:left="0" w:leftChars="0" w:firstLine="0" w:firstLineChars="0"/>
              <w:jc w:val="righ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1</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铁塔（直线塔）（含地脚螺栓，不含杆塔防坠落装置）</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吨</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2</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铁塔（耐张塔）（含地脚螺栓，不含杆塔防坠落装置）</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吨</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3</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导线</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吨</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4</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地线</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吨</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5</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绝缘子（不含500kV美久甲线、500kV南玉Ⅱ线悬垂串单串改双串的绝缘子）</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片（支）</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6</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线路金具（不含500kV美久甲线、500kV南玉Ⅱ线悬垂串单串改双串的线路金具）</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项</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7</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光缆及光缆金具（不含PE管、镀锌钢管、构架引下固定抱箍、C型线夹、设备线夹、接地线、设备线夹）</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项</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594" w:hRule="atLeast"/>
          <w:jc w:val="center"/>
        </w:trPr>
        <w:tc>
          <w:tcPr>
            <w:tcW w:w="845" w:type="dxa"/>
            <w:tcBorders>
              <w:top w:val="single" w:color="auto" w:sz="6" w:space="0"/>
              <w:left w:val="single" w:color="auto" w:sz="6" w:space="0"/>
              <w:bottom w:val="single" w:color="auto" w:sz="6" w:space="0"/>
              <w:right w:val="single" w:color="auto" w:sz="6"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8</w:t>
            </w:r>
          </w:p>
        </w:tc>
        <w:tc>
          <w:tcPr>
            <w:tcW w:w="2856"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 xml:space="preserve">防鸟挡板 </w:t>
            </w:r>
          </w:p>
        </w:tc>
        <w:tc>
          <w:tcPr>
            <w:tcW w:w="1251"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cs="Times New Roman"/>
                <w:color w:val="auto"/>
                <w:sz w:val="21"/>
                <w:szCs w:val="21"/>
                <w:highlight w:val="none"/>
                <w:lang w:val="en-US" w:eastAsia="zh-CN"/>
              </w:rPr>
            </w:pPr>
          </w:p>
        </w:tc>
        <w:tc>
          <w:tcPr>
            <w:tcW w:w="114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块</w:t>
            </w:r>
          </w:p>
        </w:tc>
        <w:tc>
          <w:tcPr>
            <w:tcW w:w="1233" w:type="dxa"/>
            <w:tcBorders>
              <w:top w:val="single" w:color="auto" w:sz="6" w:space="0"/>
              <w:left w:val="single" w:color="auto" w:sz="6" w:space="0"/>
              <w:bottom w:val="single" w:color="auto" w:sz="6" w:space="0"/>
              <w:right w:val="single" w:color="auto" w:sz="6" w:space="0"/>
            </w:tcBorders>
            <w:vAlign w:val="center"/>
          </w:tcPr>
          <w:p>
            <w:pPr>
              <w:spacing w:line="240" w:lineRule="auto"/>
              <w:ind w:firstLine="0" w:firstLineChars="0"/>
              <w:rPr>
                <w:rFonts w:hint="eastAsia" w:ascii="Calibri" w:hAnsi="Calibri" w:cs="Times New Roman" w:eastAsiaTheme="minorEastAsia"/>
                <w:color w:val="auto"/>
                <w:kern w:val="2"/>
                <w:sz w:val="21"/>
                <w:szCs w:val="21"/>
                <w:highlight w:val="none"/>
                <w:lang w:val="en-US" w:eastAsia="zh-CN" w:bidi="ar-SA"/>
              </w:rPr>
            </w:pPr>
            <w:r>
              <w:rPr>
                <w:rFonts w:hint="eastAsia" w:cs="Times New Roman"/>
                <w:color w:val="auto"/>
                <w:sz w:val="21"/>
                <w:szCs w:val="21"/>
                <w:highlight w:val="none"/>
                <w:lang w:val="en-US" w:eastAsia="zh-CN"/>
              </w:rPr>
              <w:t>自行计算</w:t>
            </w:r>
          </w:p>
        </w:tc>
        <w:tc>
          <w:tcPr>
            <w:tcW w:w="2650" w:type="dxa"/>
            <w:tcBorders>
              <w:top w:val="single" w:color="auto" w:sz="6" w:space="0"/>
              <w:left w:val="single" w:color="auto" w:sz="6" w:space="0"/>
              <w:bottom w:val="single" w:color="auto" w:sz="6" w:space="0"/>
              <w:right w:val="single" w:color="auto" w:sz="4" w:space="0"/>
            </w:tcBorders>
            <w:vAlign w:val="top"/>
          </w:tcPr>
          <w:p>
            <w:pPr>
              <w:spacing w:line="240" w:lineRule="auto"/>
              <w:ind w:firstLine="0" w:firstLineChars="0"/>
              <w:rPr>
                <w:rFonts w:hint="eastAsia" w:ascii="Calibri" w:hAnsi="Calibri" w:cs="Times New Roman" w:eastAsiaTheme="minorEastAsia"/>
                <w:color w:val="auto"/>
                <w:kern w:val="2"/>
                <w:sz w:val="21"/>
                <w:szCs w:val="21"/>
                <w:highlight w:val="none"/>
                <w:lang w:val="en-US" w:eastAsia="zh-CN" w:bidi="ar-SA"/>
              </w:rPr>
            </w:pPr>
            <w:r>
              <w:rPr>
                <w:rFonts w:hint="eastAsia" w:cs="Times New Roman"/>
                <w:color w:val="auto"/>
                <w:sz w:val="21"/>
                <w:szCs w:val="21"/>
                <w:highlight w:val="none"/>
                <w:lang w:val="en-US" w:eastAsia="zh-CN"/>
              </w:rPr>
              <w:t>电力建设工程装置性材料预算价（2018年版）</w:t>
            </w:r>
          </w:p>
        </w:tc>
      </w:tr>
    </w:tbl>
    <w:p>
      <w:pPr>
        <w:pStyle w:val="2"/>
        <w:rPr>
          <w:rFonts w:hint="eastAsia"/>
          <w:color w:val="auto"/>
          <w:highlight w:val="none"/>
          <w:lang w:val="en-US" w:eastAsia="zh-CN"/>
        </w:rPr>
      </w:pPr>
    </w:p>
    <w:p>
      <w:pPr>
        <w:spacing w:line="360" w:lineRule="auto"/>
        <w:jc w:val="center"/>
        <w:rPr>
          <w:rFonts w:hint="eastAsia" w:ascii="宋体" w:hAnsi="宋体" w:cs="宋体" w:eastAsiaTheme="minorEastAsia"/>
          <w:b w:val="0"/>
          <w:bCs w:val="0"/>
          <w:snapToGrid w:val="0"/>
          <w:color w:val="auto"/>
          <w:kern w:val="0"/>
          <w:sz w:val="24"/>
          <w:szCs w:val="24"/>
          <w:highlight w:val="none"/>
          <w:u w:val="none"/>
          <w:lang w:val="en-US" w:eastAsia="zh-CN" w:bidi="ar-SA"/>
        </w:rPr>
      </w:pPr>
      <w:r>
        <w:rPr>
          <w:rFonts w:hint="eastAsia" w:ascii="宋体" w:hAnsi="宋体" w:cs="宋体" w:eastAsiaTheme="minorEastAsia"/>
          <w:b w:val="0"/>
          <w:bCs w:val="0"/>
          <w:snapToGrid w:val="0"/>
          <w:color w:val="auto"/>
          <w:kern w:val="0"/>
          <w:sz w:val="24"/>
          <w:szCs w:val="24"/>
          <w:highlight w:val="none"/>
          <w:u w:val="none"/>
          <w:lang w:val="en-US" w:eastAsia="zh-CN" w:bidi="ar-SA"/>
        </w:rPr>
        <w:t>中标人提供的设备、材料清单</w:t>
      </w:r>
    </w:p>
    <w:tbl>
      <w:tblPr>
        <w:tblStyle w:val="12"/>
        <w:tblpPr w:leftFromText="180" w:rightFromText="180" w:vertAnchor="text" w:horzAnchor="page" w:tblpX="1436" w:tblpY="212"/>
        <w:tblW w:w="9854" w:type="dxa"/>
        <w:tblInd w:w="0" w:type="dxa"/>
        <w:tblLayout w:type="fixed"/>
        <w:tblCellMar>
          <w:top w:w="0" w:type="dxa"/>
          <w:left w:w="108" w:type="dxa"/>
          <w:bottom w:w="0" w:type="dxa"/>
          <w:right w:w="108" w:type="dxa"/>
        </w:tblCellMar>
      </w:tblPr>
      <w:tblGrid>
        <w:gridCol w:w="946"/>
        <w:gridCol w:w="3053"/>
        <w:gridCol w:w="1147"/>
        <w:gridCol w:w="867"/>
        <w:gridCol w:w="1400"/>
        <w:gridCol w:w="2441"/>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序号</w:t>
            </w:r>
          </w:p>
        </w:tc>
        <w:tc>
          <w:tcPr>
            <w:tcW w:w="3053"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设备、材料名称</w:t>
            </w:r>
          </w:p>
        </w:tc>
        <w:tc>
          <w:tcPr>
            <w:tcW w:w="1147"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规格型号</w:t>
            </w:r>
          </w:p>
        </w:tc>
        <w:tc>
          <w:tcPr>
            <w:tcW w:w="867"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单位</w:t>
            </w:r>
          </w:p>
        </w:tc>
        <w:tc>
          <w:tcPr>
            <w:tcW w:w="1400"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数量</w:t>
            </w:r>
          </w:p>
        </w:tc>
        <w:tc>
          <w:tcPr>
            <w:tcW w:w="2441" w:type="dxa"/>
            <w:tcBorders>
              <w:top w:val="single" w:color="auto" w:sz="8" w:space="0"/>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一</w:t>
            </w:r>
          </w:p>
        </w:tc>
        <w:tc>
          <w:tcPr>
            <w:tcW w:w="3053"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设备部分</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2441" w:type="dxa"/>
            <w:tcBorders>
              <w:top w:val="nil"/>
              <w:left w:val="nil"/>
              <w:bottom w:val="single" w:color="auto" w:sz="4" w:space="0"/>
              <w:right w:val="single" w:color="auto" w:sz="4" w:space="0"/>
            </w:tcBorders>
            <w:vAlign w:val="center"/>
          </w:tcPr>
          <w:p>
            <w:pPr>
              <w:widowControl/>
              <w:ind w:left="0" w:leftChars="0" w:firstLine="0" w:firstLineChars="0"/>
              <w:jc w:val="righ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1</w:t>
            </w:r>
          </w:p>
        </w:tc>
        <w:tc>
          <w:tcPr>
            <w:tcW w:w="3053"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无</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2441" w:type="dxa"/>
            <w:tcBorders>
              <w:top w:val="nil"/>
              <w:left w:val="nil"/>
              <w:bottom w:val="single" w:color="auto" w:sz="4" w:space="0"/>
              <w:right w:val="single" w:color="auto" w:sz="4" w:space="0"/>
            </w:tcBorders>
            <w:vAlign w:val="center"/>
          </w:tcPr>
          <w:p>
            <w:pPr>
              <w:widowControl/>
              <w:ind w:left="0" w:leftChars="0" w:firstLine="0" w:firstLineChars="0"/>
              <w:jc w:val="righ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cantSplit/>
          <w:trHeight w:val="441"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二</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材料部分</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2441" w:type="dxa"/>
            <w:tcBorders>
              <w:top w:val="nil"/>
              <w:left w:val="nil"/>
              <w:bottom w:val="single" w:color="auto" w:sz="4" w:space="0"/>
              <w:right w:val="single" w:color="auto" w:sz="4" w:space="0"/>
            </w:tcBorders>
            <w:vAlign w:val="center"/>
          </w:tcPr>
          <w:p>
            <w:pPr>
              <w:ind w:left="0" w:leftChars="0" w:firstLine="0" w:firstLineChars="0"/>
              <w:jc w:val="right"/>
              <w:rPr>
                <w:rFonts w:hint="eastAsia" w:ascii="宋体" w:hAnsi="宋体" w:cs="宋体" w:eastAsiaTheme="minorEastAsia"/>
                <w:b w:val="0"/>
                <w:bCs w:val="0"/>
                <w:snapToGrid w:val="0"/>
                <w:color w:val="auto"/>
                <w:kern w:val="0"/>
                <w:sz w:val="21"/>
                <w:szCs w:val="21"/>
                <w:highlight w:val="none"/>
                <w:u w:val="none"/>
                <w:lang w:val="en-US" w:eastAsia="zh-CN" w:bidi="ar-SA"/>
              </w:rPr>
            </w:pPr>
          </w:p>
        </w:tc>
      </w:tr>
      <w:tr>
        <w:tblPrEx>
          <w:tblCellMar>
            <w:top w:w="0" w:type="dxa"/>
            <w:left w:w="108" w:type="dxa"/>
            <w:bottom w:w="0" w:type="dxa"/>
            <w:right w:w="108" w:type="dxa"/>
          </w:tblCellMar>
        </w:tblPrEx>
        <w:trPr>
          <w:trHeight w:val="453"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1</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cs="Times New Roman"/>
                <w:color w:val="auto"/>
                <w:sz w:val="21"/>
                <w:szCs w:val="21"/>
                <w:highlight w:val="none"/>
                <w:lang w:val="en-US" w:eastAsia="zh-CN"/>
              </w:rPr>
              <w:t>新建线路杆塔五牌（含牌框）</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块</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453"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2</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旧线路杆号牌</w:t>
            </w:r>
            <w:r>
              <w:rPr>
                <w:rFonts w:hint="eastAsia" w:cs="Times New Roman"/>
                <w:color w:val="auto"/>
                <w:sz w:val="21"/>
                <w:szCs w:val="21"/>
                <w:highlight w:val="none"/>
                <w:lang w:val="en-US" w:eastAsia="zh-CN"/>
              </w:rPr>
              <w:t>（含牌框）</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块</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3</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杆塔防坠落装置（含镀锌件、钢绞线、配套金具等）</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吨</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423"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4</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铝包带</w:t>
            </w:r>
          </w:p>
        </w:tc>
        <w:tc>
          <w:tcPr>
            <w:tcW w:w="114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default" w:ascii="宋体" w:hAnsi="宋体" w:cs="宋体" w:eastAsiaTheme="minorEastAsia"/>
                <w:b w:val="0"/>
                <w:bCs w:val="0"/>
                <w:snapToGrid w:val="0"/>
                <w:color w:val="auto"/>
                <w:kern w:val="0"/>
                <w:sz w:val="21"/>
                <w:szCs w:val="21"/>
                <w:highlight w:val="none"/>
                <w:u w:val="none"/>
                <w:lang w:val="en-US" w:eastAsia="zh-CN" w:bidi="ar-SA"/>
              </w:rPr>
              <w:t>kg</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423"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5</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default" w:ascii="宋体" w:hAnsi="宋体" w:cs="宋体" w:eastAsiaTheme="minorEastAsia"/>
                <w:b w:val="0"/>
                <w:bCs w:val="0"/>
                <w:snapToGrid w:val="0"/>
                <w:color w:val="auto"/>
                <w:kern w:val="0"/>
                <w:sz w:val="21"/>
                <w:szCs w:val="21"/>
                <w:highlight w:val="none"/>
                <w:u w:val="none"/>
                <w:lang w:val="en-US" w:eastAsia="zh-CN" w:bidi="ar-SA"/>
              </w:rPr>
              <w:t>C</w:t>
            </w:r>
            <w:r>
              <w:rPr>
                <w:rFonts w:hint="eastAsia" w:ascii="宋体" w:hAnsi="宋体" w:cs="宋体" w:eastAsiaTheme="minorEastAsia"/>
                <w:b w:val="0"/>
                <w:bCs w:val="0"/>
                <w:snapToGrid w:val="0"/>
                <w:color w:val="auto"/>
                <w:kern w:val="0"/>
                <w:sz w:val="21"/>
                <w:szCs w:val="21"/>
                <w:highlight w:val="none"/>
                <w:u w:val="none"/>
                <w:lang w:val="en-US" w:eastAsia="zh-CN" w:bidi="ar-SA"/>
              </w:rPr>
              <w:t>型线夹</w:t>
            </w:r>
            <w:r>
              <w:rPr>
                <w:rFonts w:hint="eastAsia" w:ascii="宋体" w:hAnsi="宋体" w:cs="宋体"/>
                <w:b w:val="0"/>
                <w:bCs w:val="0"/>
                <w:snapToGrid w:val="0"/>
                <w:color w:val="auto"/>
                <w:kern w:val="0"/>
                <w:sz w:val="21"/>
                <w:szCs w:val="21"/>
                <w:highlight w:val="none"/>
                <w:u w:val="none"/>
                <w:lang w:val="en-US" w:eastAsia="zh-CN" w:bidi="ar-SA"/>
              </w:rPr>
              <w:t>（光缆接地线使用）</w:t>
            </w:r>
          </w:p>
        </w:tc>
        <w:tc>
          <w:tcPr>
            <w:tcW w:w="114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个</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423"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6</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default" w:ascii="宋体" w:hAnsi="宋体" w:cs="宋体" w:eastAsiaTheme="minorEastAsia"/>
                <w:b w:val="0"/>
                <w:bCs w:val="0"/>
                <w:snapToGrid w:val="0"/>
                <w:color w:val="auto"/>
                <w:kern w:val="0"/>
                <w:sz w:val="21"/>
                <w:szCs w:val="21"/>
                <w:highlight w:val="none"/>
                <w:u w:val="none"/>
                <w:lang w:val="en-US" w:eastAsia="zh-CN" w:bidi="ar-SA"/>
              </w:rPr>
              <w:t>C</w:t>
            </w:r>
            <w:r>
              <w:rPr>
                <w:rFonts w:hint="eastAsia" w:ascii="宋体" w:hAnsi="宋体" w:cs="宋体" w:eastAsiaTheme="minorEastAsia"/>
                <w:b w:val="0"/>
                <w:bCs w:val="0"/>
                <w:snapToGrid w:val="0"/>
                <w:color w:val="auto"/>
                <w:kern w:val="0"/>
                <w:sz w:val="21"/>
                <w:szCs w:val="21"/>
                <w:highlight w:val="none"/>
                <w:u w:val="none"/>
                <w:lang w:val="en-US" w:eastAsia="zh-CN" w:bidi="ar-SA"/>
              </w:rPr>
              <w:t>型线夹</w:t>
            </w:r>
            <w:r>
              <w:rPr>
                <w:rFonts w:hint="eastAsia" w:ascii="宋体" w:hAnsi="宋体" w:cs="宋体"/>
                <w:b w:val="0"/>
                <w:bCs w:val="0"/>
                <w:snapToGrid w:val="0"/>
                <w:color w:val="auto"/>
                <w:kern w:val="0"/>
                <w:sz w:val="21"/>
                <w:szCs w:val="21"/>
                <w:highlight w:val="none"/>
                <w:u w:val="none"/>
                <w:lang w:val="en-US" w:eastAsia="zh-CN" w:bidi="ar-SA"/>
              </w:rPr>
              <w:t>（光缆接地线使用）</w:t>
            </w:r>
          </w:p>
        </w:tc>
        <w:tc>
          <w:tcPr>
            <w:tcW w:w="114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个</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7</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设备线夹</w:t>
            </w:r>
            <w:r>
              <w:rPr>
                <w:rFonts w:hint="eastAsia" w:ascii="宋体" w:hAnsi="宋体" w:cs="宋体"/>
                <w:b w:val="0"/>
                <w:bCs w:val="0"/>
                <w:snapToGrid w:val="0"/>
                <w:color w:val="auto"/>
                <w:kern w:val="0"/>
                <w:sz w:val="21"/>
                <w:szCs w:val="21"/>
                <w:highlight w:val="none"/>
                <w:u w:val="none"/>
                <w:lang w:val="en-US" w:eastAsia="zh-CN" w:bidi="ar-SA"/>
              </w:rPr>
              <w:t>（光缆接地线使用）</w:t>
            </w:r>
          </w:p>
        </w:tc>
        <w:tc>
          <w:tcPr>
            <w:tcW w:w="114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个</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8</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接地线</w:t>
            </w:r>
            <w:r>
              <w:rPr>
                <w:rFonts w:hint="eastAsia" w:ascii="宋体" w:hAnsi="宋体" w:cs="宋体"/>
                <w:b w:val="0"/>
                <w:bCs w:val="0"/>
                <w:snapToGrid w:val="0"/>
                <w:color w:val="auto"/>
                <w:kern w:val="0"/>
                <w:sz w:val="21"/>
                <w:szCs w:val="21"/>
                <w:highlight w:val="none"/>
                <w:u w:val="none"/>
                <w:lang w:val="en-US" w:eastAsia="zh-CN" w:bidi="ar-SA"/>
              </w:rPr>
              <w:t>（光缆接地线使用）</w:t>
            </w:r>
          </w:p>
        </w:tc>
        <w:tc>
          <w:tcPr>
            <w:tcW w:w="114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根</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9</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设备线夹</w:t>
            </w:r>
            <w:r>
              <w:rPr>
                <w:rFonts w:hint="eastAsia" w:ascii="宋体" w:hAnsi="宋体" w:cs="宋体"/>
                <w:b w:val="0"/>
                <w:bCs w:val="0"/>
                <w:snapToGrid w:val="0"/>
                <w:color w:val="auto"/>
                <w:kern w:val="0"/>
                <w:sz w:val="21"/>
                <w:szCs w:val="21"/>
                <w:highlight w:val="none"/>
                <w:u w:val="none"/>
                <w:lang w:val="en-US" w:eastAsia="zh-CN" w:bidi="ar-SA"/>
              </w:rPr>
              <w:t>（光缆接地线使用）</w:t>
            </w:r>
          </w:p>
        </w:tc>
        <w:tc>
          <w:tcPr>
            <w:tcW w:w="114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个</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jc w:val="left"/>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10</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cs="Times New Roman"/>
                <w:color w:val="auto"/>
                <w:sz w:val="21"/>
                <w:szCs w:val="21"/>
                <w:highlight w:val="none"/>
                <w:lang w:val="en-US" w:eastAsia="zh-CN"/>
              </w:rPr>
              <w:t>500kV美久甲线、500kV南玉Ⅱ线悬垂串单串改双串的绝缘子、线路金具</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widowControl/>
              <w:ind w:left="0" w:leftChars="0" w:firstLine="0" w:firstLineChars="0"/>
              <w:jc w:val="center"/>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个</w:t>
            </w: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cs="Times New Roman"/>
                <w:color w:val="auto"/>
                <w:sz w:val="21"/>
                <w:szCs w:val="21"/>
                <w:highlight w:val="none"/>
                <w:lang w:val="en-US" w:eastAsia="zh-CN"/>
              </w:rPr>
              <w:t>电力建设工程装置性材料预算价（2018年版）</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rFonts w:hint="default"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11</w:t>
            </w:r>
          </w:p>
        </w:tc>
        <w:tc>
          <w:tcPr>
            <w:tcW w:w="3053"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除以上标明的材料及招标人购买外的所有材料</w:t>
            </w:r>
          </w:p>
        </w:tc>
        <w:tc>
          <w:tcPr>
            <w:tcW w:w="1147"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400" w:type="dxa"/>
            <w:tcBorders>
              <w:top w:val="nil"/>
              <w:left w:val="nil"/>
              <w:bottom w:val="single" w:color="auto" w:sz="4" w:space="0"/>
              <w:right w:val="single" w:color="auto" w:sz="4" w:space="0"/>
            </w:tcBorders>
            <w:vAlign w:val="center"/>
          </w:tcPr>
          <w:p>
            <w:pPr>
              <w:ind w:left="0" w:leftChars="0" w:firstLine="0" w:firstLineChars="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441" w:type="dxa"/>
            <w:tcBorders>
              <w:top w:val="nil"/>
              <w:left w:val="nil"/>
              <w:bottom w:val="single" w:color="auto" w:sz="4" w:space="0"/>
              <w:right w:val="single" w:color="auto" w:sz="4" w:space="0"/>
            </w:tcBorders>
            <w:vAlign w:val="center"/>
          </w:tcPr>
          <w:p>
            <w:pPr>
              <w:ind w:left="0" w:leftChars="0" w:firstLine="0" w:firstLineChars="0"/>
              <w:rPr>
                <w:rFonts w:hint="eastAsia" w:ascii="宋体" w:hAnsi="宋体" w:cs="宋体" w:eastAsiaTheme="minorEastAsia"/>
                <w:b w:val="0"/>
                <w:bCs w:val="0"/>
                <w:snapToGrid w:val="0"/>
                <w:color w:val="auto"/>
                <w:kern w:val="0"/>
                <w:sz w:val="21"/>
                <w:szCs w:val="21"/>
                <w:highlight w:val="none"/>
                <w:u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3053" w:type="dxa"/>
            <w:tcBorders>
              <w:top w:val="nil"/>
              <w:left w:val="nil"/>
              <w:bottom w:val="single" w:color="auto" w:sz="4" w:space="0"/>
              <w:right w:val="single" w:color="auto" w:sz="4" w:space="0"/>
            </w:tcBorders>
            <w:vAlign w:val="center"/>
          </w:tcPr>
          <w:p>
            <w:pPr>
              <w:snapToGrid w:val="0"/>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147" w:type="dxa"/>
            <w:tcBorders>
              <w:top w:val="nil"/>
              <w:left w:val="nil"/>
              <w:bottom w:val="single" w:color="auto" w:sz="4" w:space="0"/>
              <w:right w:val="single" w:color="auto" w:sz="4" w:space="0"/>
            </w:tcBorders>
            <w:vAlign w:val="center"/>
          </w:tcPr>
          <w:p>
            <w:pPr>
              <w:widowControl/>
              <w:snapToGrid w:val="0"/>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867"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1400" w:type="dxa"/>
            <w:tcBorders>
              <w:top w:val="nil"/>
              <w:left w:val="nil"/>
              <w:bottom w:val="single" w:color="auto" w:sz="4" w:space="0"/>
              <w:right w:val="single" w:color="auto" w:sz="4" w:space="0"/>
            </w:tcBorders>
            <w:vAlign w:val="center"/>
          </w:tcPr>
          <w:p>
            <w:pPr>
              <w:jc w:val="center"/>
              <w:rPr>
                <w:rFonts w:hint="eastAsia" w:ascii="宋体" w:hAnsi="宋体" w:cs="宋体" w:eastAsiaTheme="minorEastAsia"/>
                <w:b w:val="0"/>
                <w:bCs w:val="0"/>
                <w:snapToGrid w:val="0"/>
                <w:color w:val="auto"/>
                <w:kern w:val="0"/>
                <w:sz w:val="21"/>
                <w:szCs w:val="21"/>
                <w:highlight w:val="none"/>
                <w:u w:val="none"/>
                <w:lang w:val="en-US" w:eastAsia="zh-CN" w:bidi="ar-SA"/>
              </w:rPr>
            </w:pPr>
          </w:p>
        </w:tc>
        <w:tc>
          <w:tcPr>
            <w:tcW w:w="2441" w:type="dxa"/>
            <w:tcBorders>
              <w:top w:val="nil"/>
              <w:left w:val="nil"/>
              <w:bottom w:val="single" w:color="auto" w:sz="4" w:space="0"/>
              <w:right w:val="single" w:color="auto" w:sz="4" w:space="0"/>
            </w:tcBorders>
            <w:vAlign w:val="center"/>
          </w:tcPr>
          <w:p>
            <w:pPr>
              <w:rPr>
                <w:rFonts w:hint="eastAsia" w:ascii="宋体" w:hAnsi="宋体" w:cs="宋体" w:eastAsiaTheme="minorEastAsia"/>
                <w:b w:val="0"/>
                <w:bCs w:val="0"/>
                <w:snapToGrid w:val="0"/>
                <w:color w:val="auto"/>
                <w:kern w:val="0"/>
                <w:sz w:val="21"/>
                <w:szCs w:val="21"/>
                <w:highlight w:val="none"/>
                <w:u w:val="none"/>
                <w:lang w:val="en-US" w:eastAsia="zh-CN" w:bidi="ar-SA"/>
              </w:rPr>
            </w:pPr>
          </w:p>
        </w:tc>
      </w:tr>
    </w:tbl>
    <w:p>
      <w:pPr>
        <w:pStyle w:val="19"/>
        <w:ind w:firstLine="480"/>
        <w:rPr>
          <w:rFonts w:hint="eastAsia"/>
          <w:color w:val="auto"/>
          <w:highlight w:val="none"/>
        </w:rPr>
      </w:pPr>
    </w:p>
    <w:p>
      <w:pPr>
        <w:pStyle w:val="19"/>
        <w:ind w:firstLine="480"/>
        <w:rPr>
          <w:rFonts w:hint="eastAsia"/>
          <w:color w:val="auto"/>
          <w:highlight w:val="none"/>
        </w:rPr>
      </w:pPr>
    </w:p>
    <w:p>
      <w:pPr>
        <w:pStyle w:val="19"/>
        <w:ind w:firstLine="480"/>
        <w:rPr>
          <w:color w:val="auto"/>
          <w:highlight w:val="none"/>
        </w:rPr>
      </w:pPr>
      <w:r>
        <w:rPr>
          <w:rFonts w:hint="eastAsia"/>
          <w:color w:val="auto"/>
          <w:highlight w:val="none"/>
        </w:rPr>
        <w:t xml:space="preserve">说明： </w:t>
      </w:r>
    </w:p>
    <w:p>
      <w:pPr>
        <w:pStyle w:val="19"/>
        <w:ind w:firstLine="480"/>
        <w:rPr>
          <w:color w:val="auto"/>
          <w:highlight w:val="none"/>
        </w:rPr>
      </w:pPr>
      <w:r>
        <w:rPr>
          <w:rFonts w:hint="eastAsia"/>
          <w:color w:val="auto"/>
          <w:highlight w:val="none"/>
        </w:rPr>
        <w:t>1、设备、材料按</w:t>
      </w:r>
      <w:r>
        <w:rPr>
          <w:rFonts w:hint="eastAsia"/>
          <w:color w:val="auto"/>
          <w:highlight w:val="none"/>
          <w:u w:val="single"/>
        </w:rPr>
        <w:t>、《电网工程建设预算编制与计算规定》</w:t>
      </w:r>
      <w:r>
        <w:rPr>
          <w:rFonts w:hint="eastAsia"/>
          <w:color w:val="auto"/>
          <w:highlight w:val="none"/>
        </w:rPr>
        <w:t>（2018年版）划分。</w:t>
      </w:r>
    </w:p>
    <w:p>
      <w:pPr>
        <w:ind w:firstLine="480"/>
        <w:rPr>
          <w:rFonts w:eastAsia="宋体"/>
          <w:color w:val="auto"/>
          <w:highlight w:val="none"/>
        </w:rPr>
      </w:pPr>
      <w:r>
        <w:rPr>
          <w:rFonts w:hint="eastAsia"/>
          <w:color w:val="auto"/>
          <w:highlight w:val="none"/>
        </w:rPr>
        <w:t>2、图像监视及安全防护系统、电子围栏由招标人提供厂家安装调试，中标施工单位配合、协调。主变消防、火灾报警系统、感温消防系统计入土建工程。</w:t>
      </w:r>
    </w:p>
    <w:p>
      <w:pPr>
        <w:pStyle w:val="19"/>
        <w:ind w:firstLine="480"/>
        <w:rPr>
          <w:color w:val="auto"/>
          <w:highlight w:val="none"/>
        </w:rPr>
      </w:pPr>
      <w:r>
        <w:rPr>
          <w:rFonts w:hint="eastAsia" w:ascii="宋体" w:hAnsi="宋体"/>
          <w:color w:val="auto"/>
          <w:highlight w:val="none"/>
        </w:rPr>
        <w:t>3、招标人提供的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pStyle w:val="19"/>
        <w:ind w:firstLine="420"/>
        <w:rPr>
          <w:rFonts w:hint="eastAsia" w:ascii="Calibri" w:hAnsi="Calibri" w:cs="Times New Roman" w:eastAsiaTheme="minorEastAsia"/>
          <w:color w:val="auto"/>
          <w:kern w:val="2"/>
          <w:sz w:val="24"/>
          <w:szCs w:val="22"/>
          <w:highlight w:val="none"/>
          <w:lang w:val="en-US" w:eastAsia="zh-CN" w:bidi="ar-SA"/>
        </w:rPr>
      </w:pPr>
      <w:r>
        <w:rPr>
          <w:rFonts w:hint="eastAsia" w:ascii="Calibri" w:hAnsi="Calibri" w:cs="Times New Roman"/>
          <w:color w:val="auto"/>
          <w:kern w:val="2"/>
          <w:sz w:val="24"/>
          <w:szCs w:val="22"/>
          <w:highlight w:val="none"/>
          <w:lang w:val="en-US" w:eastAsia="zh-CN" w:bidi="ar-SA"/>
        </w:rPr>
        <w:t>4</w:t>
      </w:r>
      <w:r>
        <w:rPr>
          <w:rFonts w:hint="eastAsia" w:ascii="Calibri" w:hAnsi="Calibri" w:cs="Times New Roman" w:eastAsiaTheme="minorEastAsia"/>
          <w:color w:val="auto"/>
          <w:kern w:val="2"/>
          <w:sz w:val="24"/>
          <w:szCs w:val="22"/>
          <w:highlight w:val="none"/>
          <w:lang w:val="en-US" w:eastAsia="zh-CN" w:bidi="ar-SA"/>
        </w:rPr>
        <w:t>、</w:t>
      </w:r>
      <w:r>
        <w:rPr>
          <w:rFonts w:hint="eastAsia" w:ascii="Calibri" w:hAnsi="Calibri" w:cs="Times New Roman"/>
          <w:color w:val="auto"/>
          <w:kern w:val="2"/>
          <w:sz w:val="24"/>
          <w:szCs w:val="22"/>
          <w:highlight w:val="none"/>
          <w:lang w:val="en-US" w:eastAsia="zh-CN" w:bidi="ar-SA"/>
        </w:rPr>
        <w:t>线路机械钻孔桩基础、</w:t>
      </w:r>
      <w:r>
        <w:rPr>
          <w:rFonts w:hint="eastAsia" w:ascii="Calibri" w:hAnsi="Calibri" w:cs="Times New Roman" w:eastAsiaTheme="minorEastAsia"/>
          <w:color w:val="auto"/>
          <w:kern w:val="2"/>
          <w:sz w:val="24"/>
          <w:szCs w:val="22"/>
          <w:highlight w:val="none"/>
          <w:lang w:val="en-US" w:eastAsia="zh-CN" w:bidi="ar-SA"/>
        </w:rPr>
        <w:t>变电站混凝土采用商品混凝土。</w:t>
      </w:r>
    </w:p>
    <w:p>
      <w:pPr>
        <w:pStyle w:val="19"/>
        <w:ind w:firstLine="480"/>
        <w:rPr>
          <w:rFonts w:hint="eastAsia" w:ascii="Calibri" w:hAnsi="Calibri" w:cs="Times New Roman" w:eastAsiaTheme="minorEastAsia"/>
          <w:color w:val="auto"/>
          <w:kern w:val="2"/>
          <w:sz w:val="24"/>
          <w:szCs w:val="22"/>
          <w:highlight w:val="none"/>
          <w:lang w:val="en-US" w:eastAsia="zh-CN" w:bidi="ar-SA"/>
        </w:rPr>
      </w:pPr>
      <w:r>
        <w:rPr>
          <w:rFonts w:hint="eastAsia" w:ascii="Calibri" w:hAnsi="Calibri" w:cs="Times New Roman"/>
          <w:color w:val="auto"/>
          <w:kern w:val="2"/>
          <w:sz w:val="24"/>
          <w:szCs w:val="22"/>
          <w:highlight w:val="none"/>
          <w:lang w:val="en-US" w:eastAsia="zh-CN" w:bidi="ar-SA"/>
        </w:rPr>
        <w:t>5</w:t>
      </w:r>
      <w:r>
        <w:rPr>
          <w:rFonts w:hint="eastAsia" w:ascii="Calibri" w:hAnsi="Calibri" w:cs="Times New Roman" w:eastAsiaTheme="minorEastAsia"/>
          <w:color w:val="auto"/>
          <w:kern w:val="2"/>
          <w:sz w:val="24"/>
          <w:szCs w:val="22"/>
          <w:highlight w:val="none"/>
          <w:lang w:val="en-US" w:eastAsia="zh-CN" w:bidi="ar-SA"/>
        </w:rPr>
        <w:t>、变电站对侧间隔接入、线路跨越停电，报价考虑应考虑不连续停电时产生多次进退场费用、办理工作票手续、间隔扩建围挡措施费用。</w:t>
      </w:r>
    </w:p>
    <w:p>
      <w:pPr>
        <w:pStyle w:val="19"/>
        <w:ind w:firstLine="480"/>
        <w:rPr>
          <w:rFonts w:hint="eastAsia" w:ascii="Calibri" w:hAnsi="Calibri" w:cs="Times New Roman" w:eastAsiaTheme="minorEastAsia"/>
          <w:color w:val="auto"/>
          <w:kern w:val="2"/>
          <w:sz w:val="24"/>
          <w:szCs w:val="22"/>
          <w:highlight w:val="none"/>
          <w:lang w:val="en-US" w:eastAsia="zh-CN" w:bidi="ar-SA"/>
        </w:rPr>
      </w:pPr>
      <w:r>
        <w:rPr>
          <w:rFonts w:hint="eastAsia" w:ascii="Calibri" w:hAnsi="Calibri" w:cs="Times New Roman"/>
          <w:color w:val="auto"/>
          <w:kern w:val="2"/>
          <w:sz w:val="24"/>
          <w:szCs w:val="22"/>
          <w:highlight w:val="none"/>
          <w:lang w:val="en-US" w:eastAsia="zh-CN" w:bidi="ar-SA"/>
        </w:rPr>
        <w:t>6</w:t>
      </w:r>
      <w:r>
        <w:rPr>
          <w:rFonts w:hint="eastAsia" w:ascii="Calibri" w:hAnsi="Calibri" w:cs="Times New Roman" w:eastAsiaTheme="minorEastAsia"/>
          <w:color w:val="auto"/>
          <w:kern w:val="2"/>
          <w:sz w:val="24"/>
          <w:szCs w:val="22"/>
          <w:highlight w:val="none"/>
          <w:lang w:val="en-US" w:eastAsia="zh-CN" w:bidi="ar-SA"/>
        </w:rPr>
        <w:t>、投标单位应考虑建设单位设备材料供应、图纸不及时窝工风险。</w:t>
      </w:r>
    </w:p>
    <w:p>
      <w:pPr>
        <w:pStyle w:val="9"/>
        <w:spacing w:line="480" w:lineRule="atLeast"/>
        <w:ind w:left="0" w:leftChars="0" w:firstLine="0" w:firstLineChars="0"/>
        <w:rPr>
          <w:rFonts w:asciiTheme="minorEastAsia" w:hAnsiTheme="minorEastAsia" w:cstheme="minorEastAsia"/>
        </w:rPr>
      </w:pPr>
      <w:bookmarkStart w:id="7" w:name="_GoBack"/>
      <w:bookmarkEnd w:id="7"/>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0077FD"/>
    <w:rsid w:val="00011754"/>
    <w:rsid w:val="00014071"/>
    <w:rsid w:val="00016157"/>
    <w:rsid w:val="00031B3A"/>
    <w:rsid w:val="0007228B"/>
    <w:rsid w:val="00086506"/>
    <w:rsid w:val="00095543"/>
    <w:rsid w:val="00097AB4"/>
    <w:rsid w:val="0010396B"/>
    <w:rsid w:val="001675AE"/>
    <w:rsid w:val="001D0535"/>
    <w:rsid w:val="001E101B"/>
    <w:rsid w:val="0025385E"/>
    <w:rsid w:val="002555B6"/>
    <w:rsid w:val="00271EDB"/>
    <w:rsid w:val="00292D6D"/>
    <w:rsid w:val="002F0833"/>
    <w:rsid w:val="002F2321"/>
    <w:rsid w:val="00310FA1"/>
    <w:rsid w:val="00311614"/>
    <w:rsid w:val="003205C7"/>
    <w:rsid w:val="003437DE"/>
    <w:rsid w:val="00376B9D"/>
    <w:rsid w:val="00396718"/>
    <w:rsid w:val="003A7039"/>
    <w:rsid w:val="0042645E"/>
    <w:rsid w:val="00473E66"/>
    <w:rsid w:val="00485BF4"/>
    <w:rsid w:val="004A7BD5"/>
    <w:rsid w:val="004C103A"/>
    <w:rsid w:val="005139FC"/>
    <w:rsid w:val="005363BF"/>
    <w:rsid w:val="00551788"/>
    <w:rsid w:val="005549D7"/>
    <w:rsid w:val="00566DAA"/>
    <w:rsid w:val="005848B9"/>
    <w:rsid w:val="00592032"/>
    <w:rsid w:val="005A2096"/>
    <w:rsid w:val="005A61C7"/>
    <w:rsid w:val="005D0EF7"/>
    <w:rsid w:val="005E5348"/>
    <w:rsid w:val="00606539"/>
    <w:rsid w:val="00632887"/>
    <w:rsid w:val="00633F44"/>
    <w:rsid w:val="00637076"/>
    <w:rsid w:val="00643FA5"/>
    <w:rsid w:val="006548F8"/>
    <w:rsid w:val="00680AA6"/>
    <w:rsid w:val="006C4631"/>
    <w:rsid w:val="00716E7D"/>
    <w:rsid w:val="0072399F"/>
    <w:rsid w:val="007753FD"/>
    <w:rsid w:val="007C2440"/>
    <w:rsid w:val="00866F7A"/>
    <w:rsid w:val="0087262D"/>
    <w:rsid w:val="009007EE"/>
    <w:rsid w:val="0090508A"/>
    <w:rsid w:val="00942600"/>
    <w:rsid w:val="00972B34"/>
    <w:rsid w:val="009C6FEC"/>
    <w:rsid w:val="00A22B65"/>
    <w:rsid w:val="00A51B80"/>
    <w:rsid w:val="00A51F9D"/>
    <w:rsid w:val="00A53148"/>
    <w:rsid w:val="00A86665"/>
    <w:rsid w:val="00A87D17"/>
    <w:rsid w:val="00A920F3"/>
    <w:rsid w:val="00A96C06"/>
    <w:rsid w:val="00A977B7"/>
    <w:rsid w:val="00AA315F"/>
    <w:rsid w:val="00B10053"/>
    <w:rsid w:val="00B11A9D"/>
    <w:rsid w:val="00B33B92"/>
    <w:rsid w:val="00B8124A"/>
    <w:rsid w:val="00BC0290"/>
    <w:rsid w:val="00C2380C"/>
    <w:rsid w:val="00C374BB"/>
    <w:rsid w:val="00C547DA"/>
    <w:rsid w:val="00C6130C"/>
    <w:rsid w:val="00CF4754"/>
    <w:rsid w:val="00D151C1"/>
    <w:rsid w:val="00D84724"/>
    <w:rsid w:val="00D96358"/>
    <w:rsid w:val="00E075DE"/>
    <w:rsid w:val="00E17152"/>
    <w:rsid w:val="00E278D1"/>
    <w:rsid w:val="00E32151"/>
    <w:rsid w:val="00E37B7A"/>
    <w:rsid w:val="00E77A7B"/>
    <w:rsid w:val="00EB0DE3"/>
    <w:rsid w:val="00EC4874"/>
    <w:rsid w:val="00ED761E"/>
    <w:rsid w:val="00F147AD"/>
    <w:rsid w:val="00F32FE1"/>
    <w:rsid w:val="00F53547"/>
    <w:rsid w:val="00F53D0B"/>
    <w:rsid w:val="00F82F8E"/>
    <w:rsid w:val="00F874C7"/>
    <w:rsid w:val="00FA21CC"/>
    <w:rsid w:val="00FA5D5E"/>
    <w:rsid w:val="00FB52E7"/>
    <w:rsid w:val="00FC1A1C"/>
    <w:rsid w:val="00FD6507"/>
    <w:rsid w:val="00FF1E9D"/>
    <w:rsid w:val="015E4AD6"/>
    <w:rsid w:val="024E2D15"/>
    <w:rsid w:val="02C60885"/>
    <w:rsid w:val="033322FF"/>
    <w:rsid w:val="033C5273"/>
    <w:rsid w:val="03572688"/>
    <w:rsid w:val="03D11520"/>
    <w:rsid w:val="043F2D6C"/>
    <w:rsid w:val="04A24F71"/>
    <w:rsid w:val="05D50E64"/>
    <w:rsid w:val="068542C7"/>
    <w:rsid w:val="068757A0"/>
    <w:rsid w:val="068B5637"/>
    <w:rsid w:val="082A2578"/>
    <w:rsid w:val="083A520C"/>
    <w:rsid w:val="090F1A12"/>
    <w:rsid w:val="09322D63"/>
    <w:rsid w:val="0A977E8C"/>
    <w:rsid w:val="0BC07002"/>
    <w:rsid w:val="0C4B6E38"/>
    <w:rsid w:val="0C5D6A38"/>
    <w:rsid w:val="0C7A052B"/>
    <w:rsid w:val="0C8047E9"/>
    <w:rsid w:val="0E643C0A"/>
    <w:rsid w:val="0F296723"/>
    <w:rsid w:val="0FC2396C"/>
    <w:rsid w:val="0FD9067C"/>
    <w:rsid w:val="0FD92E79"/>
    <w:rsid w:val="101256D5"/>
    <w:rsid w:val="116419AD"/>
    <w:rsid w:val="11665E78"/>
    <w:rsid w:val="11DF6CFE"/>
    <w:rsid w:val="12063E6F"/>
    <w:rsid w:val="12B07C64"/>
    <w:rsid w:val="12F21BA5"/>
    <w:rsid w:val="1318161D"/>
    <w:rsid w:val="133A552B"/>
    <w:rsid w:val="140A6DCB"/>
    <w:rsid w:val="14440D4B"/>
    <w:rsid w:val="14E742B6"/>
    <w:rsid w:val="15056A61"/>
    <w:rsid w:val="16BF0CE9"/>
    <w:rsid w:val="178D3157"/>
    <w:rsid w:val="18283DB5"/>
    <w:rsid w:val="18673726"/>
    <w:rsid w:val="187D3DBA"/>
    <w:rsid w:val="18A40E74"/>
    <w:rsid w:val="18E57496"/>
    <w:rsid w:val="19A957E5"/>
    <w:rsid w:val="1ADA430D"/>
    <w:rsid w:val="1B0027F2"/>
    <w:rsid w:val="1B663F82"/>
    <w:rsid w:val="1BAD2CF8"/>
    <w:rsid w:val="1BB97474"/>
    <w:rsid w:val="1C5C0323"/>
    <w:rsid w:val="1C630856"/>
    <w:rsid w:val="1C6770A4"/>
    <w:rsid w:val="1CF71FF1"/>
    <w:rsid w:val="1D035E8E"/>
    <w:rsid w:val="1D201F43"/>
    <w:rsid w:val="1D9C5B70"/>
    <w:rsid w:val="1DBB07FC"/>
    <w:rsid w:val="1DE54DBB"/>
    <w:rsid w:val="1EBC458D"/>
    <w:rsid w:val="1EDD2B2F"/>
    <w:rsid w:val="1EF159C5"/>
    <w:rsid w:val="1FEC076E"/>
    <w:rsid w:val="1FF70EB7"/>
    <w:rsid w:val="1FFD1B5A"/>
    <w:rsid w:val="207D0239"/>
    <w:rsid w:val="216F4D5B"/>
    <w:rsid w:val="21B7528E"/>
    <w:rsid w:val="22BD5B09"/>
    <w:rsid w:val="22C9772D"/>
    <w:rsid w:val="23375FD0"/>
    <w:rsid w:val="23CD7606"/>
    <w:rsid w:val="24F737D8"/>
    <w:rsid w:val="26823015"/>
    <w:rsid w:val="28410FC0"/>
    <w:rsid w:val="28A975F0"/>
    <w:rsid w:val="29723A90"/>
    <w:rsid w:val="29C2451D"/>
    <w:rsid w:val="2B2D78A2"/>
    <w:rsid w:val="2B445B5E"/>
    <w:rsid w:val="2BC639DD"/>
    <w:rsid w:val="2BCE7EB7"/>
    <w:rsid w:val="2C2F45EB"/>
    <w:rsid w:val="2E656D4D"/>
    <w:rsid w:val="2FB4171B"/>
    <w:rsid w:val="2FF65FF8"/>
    <w:rsid w:val="300D195C"/>
    <w:rsid w:val="30226805"/>
    <w:rsid w:val="30BF37B5"/>
    <w:rsid w:val="32160C9D"/>
    <w:rsid w:val="3344181F"/>
    <w:rsid w:val="34DB3A8C"/>
    <w:rsid w:val="356215B7"/>
    <w:rsid w:val="36116540"/>
    <w:rsid w:val="361736AD"/>
    <w:rsid w:val="3636230B"/>
    <w:rsid w:val="36CD092E"/>
    <w:rsid w:val="36D200CF"/>
    <w:rsid w:val="37FE1C4C"/>
    <w:rsid w:val="38382DC3"/>
    <w:rsid w:val="38771E95"/>
    <w:rsid w:val="38DE045C"/>
    <w:rsid w:val="3C2564BB"/>
    <w:rsid w:val="3C4A35F1"/>
    <w:rsid w:val="3CF93F15"/>
    <w:rsid w:val="3E0B08DA"/>
    <w:rsid w:val="3E39260B"/>
    <w:rsid w:val="3F4067E7"/>
    <w:rsid w:val="404E573A"/>
    <w:rsid w:val="414B09E3"/>
    <w:rsid w:val="41AB5C97"/>
    <w:rsid w:val="430A4806"/>
    <w:rsid w:val="4412373D"/>
    <w:rsid w:val="44241685"/>
    <w:rsid w:val="44D414C9"/>
    <w:rsid w:val="451A7D17"/>
    <w:rsid w:val="46472D5E"/>
    <w:rsid w:val="46A92133"/>
    <w:rsid w:val="46CB0151"/>
    <w:rsid w:val="46DE3664"/>
    <w:rsid w:val="47AD3E7E"/>
    <w:rsid w:val="47F56EE1"/>
    <w:rsid w:val="49D4394F"/>
    <w:rsid w:val="4A662D68"/>
    <w:rsid w:val="4A6A0819"/>
    <w:rsid w:val="4A786A12"/>
    <w:rsid w:val="4A7F6380"/>
    <w:rsid w:val="4B3A1BDA"/>
    <w:rsid w:val="4C802CC7"/>
    <w:rsid w:val="4DEE50FF"/>
    <w:rsid w:val="4E040B3D"/>
    <w:rsid w:val="4E143849"/>
    <w:rsid w:val="4EC841C6"/>
    <w:rsid w:val="4FB90FE4"/>
    <w:rsid w:val="507B3005"/>
    <w:rsid w:val="50F42938"/>
    <w:rsid w:val="51780BF8"/>
    <w:rsid w:val="52397477"/>
    <w:rsid w:val="52B57F30"/>
    <w:rsid w:val="52E734B9"/>
    <w:rsid w:val="531123E6"/>
    <w:rsid w:val="531B5F34"/>
    <w:rsid w:val="54B05DCB"/>
    <w:rsid w:val="553A3902"/>
    <w:rsid w:val="55C3156A"/>
    <w:rsid w:val="56441730"/>
    <w:rsid w:val="56DF6C95"/>
    <w:rsid w:val="57D34D53"/>
    <w:rsid w:val="587A3F63"/>
    <w:rsid w:val="59162A27"/>
    <w:rsid w:val="599A28DF"/>
    <w:rsid w:val="5B294A30"/>
    <w:rsid w:val="5BE86308"/>
    <w:rsid w:val="5C6B3215"/>
    <w:rsid w:val="5E5D4679"/>
    <w:rsid w:val="5E653EEE"/>
    <w:rsid w:val="5EB64B28"/>
    <w:rsid w:val="5F772CE3"/>
    <w:rsid w:val="5F87655D"/>
    <w:rsid w:val="5FFF488E"/>
    <w:rsid w:val="608606DE"/>
    <w:rsid w:val="60A66954"/>
    <w:rsid w:val="615048DF"/>
    <w:rsid w:val="621344E6"/>
    <w:rsid w:val="62643571"/>
    <w:rsid w:val="6275084A"/>
    <w:rsid w:val="628343EA"/>
    <w:rsid w:val="63E87D28"/>
    <w:rsid w:val="64C42641"/>
    <w:rsid w:val="65D4276C"/>
    <w:rsid w:val="66C35559"/>
    <w:rsid w:val="67456D79"/>
    <w:rsid w:val="681D6537"/>
    <w:rsid w:val="68443E3E"/>
    <w:rsid w:val="68492364"/>
    <w:rsid w:val="68A76ED8"/>
    <w:rsid w:val="69A00111"/>
    <w:rsid w:val="69A96D33"/>
    <w:rsid w:val="6A287B5E"/>
    <w:rsid w:val="6A9002AC"/>
    <w:rsid w:val="6B303A1A"/>
    <w:rsid w:val="6B730158"/>
    <w:rsid w:val="6BE62D14"/>
    <w:rsid w:val="6C754655"/>
    <w:rsid w:val="6D4D5460"/>
    <w:rsid w:val="6D976A56"/>
    <w:rsid w:val="6DAA2FDF"/>
    <w:rsid w:val="6E121228"/>
    <w:rsid w:val="6F276733"/>
    <w:rsid w:val="6F4D2A14"/>
    <w:rsid w:val="6F967605"/>
    <w:rsid w:val="6FE82ED1"/>
    <w:rsid w:val="70D1495F"/>
    <w:rsid w:val="712F4423"/>
    <w:rsid w:val="71E31ABA"/>
    <w:rsid w:val="72B74F76"/>
    <w:rsid w:val="73DA1821"/>
    <w:rsid w:val="74026948"/>
    <w:rsid w:val="744D5610"/>
    <w:rsid w:val="74D2508C"/>
    <w:rsid w:val="75F26206"/>
    <w:rsid w:val="764778A3"/>
    <w:rsid w:val="76AB3227"/>
    <w:rsid w:val="77743287"/>
    <w:rsid w:val="77C11D73"/>
    <w:rsid w:val="783F1A88"/>
    <w:rsid w:val="78874A55"/>
    <w:rsid w:val="791134DD"/>
    <w:rsid w:val="79650AA5"/>
    <w:rsid w:val="79CB24E1"/>
    <w:rsid w:val="7B310EF5"/>
    <w:rsid w:val="7BFA1F37"/>
    <w:rsid w:val="7C322EFF"/>
    <w:rsid w:val="7D746C09"/>
    <w:rsid w:val="7E3420E0"/>
    <w:rsid w:val="7EA65BD8"/>
    <w:rsid w:val="7EBC327C"/>
    <w:rsid w:val="7EC62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Calibri" w:hAnsi="Calibri" w:cs="Times New Roman" w:eastAsiaTheme="minorEastAsia"/>
      <w:kern w:val="2"/>
      <w:sz w:val="24"/>
      <w:szCs w:val="22"/>
      <w:lang w:val="en-US" w:eastAsia="zh-CN" w:bidi="ar-SA"/>
    </w:rPr>
  </w:style>
  <w:style w:type="paragraph" w:styleId="3">
    <w:name w:val="heading 1"/>
    <w:basedOn w:val="1"/>
    <w:next w:val="1"/>
    <w:unhideWhenUsed/>
    <w:qFormat/>
    <w:uiPriority w:val="99"/>
    <w:pPr>
      <w:autoSpaceDE w:val="0"/>
      <w:autoSpaceDN w:val="0"/>
      <w:adjustRightInd w:val="0"/>
      <w:ind w:firstLine="0" w:firstLineChars="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spacing w:before="50" w:beforeLines="50" w:after="50" w:afterLines="50"/>
      <w:ind w:firstLine="0" w:firstLineChars="0"/>
      <w:outlineLvl w:val="1"/>
    </w:pPr>
    <w:rPr>
      <w:rFonts w:ascii="Arial" w:hAnsi="Arial"/>
      <w:b/>
      <w:color w:val="000000"/>
    </w:rPr>
  </w:style>
  <w:style w:type="paragraph" w:styleId="4">
    <w:name w:val="heading 3"/>
    <w:basedOn w:val="1"/>
    <w:next w:val="1"/>
    <w:link w:val="18"/>
    <w:unhideWhenUsed/>
    <w:qFormat/>
    <w:uiPriority w:val="0"/>
    <w:pPr>
      <w:keepNext/>
      <w:keepLines/>
      <w:outlineLvl w:val="2"/>
    </w:pPr>
    <w:rPr>
      <w:b/>
      <w:bCs/>
      <w:sz w:val="28"/>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Body Text"/>
    <w:basedOn w:val="7"/>
    <w:next w:val="7"/>
    <w:qFormat/>
    <w:uiPriority w:val="0"/>
    <w:pPr>
      <w:spacing w:after="120" w:line="360" w:lineRule="auto"/>
      <w:ind w:firstLine="598"/>
    </w:pPr>
  </w:style>
  <w:style w:type="paragraph" w:styleId="7">
    <w:name w:val="Title"/>
    <w:basedOn w:val="1"/>
    <w:next w:val="1"/>
    <w:qFormat/>
    <w:uiPriority w:val="0"/>
    <w:pPr>
      <w:spacing w:before="240" w:after="60"/>
      <w:jc w:val="center"/>
      <w:outlineLvl w:val="0"/>
    </w:pPr>
    <w:rPr>
      <w:rFonts w:ascii="Arial" w:hAnsi="Arial"/>
      <w:b/>
      <w:sz w:val="32"/>
    </w:rPr>
  </w:style>
  <w:style w:type="paragraph" w:styleId="8">
    <w:name w:val="Body Text Indent"/>
    <w:basedOn w:val="1"/>
    <w:qFormat/>
    <w:uiPriority w:val="0"/>
  </w:style>
  <w:style w:type="paragraph" w:styleId="9">
    <w:name w:val="Plain Text"/>
    <w:basedOn w:val="1"/>
    <w:qFormat/>
    <w:uiPriority w:val="0"/>
    <w:rPr>
      <w:rFonts w:ascii="宋体" w:hAnsi="Courier New"/>
      <w:kern w:val="0"/>
      <w:sz w:val="20"/>
      <w:szCs w:val="20"/>
    </w:rPr>
  </w:style>
  <w:style w:type="paragraph" w:styleId="10">
    <w:name w:val="footer"/>
    <w:basedOn w:val="1"/>
    <w:link w:val="17"/>
    <w:qFormat/>
    <w:uiPriority w:val="0"/>
    <w:pPr>
      <w:tabs>
        <w:tab w:val="center" w:pos="4153"/>
        <w:tab w:val="right" w:pos="8306"/>
      </w:tabs>
      <w:snapToGrid w:val="0"/>
      <w:jc w:val="left"/>
    </w:pPr>
    <w:rPr>
      <w:sz w:val="18"/>
      <w:szCs w:val="18"/>
    </w:rPr>
  </w:style>
  <w:style w:type="paragraph" w:styleId="11">
    <w:name w:val="header"/>
    <w:basedOn w:val="1"/>
    <w:link w:val="16"/>
    <w:qFormat/>
    <w:uiPriority w:val="0"/>
    <w:pP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character" w:customStyle="1" w:styleId="16">
    <w:name w:val="页眉 Char"/>
    <w:basedOn w:val="14"/>
    <w:link w:val="11"/>
    <w:qFormat/>
    <w:uiPriority w:val="0"/>
    <w:rPr>
      <w:rFonts w:ascii="Calibri" w:hAnsi="Calibri"/>
      <w:kern w:val="2"/>
      <w:sz w:val="18"/>
      <w:szCs w:val="18"/>
    </w:rPr>
  </w:style>
  <w:style w:type="character" w:customStyle="1" w:styleId="17">
    <w:name w:val="页脚 Char"/>
    <w:basedOn w:val="14"/>
    <w:link w:val="10"/>
    <w:qFormat/>
    <w:uiPriority w:val="0"/>
    <w:rPr>
      <w:rFonts w:ascii="Calibri" w:hAnsi="Calibri"/>
      <w:kern w:val="2"/>
      <w:sz w:val="18"/>
      <w:szCs w:val="18"/>
    </w:rPr>
  </w:style>
  <w:style w:type="character" w:customStyle="1" w:styleId="18">
    <w:name w:val="标题 3 Char"/>
    <w:basedOn w:val="14"/>
    <w:link w:val="4"/>
    <w:qFormat/>
    <w:uiPriority w:val="0"/>
    <w:rPr>
      <w:rFonts w:ascii="Calibri" w:hAnsi="Calibri"/>
      <w:b/>
      <w:bCs/>
      <w:kern w:val="2"/>
      <w:sz w:val="28"/>
      <w:szCs w:val="32"/>
    </w:rPr>
  </w:style>
  <w:style w:type="paragraph" w:customStyle="1" w:styleId="19">
    <w:name w:val="报告正文"/>
    <w:basedOn w:val="1"/>
    <w:qFormat/>
    <w:uiPriority w:val="0"/>
    <w:pPr>
      <w:textAlignment w:val="baseline"/>
    </w:pPr>
    <w:rPr>
      <w:rFonts w:asciiTheme="minorHAnsi" w:hAnsiTheme="minorHAnsi" w:cstheme="minorBidi"/>
      <w:kern w:val="0"/>
      <w:szCs w:val="24"/>
    </w:rPr>
  </w:style>
  <w:style w:type="paragraph" w:styleId="20">
    <w:name w:val="List Paragraph"/>
    <w:basedOn w:val="1"/>
    <w:unhideWhenUsed/>
    <w:qFormat/>
    <w:uiPriority w:val="99"/>
    <w:pPr>
      <w:spacing w:line="240" w:lineRule="auto"/>
      <w:ind w:firstLine="420"/>
    </w:pPr>
    <w:rPr>
      <w:rFonts w:asciiTheme="minorHAnsi" w:hAnsiTheme="minorHAnsi" w:cstheme="minorBidi"/>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DB8D-22AC-462C-A184-4CAA40B6B228}">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2123</Words>
  <Characters>12105</Characters>
  <Lines>100</Lines>
  <Paragraphs>28</Paragraphs>
  <TotalTime>2</TotalTime>
  <ScaleCrop>false</ScaleCrop>
  <LinksUpToDate>false</LinksUpToDate>
  <CharactersWithSpaces>14200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杨莉</cp:lastModifiedBy>
  <dcterms:modified xsi:type="dcterms:W3CDTF">2025-11-21T03:50:28Z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A415CD00B66540E4BABF9C1ED3D1BE08</vt:lpwstr>
  </property>
</Properties>
</file>