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default" w:ascii="宋体" w:hAnsi="宋体" w:eastAsia="宋体" w:cs="宋体"/>
          <w:b/>
          <w:bCs/>
          <w:snapToGrid w:val="0"/>
          <w:color w:val="auto"/>
          <w:kern w:val="0"/>
          <w:sz w:val="32"/>
          <w:szCs w:val="32"/>
          <w:highlight w:val="none"/>
          <w:u w:val="none"/>
          <w:lang w:val="en-US" w:eastAsia="zh-CN"/>
        </w:rPr>
      </w:pPr>
      <w:bookmarkStart w:id="0" w:name="_Toc8445"/>
      <w:r>
        <w:rPr>
          <w:rFonts w:hint="eastAsia" w:hAnsi="宋体" w:eastAsia="宋体" w:cs="宋体"/>
          <w:b/>
          <w:bCs/>
          <w:snapToGrid w:val="0"/>
          <w:color w:val="auto"/>
          <w:kern w:val="0"/>
          <w:sz w:val="32"/>
          <w:szCs w:val="32"/>
          <w:highlight w:val="none"/>
          <w:u w:val="none"/>
          <w:lang w:val="en-US" w:eastAsia="zh-CN"/>
        </w:rPr>
        <w:t>标的7</w:t>
      </w:r>
    </w:p>
    <w:p>
      <w:pPr>
        <w:pStyle w:val="9"/>
        <w:keepNext w:val="0"/>
        <w:keepLines w:val="0"/>
        <w:pageBreakBefore w:val="0"/>
        <w:shd w:val="clear" w:color="auto" w:fill="auto"/>
        <w:kinsoku/>
        <w:wordWrap/>
        <w:overflowPunct/>
        <w:topLinePunct w:val="0"/>
        <w:bidi w:val="0"/>
        <w:adjustRightInd w:val="0"/>
        <w:snapToGrid w:val="0"/>
        <w:spacing w:line="360" w:lineRule="auto"/>
        <w:ind w:left="0" w:leftChars="0" w:firstLine="0" w:firstLineChars="0"/>
        <w:jc w:val="center"/>
        <w:textAlignment w:val="auto"/>
        <w:outlineLvl w:val="0"/>
        <w:rPr>
          <w:rFonts w:hint="default" w:hAnsi="宋体" w:eastAsia="宋体" w:cs="宋体"/>
          <w:b/>
          <w:color w:val="auto"/>
          <w:sz w:val="28"/>
          <w:szCs w:val="28"/>
          <w:highlight w:val="none"/>
          <w:lang w:val="en-US" w:eastAsia="zh-CN"/>
        </w:rPr>
      </w:pPr>
      <w:r>
        <w:rPr>
          <w:rFonts w:hint="eastAsia" w:hAnsi="宋体" w:cs="宋体"/>
          <w:b/>
          <w:bCs/>
          <w:snapToGrid w:val="0"/>
          <w:color w:val="auto"/>
          <w:kern w:val="0"/>
          <w:sz w:val="28"/>
          <w:szCs w:val="28"/>
          <w:highlight w:val="none"/>
          <w:u w:val="none"/>
          <w:lang w:val="en-US" w:eastAsia="zh-CN"/>
        </w:rPr>
        <w:t>项目</w:t>
      </w:r>
      <w:r>
        <w:rPr>
          <w:rFonts w:hint="eastAsia" w:ascii="宋体" w:hAnsi="宋体" w:eastAsia="宋体" w:cs="宋体"/>
          <w:b/>
          <w:bCs/>
          <w:snapToGrid w:val="0"/>
          <w:color w:val="auto"/>
          <w:kern w:val="0"/>
          <w:sz w:val="28"/>
          <w:szCs w:val="28"/>
          <w:highlight w:val="none"/>
          <w:u w:val="none"/>
          <w:lang w:val="en-US" w:eastAsia="zh-CN"/>
        </w:rPr>
        <w:t>名称：</w:t>
      </w:r>
      <w:r>
        <w:rPr>
          <w:rFonts w:hint="eastAsia" w:asciiTheme="minorEastAsia" w:hAnsiTheme="minorEastAsia" w:cstheme="minorEastAsia"/>
          <w:b/>
          <w:bCs/>
          <w:snapToGrid w:val="0"/>
          <w:color w:val="auto"/>
          <w:sz w:val="28"/>
          <w:szCs w:val="28"/>
          <w:u w:val="single"/>
          <w:lang w:eastAsia="zh-CN"/>
        </w:rPr>
        <w:t>广州海珠站配套220千伏线路工程（辅助用房工程）</w:t>
      </w:r>
      <w:r>
        <w:rPr>
          <w:rFonts w:hint="eastAsia" w:asciiTheme="minorEastAsia" w:hAnsiTheme="minorEastAsia" w:cstheme="minorEastAsia"/>
          <w:b/>
          <w:bCs/>
          <w:snapToGrid w:val="0"/>
          <w:color w:val="auto"/>
          <w:sz w:val="28"/>
          <w:szCs w:val="28"/>
          <w:u w:val="single"/>
          <w:lang w:val="en-US" w:eastAsia="zh-CN"/>
        </w:rPr>
        <w:t>施工</w:t>
      </w:r>
    </w:p>
    <w:tbl>
      <w:tblPr>
        <w:tblStyle w:val="15"/>
        <w:tblW w:w="7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序号</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文件名称</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sz w:val="21"/>
                <w:szCs w:val="21"/>
                <w:highlight w:val="none"/>
                <w:u w:val="none"/>
              </w:rPr>
              <w:t>文件文号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1</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可研批复文号</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广供电基〔2025〕26号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2</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w:t>
            </w:r>
            <w:r>
              <w:rPr>
                <w:rFonts w:hint="eastAsia" w:hAnsi="宋体" w:eastAsia="宋体" w:cs="宋体"/>
                <w:b/>
                <w:bCs/>
                <w:snapToGrid w:val="0"/>
                <w:color w:val="auto"/>
                <w:kern w:val="0"/>
                <w:sz w:val="21"/>
                <w:szCs w:val="21"/>
                <w:highlight w:val="none"/>
                <w:u w:val="none"/>
                <w:vertAlign w:val="baseline"/>
                <w:lang w:val="en-US" w:eastAsia="zh-CN"/>
              </w:rPr>
              <w:t>核准、</w:t>
            </w:r>
            <w:r>
              <w:rPr>
                <w:rFonts w:hint="eastAsia" w:ascii="宋体" w:hAnsi="宋体" w:eastAsia="宋体" w:cs="宋体"/>
                <w:b/>
                <w:bCs/>
                <w:snapToGrid w:val="0"/>
                <w:color w:val="auto"/>
                <w:kern w:val="0"/>
                <w:sz w:val="21"/>
                <w:szCs w:val="21"/>
                <w:highlight w:val="none"/>
                <w:u w:val="none"/>
                <w:vertAlign w:val="baseline"/>
                <w:lang w:val="en-US" w:eastAsia="zh-CN"/>
              </w:rPr>
              <w:t>备案文号</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val="0"/>
                <w:bCs w:val="0"/>
                <w:snapToGrid w:val="0"/>
                <w:color w:val="auto"/>
                <w:kern w:val="0"/>
                <w:sz w:val="21"/>
                <w:szCs w:val="21"/>
                <w:highlight w:val="none"/>
                <w:u w:val="none"/>
                <w:vertAlign w:val="baseline"/>
                <w:lang w:val="en-US" w:eastAsia="zh-CN"/>
              </w:rPr>
            </w:pPr>
            <w:r>
              <w:rPr>
                <w:rFonts w:hint="eastAsia" w:ascii="宋体" w:hAnsi="宋体" w:eastAsia="宋体" w:cs="宋体"/>
                <w:b w:val="0"/>
                <w:bCs w:val="0"/>
                <w:snapToGrid w:val="0"/>
                <w:color w:val="auto"/>
                <w:kern w:val="0"/>
                <w:sz w:val="21"/>
                <w:szCs w:val="21"/>
                <w:highlight w:val="none"/>
                <w:u w:val="none"/>
                <w:vertAlign w:val="baseline"/>
                <w:lang w:val="en-US" w:eastAsia="zh-CN"/>
              </w:rPr>
              <w:t>穗发改核准〔2025〕</w:t>
            </w:r>
            <w:r>
              <w:rPr>
                <w:rFonts w:hint="eastAsia" w:hAnsi="宋体" w:eastAsia="宋体" w:cs="宋体"/>
                <w:b w:val="0"/>
                <w:bCs w:val="0"/>
                <w:snapToGrid w:val="0"/>
                <w:color w:val="auto"/>
                <w:kern w:val="0"/>
                <w:sz w:val="21"/>
                <w:szCs w:val="21"/>
                <w:highlight w:val="none"/>
                <w:u w:val="none"/>
                <w:vertAlign w:val="baseline"/>
                <w:lang w:val="en-US" w:eastAsia="zh-CN"/>
              </w:rPr>
              <w:t>10</w:t>
            </w:r>
            <w:r>
              <w:rPr>
                <w:rFonts w:hint="eastAsia" w:ascii="宋体" w:hAnsi="宋体" w:eastAsia="宋体" w:cs="宋体"/>
                <w:b w:val="0"/>
                <w:bCs w:val="0"/>
                <w:snapToGrid w:val="0"/>
                <w:color w:val="auto"/>
                <w:kern w:val="0"/>
                <w:sz w:val="21"/>
                <w:szCs w:val="21"/>
                <w:highlight w:val="none"/>
                <w:u w:val="none"/>
                <w:vertAlign w:val="baseline"/>
                <w:lang w:val="en-US" w:eastAsia="zh-CN"/>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3</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初设批复文号</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1"/>
                <w:szCs w:val="21"/>
                <w:highlight w:val="none"/>
                <w:u w:val="none"/>
                <w:vertAlign w:val="baseline"/>
                <w:lang w:val="en-US" w:eastAsia="zh-CN" w:bidi="ar-SA"/>
              </w:rPr>
            </w:pPr>
            <w:r>
              <w:rPr>
                <w:rFonts w:hint="default" w:asciiTheme="minorEastAsia" w:hAnsiTheme="minorEastAsia" w:eastAsiaTheme="minorEastAsia" w:cstheme="minorEastAsia"/>
                <w:b w:val="0"/>
                <w:bCs w:val="0"/>
                <w:snapToGrid w:val="0"/>
                <w:color w:val="auto"/>
                <w:kern w:val="0"/>
                <w:sz w:val="21"/>
                <w:szCs w:val="21"/>
                <w:highlight w:val="none"/>
                <w:u w:val="none"/>
                <w:vertAlign w:val="baseline"/>
                <w:lang w:val="en-US" w:eastAsia="zh-CN" w:bidi="ar-SA"/>
              </w:rPr>
              <w:t>广供电基〔2025〕101号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4</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资金落实情况</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1"/>
                <w:szCs w:val="21"/>
                <w:highlight w:val="none"/>
                <w:u w:val="none"/>
                <w:vertAlign w:val="baseline"/>
                <w:lang w:val="en-US" w:eastAsia="zh-CN" w:bidi="ar-SA"/>
              </w:rPr>
            </w:pPr>
            <w:r>
              <w:rPr>
                <w:rFonts w:hint="default" w:asciiTheme="minorEastAsia" w:hAnsiTheme="minorEastAsia" w:eastAsiaTheme="minorEastAsia" w:cstheme="minorEastAsia"/>
                <w:b w:val="0"/>
                <w:bCs w:val="0"/>
                <w:snapToGrid w:val="0"/>
                <w:color w:val="auto"/>
                <w:kern w:val="0"/>
                <w:sz w:val="21"/>
                <w:szCs w:val="21"/>
                <w:highlight w:val="none"/>
                <w:u w:val="none"/>
                <w:vertAlign w:val="baseline"/>
                <w:lang w:val="en-US" w:eastAsia="zh-CN" w:bidi="ar-SA"/>
              </w:rPr>
              <w:t>广电规〔2025〕</w:t>
            </w:r>
            <w:r>
              <w:rPr>
                <w:rFonts w:hint="eastAsia" w:asciiTheme="minorEastAsia" w:hAnsiTheme="minorEastAsia" w:cstheme="minorEastAsia"/>
                <w:b w:val="0"/>
                <w:bCs w:val="0"/>
                <w:snapToGrid w:val="0"/>
                <w:color w:val="auto"/>
                <w:kern w:val="0"/>
                <w:sz w:val="21"/>
                <w:szCs w:val="21"/>
                <w:highlight w:val="none"/>
                <w:u w:val="none"/>
                <w:vertAlign w:val="baseline"/>
                <w:lang w:val="en-US" w:eastAsia="zh-CN" w:bidi="ar-SA"/>
              </w:rPr>
              <w:t>26</w:t>
            </w:r>
            <w:r>
              <w:rPr>
                <w:rFonts w:hint="default" w:asciiTheme="minorEastAsia" w:hAnsiTheme="minorEastAsia" w:eastAsiaTheme="minorEastAsia" w:cstheme="minorEastAsia"/>
                <w:b w:val="0"/>
                <w:bCs w:val="0"/>
                <w:snapToGrid w:val="0"/>
                <w:color w:val="auto"/>
                <w:kern w:val="0"/>
                <w:sz w:val="21"/>
                <w:szCs w:val="21"/>
                <w:highlight w:val="none"/>
                <w:u w:val="none"/>
                <w:vertAlign w:val="baseline"/>
                <w:lang w:val="en-US" w:eastAsia="zh-CN" w:bidi="ar-SA"/>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5</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施工图预算批复文号</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eastAsia="宋体" w:cs="宋体"/>
                <w:b w:val="0"/>
                <w:bCs w:val="0"/>
                <w:snapToGrid w:val="0"/>
                <w:color w:val="auto"/>
                <w:kern w:val="0"/>
                <w:sz w:val="21"/>
                <w:szCs w:val="21"/>
                <w:highlight w:val="none"/>
                <w:u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6</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项目建设单位</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1"/>
                <w:szCs w:val="21"/>
                <w:highlight w:val="none"/>
                <w:u w:val="none"/>
                <w:vertAlign w:val="baseline"/>
                <w:lang w:val="en-US" w:eastAsia="zh-CN"/>
              </w:rPr>
              <w:t>广东电网有限责任公司广州供电局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7</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项目建设地点</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1"/>
                <w:szCs w:val="21"/>
                <w:highlight w:val="none"/>
                <w:u w:val="none"/>
                <w:vertAlign w:val="baseline"/>
                <w:lang w:val="en-US" w:eastAsia="zh-CN" w:bidi="ar-SA"/>
              </w:rPr>
            </w:pPr>
            <w:r>
              <w:rPr>
                <w:rFonts w:hint="eastAsia" w:asciiTheme="minorEastAsia" w:hAnsiTheme="minorEastAsia" w:eastAsiaTheme="minorEastAsia" w:cstheme="minorEastAsia"/>
                <w:snapToGrid w:val="0"/>
                <w:color w:val="auto"/>
                <w:sz w:val="21"/>
                <w:szCs w:val="21"/>
              </w:rPr>
              <w:t>广州市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8</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前期的设计或咨询服务单位名称</w:t>
            </w:r>
          </w:p>
        </w:tc>
        <w:tc>
          <w:tcPr>
            <w:tcW w:w="3870"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1"/>
                <w:szCs w:val="21"/>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1"/>
                <w:szCs w:val="21"/>
                <w:highlight w:val="none"/>
                <w:u w:val="none"/>
                <w:vertAlign w:val="baseline"/>
                <w:lang w:val="en-US" w:eastAsia="zh-CN" w:bidi="ar-SA"/>
              </w:rPr>
              <w:t>中国能源建设集团广东省电力设计研究院有限公司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hAnsi="宋体" w:cs="宋体"/>
                <w:b/>
                <w:bCs/>
                <w:snapToGrid w:val="0"/>
                <w:color w:val="auto"/>
                <w:kern w:val="0"/>
                <w:sz w:val="21"/>
                <w:szCs w:val="21"/>
                <w:highlight w:val="none"/>
                <w:u w:val="none"/>
                <w:vertAlign w:val="baseline"/>
                <w:lang w:val="en-US" w:eastAsia="zh-CN"/>
              </w:rPr>
              <w:t>9</w:t>
            </w:r>
          </w:p>
        </w:tc>
        <w:tc>
          <w:tcPr>
            <w:tcW w:w="2911" w:type="dxa"/>
            <w:vAlign w:val="center"/>
          </w:tcPr>
          <w:p>
            <w:pPr>
              <w:pStyle w:val="9"/>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snapToGrid w:val="0"/>
                <w:color w:val="auto"/>
                <w:kern w:val="0"/>
                <w:sz w:val="21"/>
                <w:szCs w:val="21"/>
                <w:highlight w:val="none"/>
                <w:u w:val="none"/>
                <w:vertAlign w:val="baseline"/>
                <w:lang w:val="en-US" w:eastAsia="zh-CN"/>
              </w:rPr>
            </w:pPr>
            <w:r>
              <w:rPr>
                <w:rFonts w:hint="eastAsia" w:ascii="宋体" w:hAnsi="宋体" w:eastAsia="宋体" w:cs="宋体"/>
                <w:b/>
                <w:bCs/>
                <w:snapToGrid w:val="0"/>
                <w:color w:val="auto"/>
                <w:kern w:val="0"/>
                <w:sz w:val="21"/>
                <w:szCs w:val="21"/>
                <w:highlight w:val="none"/>
                <w:u w:val="none"/>
                <w:vertAlign w:val="baseline"/>
                <w:lang w:val="en-US" w:eastAsia="zh-CN"/>
              </w:rPr>
              <w:t>项目监理单位</w:t>
            </w:r>
          </w:p>
        </w:tc>
        <w:tc>
          <w:tcPr>
            <w:tcW w:w="3870" w:type="dxa"/>
            <w:vAlign w:val="center"/>
          </w:tcPr>
          <w:p>
            <w:pPr>
              <w:pStyle w:val="9"/>
              <w:keepNext w:val="0"/>
              <w:keepLines w:val="0"/>
              <w:pageBreakBefore w:val="0"/>
              <w:widowControl w:val="0"/>
              <w:kinsoku/>
              <w:wordWrap/>
              <w:overflowPunct/>
              <w:topLinePunct w:val="0"/>
              <w:autoSpaceDE/>
              <w:autoSpaceDN/>
              <w:bidi w:val="0"/>
              <w:adjustRightInd/>
              <w:snapToGrid w:val="0"/>
              <w:spacing w:line="400" w:lineRule="exact"/>
              <w:jc w:val="center"/>
              <w:textAlignment w:val="auto"/>
              <w:rPr>
                <w:rFonts w:hint="default" w:ascii="宋体" w:hAnsi="宋体" w:eastAsia="宋体" w:cs="宋体"/>
                <w:b w:val="0"/>
                <w:bCs w:val="0"/>
                <w:snapToGrid w:val="0"/>
                <w:color w:val="auto"/>
                <w:kern w:val="0"/>
                <w:sz w:val="21"/>
                <w:szCs w:val="21"/>
                <w:highlight w:val="none"/>
                <w:u w:val="none"/>
                <w:vertAlign w:val="baseline"/>
                <w:lang w:val="en-US" w:eastAsia="zh-CN"/>
              </w:rPr>
            </w:pPr>
            <w:r>
              <w:rPr>
                <w:rFonts w:hint="eastAsia" w:hAnsi="宋体" w:eastAsia="宋体" w:cs="宋体"/>
                <w:b w:val="0"/>
                <w:bCs w:val="0"/>
                <w:snapToGrid w:val="0"/>
                <w:color w:val="auto"/>
                <w:kern w:val="0"/>
                <w:sz w:val="21"/>
                <w:szCs w:val="21"/>
                <w:highlight w:val="none"/>
                <w:u w:val="none"/>
                <w:vertAlign w:val="baseline"/>
                <w:lang w:val="en-US" w:eastAsia="zh-CN"/>
              </w:rPr>
              <w:t>-</w:t>
            </w:r>
          </w:p>
        </w:tc>
      </w:tr>
    </w:tbl>
    <w:p>
      <w:pPr>
        <w:pStyle w:val="9"/>
        <w:keepNext w:val="0"/>
        <w:keepLines w:val="0"/>
        <w:pageBreakBefore w:val="0"/>
        <w:shd w:val="clear" w:color="auto" w:fill="auto"/>
        <w:kinsoku/>
        <w:wordWrap/>
        <w:overflowPunct/>
        <w:topLinePunct w:val="0"/>
        <w:bidi w:val="0"/>
        <w:adjustRightInd w:val="0"/>
        <w:snapToGrid w:val="0"/>
        <w:spacing w:line="360" w:lineRule="auto"/>
        <w:ind w:firstLine="422" w:firstLineChars="200"/>
        <w:jc w:val="center"/>
        <w:textAlignment w:val="auto"/>
        <w:outlineLvl w:val="0"/>
        <w:rPr>
          <w:rFonts w:hint="default" w:hAnsi="宋体" w:cs="宋体"/>
          <w:b/>
          <w:color w:val="auto"/>
          <w:sz w:val="21"/>
          <w:szCs w:val="21"/>
          <w:highlight w:val="none"/>
          <w:lang w:val="en-US" w:eastAsia="zh-CN"/>
        </w:rPr>
      </w:pPr>
    </w:p>
    <w:bookmarkEnd w:id="0"/>
    <w:p>
      <w:pPr>
        <w:pStyle w:val="9"/>
        <w:keepNext w:val="0"/>
        <w:keepLines w:val="0"/>
        <w:pageBreakBefore w:val="0"/>
        <w:widowControl w:val="0"/>
        <w:numPr>
          <w:ilvl w:val="0"/>
          <w:numId w:val="2"/>
        </w:numPr>
        <w:shd w:val="clear" w:color="auto" w:fill="auto"/>
        <w:kinsoku/>
        <w:wordWrap/>
        <w:overflowPunct/>
        <w:topLinePunct w:val="0"/>
        <w:bidi w:val="0"/>
        <w:adjustRightInd w:val="0"/>
        <w:snapToGrid w:val="0"/>
        <w:spacing w:line="480" w:lineRule="exact"/>
        <w:ind w:left="0" w:leftChars="0" w:firstLine="0" w:firstLineChars="0"/>
        <w:textAlignment w:val="auto"/>
        <w:outlineLvl w:val="0"/>
        <w:rPr>
          <w:rFonts w:hint="eastAsia" w:ascii="宋体" w:hAnsi="宋体" w:eastAsia="宋体" w:cs="宋体"/>
          <w:b/>
          <w:color w:val="auto"/>
          <w:sz w:val="24"/>
          <w:szCs w:val="24"/>
          <w:highlight w:val="none"/>
          <w:lang w:val="en-US" w:eastAsia="zh-CN"/>
        </w:rPr>
      </w:pPr>
      <w:r>
        <w:rPr>
          <w:rFonts w:hint="eastAsia" w:hAnsi="宋体" w:eastAsia="宋体" w:cs="宋体"/>
          <w:b/>
          <w:color w:val="auto"/>
          <w:sz w:val="24"/>
          <w:szCs w:val="24"/>
          <w:highlight w:val="none"/>
          <w:lang w:val="en-US" w:eastAsia="zh-CN"/>
        </w:rPr>
        <w:t>建设规模</w:t>
      </w:r>
    </w:p>
    <w:p>
      <w:pPr>
        <w:pStyle w:val="9"/>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Theme="minorEastAsia" w:hAnsiTheme="minorEastAsia" w:cstheme="minorEastAsia"/>
          <w:bCs/>
          <w:color w:val="auto"/>
          <w:sz w:val="21"/>
          <w:szCs w:val="21"/>
          <w:highlight w:val="none"/>
          <w:lang w:val="en-US" w:eastAsia="zh-CN"/>
        </w:rPr>
      </w:pPr>
      <w:r>
        <w:rPr>
          <w:rFonts w:hint="eastAsia" w:asciiTheme="minorEastAsia" w:hAnsiTheme="minorEastAsia" w:cstheme="minorEastAsia"/>
          <w:bCs/>
          <w:color w:val="auto"/>
          <w:sz w:val="21"/>
          <w:szCs w:val="21"/>
          <w:highlight w:val="none"/>
          <w:lang w:val="en-US" w:eastAsia="zh-CN"/>
        </w:rPr>
        <w:t>辅助用房工程：本工程包括“1#变电站业务技术用房、2#变电站运维中心楼、3#新型电力系统示范展示区及智能变电站控制中心楼、4#电力隧道运维中心楼”，总建筑面积约为29486.98m2，其中地上面积约为22144.26m2，地下面积约为7303.57m2；建筑高度约为24m。地下室采用基坑支护开挖方式。。</w:t>
      </w:r>
    </w:p>
    <w:p>
      <w:pPr>
        <w:pStyle w:val="9"/>
        <w:keepNext w:val="0"/>
        <w:keepLines w:val="0"/>
        <w:pageBreakBefore w:val="0"/>
        <w:widowControl w:val="0"/>
        <w:kinsoku/>
        <w:wordWrap/>
        <w:overflowPunct/>
        <w:topLinePunct w:val="0"/>
        <w:autoSpaceDE/>
        <w:autoSpaceDN/>
        <w:bidi w:val="0"/>
        <w:adjustRightInd w:val="0"/>
        <w:snapToGrid w:val="0"/>
        <w:spacing w:line="480" w:lineRule="exact"/>
        <w:ind w:firstLine="422" w:firstLineChars="200"/>
        <w:textAlignment w:val="auto"/>
        <w:rPr>
          <w:rFonts w:hint="eastAsia" w:asciiTheme="minorEastAsia" w:hAnsiTheme="minorEastAsia" w:eastAsiaTheme="minorEastAsia" w:cstheme="minorEastAsia"/>
          <w:b/>
          <w:color w:val="auto"/>
          <w:sz w:val="21"/>
          <w:szCs w:val="21"/>
          <w:highlight w:val="none"/>
          <w:u w:val="single"/>
        </w:rPr>
      </w:pPr>
      <w:r>
        <w:rPr>
          <w:rFonts w:hint="eastAsia" w:asciiTheme="minorEastAsia" w:hAnsiTheme="minorEastAsia" w:eastAsiaTheme="minorEastAsia" w:cstheme="minorEastAsia"/>
          <w:b/>
          <w:color w:val="auto"/>
          <w:sz w:val="21"/>
          <w:szCs w:val="21"/>
          <w:highlight w:val="none"/>
          <w:u w:val="single"/>
        </w:rPr>
        <w:t>注：具体建设规模以施工图纸为准。</w:t>
      </w:r>
    </w:p>
    <w:p>
      <w:pPr>
        <w:pStyle w:val="9"/>
        <w:keepNext w:val="0"/>
        <w:keepLines w:val="0"/>
        <w:pageBreakBefore w:val="0"/>
        <w:widowControl w:val="0"/>
        <w:numPr>
          <w:ilvl w:val="0"/>
          <w:numId w:val="2"/>
        </w:numPr>
        <w:shd w:val="clear" w:color="auto" w:fill="auto"/>
        <w:kinsoku/>
        <w:wordWrap/>
        <w:overflowPunct/>
        <w:topLinePunct w:val="0"/>
        <w:bidi w:val="0"/>
        <w:adjustRightInd w:val="0"/>
        <w:snapToGrid w:val="0"/>
        <w:spacing w:line="480" w:lineRule="exact"/>
        <w:ind w:left="0" w:leftChars="0" w:firstLine="0" w:firstLineChars="0"/>
        <w:textAlignment w:val="auto"/>
        <w:outlineLvl w:val="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4"/>
          <w:szCs w:val="24"/>
          <w:highlight w:val="none"/>
          <w:lang w:val="en-US" w:eastAsia="zh-CN"/>
        </w:rPr>
        <w:t>采购范围</w:t>
      </w:r>
      <w:bookmarkStart w:id="1" w:name="施工招标范围综合"/>
    </w:p>
    <w:bookmarkEnd w:id="1"/>
    <w:p>
      <w:pPr>
        <w:keepNext w:val="0"/>
        <w:keepLines w:val="0"/>
        <w:pageBreakBefore w:val="0"/>
        <w:widowControl w:val="0"/>
        <w:numPr>
          <w:ilvl w:val="0"/>
          <w:numId w:val="0"/>
        </w:numPr>
        <w:kinsoku/>
        <w:wordWrap/>
        <w:overflowPunct/>
        <w:topLinePunct w:val="0"/>
        <w:autoSpaceDE/>
        <w:autoSpaceDN/>
        <w:bidi w:val="0"/>
        <w:adjustRightInd w:val="0"/>
        <w:snapToGrid w:val="0"/>
        <w:spacing w:line="480" w:lineRule="exact"/>
        <w:ind w:firstLine="422" w:firstLineChars="200"/>
        <w:jc w:val="both"/>
        <w:textAlignment w:val="auto"/>
        <w:outlineLvl w:val="9"/>
        <w:rPr>
          <w:rFonts w:hint="eastAsia" w:asciiTheme="minorEastAsia" w:hAnsiTheme="minorEastAsia" w:eastAsiaTheme="minorEastAsia" w:cstheme="minorEastAsia"/>
          <w:b w:val="0"/>
          <w:bCs w:val="0"/>
          <w:color w:val="auto"/>
          <w:sz w:val="21"/>
          <w:szCs w:val="21"/>
          <w:highlight w:val="none"/>
          <w:u w:val="single"/>
          <w:lang w:val="en-US" w:eastAsia="zh-CN"/>
        </w:rPr>
      </w:pPr>
      <w:r>
        <w:rPr>
          <w:rFonts w:hint="eastAsia" w:asciiTheme="minorEastAsia" w:hAnsiTheme="minorEastAsia" w:eastAsiaTheme="minorEastAsia" w:cstheme="minorEastAsia"/>
          <w:b/>
          <w:bCs/>
          <w:color w:val="auto"/>
          <w:sz w:val="21"/>
          <w:szCs w:val="21"/>
          <w:highlight w:val="none"/>
          <w:lang w:val="en-US" w:eastAsia="zh-CN"/>
        </w:rPr>
        <w:t>包括施工图范围内的建筑、安装及调试工程。施工图范围内的下列工作内容，无□及</w:t>
      </w:r>
      <w:r>
        <w:rPr>
          <w:rFonts w:hint="eastAsia" w:asciiTheme="minorEastAsia" w:hAnsiTheme="minorEastAsia" w:eastAsiaTheme="minorEastAsia" w:cstheme="minorEastAsia"/>
          <w:b/>
          <w:bCs/>
          <w:color w:val="auto"/>
          <w:sz w:val="21"/>
          <w:szCs w:val="21"/>
          <w:highlight w:val="none"/>
          <w:lang w:val="en-US" w:eastAsia="zh-CN"/>
        </w:rPr>
        <w:fldChar w:fldCharType="begin"/>
      </w:r>
      <w:r>
        <w:rPr>
          <w:rFonts w:hint="eastAsia" w:asciiTheme="minorEastAsia" w:hAnsiTheme="minorEastAsia" w:eastAsiaTheme="minorEastAsia" w:cstheme="minorEastAsia"/>
          <w:b/>
          <w:bCs/>
          <w:color w:val="auto"/>
          <w:sz w:val="21"/>
          <w:szCs w:val="21"/>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1"/>
          <w:szCs w:val="21"/>
          <w:highlight w:val="none"/>
          <w:lang w:val="en-US" w:eastAsia="zh-CN"/>
        </w:rPr>
        <w:instrText xml:space="preserve">□</w:instrText>
      </w:r>
      <w:r>
        <w:rPr>
          <w:rFonts w:hint="eastAsia" w:asciiTheme="minorEastAsia" w:hAnsiTheme="minorEastAsia" w:eastAsiaTheme="minorEastAsia" w:cstheme="minorEastAsia"/>
          <w:b/>
          <w:bCs/>
          <w:color w:val="auto"/>
          <w:position w:val="0"/>
          <w:sz w:val="21"/>
          <w:szCs w:val="21"/>
          <w:highlight w:val="none"/>
          <w:lang w:val="en-US" w:eastAsia="zh-CN"/>
        </w:rPr>
        <w:instrText xml:space="preserve">,√)</w:instrText>
      </w:r>
      <w:r>
        <w:rPr>
          <w:rFonts w:hint="eastAsia" w:asciiTheme="minorEastAsia" w:hAnsiTheme="minorEastAsia" w:eastAsiaTheme="minorEastAsia" w:cstheme="minorEastAsia"/>
          <w:b/>
          <w:bCs/>
          <w:color w:val="auto"/>
          <w:sz w:val="21"/>
          <w:szCs w:val="21"/>
          <w:highlight w:val="none"/>
          <w:lang w:val="en-US" w:eastAsia="zh-CN"/>
        </w:rPr>
        <w:fldChar w:fldCharType="end"/>
      </w:r>
      <w:r>
        <w:rPr>
          <w:rFonts w:hint="eastAsia" w:asciiTheme="minorEastAsia" w:hAnsiTheme="minorEastAsia" w:eastAsiaTheme="minorEastAsia" w:cstheme="minorEastAsia"/>
          <w:b/>
          <w:bCs/>
          <w:color w:val="auto"/>
          <w:sz w:val="21"/>
          <w:szCs w:val="21"/>
          <w:highlight w:val="none"/>
          <w:lang w:val="en-US" w:eastAsia="zh-CN"/>
        </w:rPr>
        <w:t>的为本次范围；□未打√的，不在本次范围内，特殊情况在“其他”中说明。</w:t>
      </w:r>
    </w:p>
    <w:p>
      <w:pPr>
        <w:keepNext w:val="0"/>
        <w:keepLines w:val="0"/>
        <w:pageBreakBefore w:val="0"/>
        <w:kinsoku/>
        <w:wordWrap/>
        <w:overflowPunct/>
        <w:topLinePunct w:val="0"/>
        <w:autoSpaceDE w:val="0"/>
        <w:autoSpaceDN w:val="0"/>
        <w:bidi w:val="0"/>
        <w:adjustRightInd w:val="0"/>
        <w:snapToGrid/>
        <w:spacing w:line="360" w:lineRule="auto"/>
        <w:ind w:firstLine="420" w:firstLineChars="200"/>
        <w:jc w:val="left"/>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包括不限于：主体工程【含土方、基坑、地基与基础、地下结构、主体结构、建筑装饰装修、外墙装饰（含深化设计）、屋面、电气安装（含设备材料）、光伏系统、给排水、暖通工程、电梯工程（含设备采购及验收）、防雷工程（含验收）、消防工程（含验收）、弱电智能化（含设备）、项目专项方案审查】，室外市政工程，室外道路，绿化工程，白蚁防治，新建围墙及大门，红线范围场地平整，临时用电接入，新建施工临时围蔽及大门、临时围蔽绿植及美化工程等相关配套项目。（实际以招标文件、施工图纸、相关资料说明及工程量清单为准）</w:t>
      </w:r>
      <w:r>
        <w:rPr>
          <w:rFonts w:hint="eastAsia" w:ascii="宋体" w:hAnsi="宋体" w:eastAsia="宋体" w:cs="宋体"/>
          <w:color w:val="auto"/>
          <w:sz w:val="21"/>
          <w:szCs w:val="21"/>
          <w:highlight w:val="none"/>
          <w:lang w:eastAsia="zh-CN"/>
        </w:rPr>
        <w:t>。</w:t>
      </w:r>
    </w:p>
    <w:p>
      <w:pPr>
        <w:pStyle w:val="9"/>
        <w:keepNext w:val="0"/>
        <w:keepLines w:val="0"/>
        <w:pageBreakBefore w:val="0"/>
        <w:widowControl w:val="0"/>
        <w:numPr>
          <w:ilvl w:val="0"/>
          <w:numId w:val="2"/>
        </w:numPr>
        <w:shd w:val="clear" w:color="auto" w:fill="auto"/>
        <w:kinsoku/>
        <w:wordWrap/>
        <w:overflowPunct/>
        <w:topLinePunct w:val="0"/>
        <w:bidi w:val="0"/>
        <w:adjustRightInd w:val="0"/>
        <w:snapToGrid w:val="0"/>
        <w:spacing w:line="480" w:lineRule="exact"/>
        <w:ind w:left="0" w:leftChars="0" w:firstLine="0" w:firstLineChars="0"/>
        <w:textAlignment w:val="auto"/>
        <w:outlineLvl w:val="0"/>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4"/>
          <w:szCs w:val="24"/>
          <w:highlight w:val="none"/>
          <w:lang w:val="en-US" w:eastAsia="zh-CN"/>
        </w:rPr>
        <w:t>承包方式</w:t>
      </w:r>
    </w:p>
    <w:p>
      <w:pPr>
        <w:pStyle w:val="9"/>
        <w:keepNext w:val="0"/>
        <w:keepLines w:val="0"/>
        <w:pageBreakBefore w:val="0"/>
        <w:widowControl w:val="0"/>
        <w:kinsoku/>
        <w:wordWrap/>
        <w:overflowPunct/>
        <w:topLinePunct w:val="0"/>
        <w:bidi w:val="0"/>
        <w:spacing w:line="480" w:lineRule="exact"/>
        <w:ind w:firstLine="422" w:firstLineChars="200"/>
        <w:jc w:val="left"/>
        <w:textAlignment w:val="auto"/>
        <w:outlineLvl w:val="9"/>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包工、部分包料，施工图纸范围内如有下列设备、材料，无□及</w:t>
      </w:r>
      <w:r>
        <w:rPr>
          <w:rFonts w:hint="eastAsia" w:asciiTheme="minorEastAsia" w:hAnsiTheme="minorEastAsia" w:eastAsiaTheme="minorEastAsia" w:cstheme="minorEastAsia"/>
          <w:b/>
          <w:bCs/>
          <w:color w:val="auto"/>
          <w:sz w:val="21"/>
          <w:szCs w:val="21"/>
          <w:highlight w:val="none"/>
          <w:lang w:val="en-US" w:eastAsia="zh-CN"/>
        </w:rPr>
        <w:fldChar w:fldCharType="begin"/>
      </w:r>
      <w:r>
        <w:rPr>
          <w:rFonts w:hint="eastAsia" w:asciiTheme="minorEastAsia" w:hAnsiTheme="minorEastAsia" w:eastAsiaTheme="minorEastAsia" w:cstheme="minorEastAsia"/>
          <w:b/>
          <w:bCs/>
          <w:color w:val="auto"/>
          <w:sz w:val="21"/>
          <w:szCs w:val="21"/>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1"/>
          <w:szCs w:val="21"/>
          <w:highlight w:val="none"/>
          <w:lang w:val="en-US" w:eastAsia="zh-CN"/>
        </w:rPr>
        <w:instrText xml:space="preserve">□</w:instrText>
      </w:r>
      <w:r>
        <w:rPr>
          <w:rFonts w:hint="eastAsia" w:asciiTheme="minorEastAsia" w:hAnsiTheme="minorEastAsia" w:eastAsiaTheme="minorEastAsia" w:cstheme="minorEastAsia"/>
          <w:b/>
          <w:bCs/>
          <w:color w:val="auto"/>
          <w:position w:val="0"/>
          <w:sz w:val="21"/>
          <w:szCs w:val="21"/>
          <w:highlight w:val="none"/>
          <w:lang w:val="en-US" w:eastAsia="zh-CN"/>
        </w:rPr>
        <w:instrText xml:space="preserve">,√)</w:instrText>
      </w:r>
      <w:r>
        <w:rPr>
          <w:rFonts w:hint="eastAsia" w:asciiTheme="minorEastAsia" w:hAnsiTheme="minorEastAsia" w:eastAsiaTheme="minorEastAsia" w:cstheme="minorEastAsia"/>
          <w:b/>
          <w:bCs/>
          <w:color w:val="auto"/>
          <w:sz w:val="21"/>
          <w:szCs w:val="21"/>
          <w:highlight w:val="none"/>
          <w:lang w:val="en-US" w:eastAsia="zh-CN"/>
        </w:rPr>
        <w:fldChar w:fldCharType="end"/>
      </w:r>
      <w:r>
        <w:rPr>
          <w:rFonts w:hint="eastAsia" w:asciiTheme="minorEastAsia" w:hAnsiTheme="minorEastAsia" w:eastAsiaTheme="minorEastAsia" w:cstheme="minorEastAsia"/>
          <w:b/>
          <w:bCs/>
          <w:color w:val="auto"/>
          <w:sz w:val="21"/>
          <w:szCs w:val="21"/>
          <w:highlight w:val="none"/>
          <w:lang w:val="en-US" w:eastAsia="zh-CN"/>
        </w:rPr>
        <w:t>的为甲供，□未打√的及不在下列的为乙供。建设单位根据最新的南方电网公司和广州供电局有限公司物资集中采购目录文件提供相应物资，目录外的设备、材料采购由中标人负责，本项目</w:t>
      </w:r>
      <w:r>
        <w:rPr>
          <w:rFonts w:hint="eastAsia" w:asciiTheme="minorEastAsia" w:hAnsiTheme="minorEastAsia" w:cstheme="minorEastAsia"/>
          <w:b/>
          <w:bCs/>
          <w:color w:val="auto"/>
          <w:sz w:val="21"/>
          <w:szCs w:val="21"/>
          <w:highlight w:val="none"/>
          <w:lang w:val="en-US" w:eastAsia="zh-CN"/>
        </w:rPr>
        <w:t>正式合同价</w:t>
      </w:r>
      <w:r>
        <w:rPr>
          <w:rFonts w:hint="eastAsia" w:asciiTheme="minorEastAsia" w:hAnsiTheme="minorEastAsia" w:eastAsiaTheme="minorEastAsia" w:cstheme="minorEastAsia"/>
          <w:b/>
          <w:bCs/>
          <w:color w:val="auto"/>
          <w:sz w:val="21"/>
          <w:szCs w:val="21"/>
          <w:highlight w:val="none"/>
          <w:lang w:val="en-US" w:eastAsia="zh-CN"/>
        </w:rPr>
        <w:t>实际甲供物资以《甲供设备材料明细表》为准。若在项目建设过程中网省公司或局物资集中采购目录文件有更新，则按新的文件执行，同时由建设单位以书面或签证形式，重新明确调整后的甲乙供范围，作为结算依据。</w:t>
      </w:r>
    </w:p>
    <w:p>
      <w:pPr>
        <w:keepNext w:val="0"/>
        <w:keepLines w:val="0"/>
        <w:pageBreakBefore w:val="0"/>
        <w:kinsoku/>
        <w:wordWrap/>
        <w:overflowPunct/>
        <w:topLinePunct w:val="0"/>
        <w:autoSpaceDE w:val="0"/>
        <w:autoSpaceDN w:val="0"/>
        <w:bidi w:val="0"/>
        <w:adjustRightInd w:val="0"/>
        <w:snapToGrid/>
        <w:spacing w:line="360" w:lineRule="auto"/>
        <w:ind w:firstLine="420" w:firstLineChars="200"/>
        <w:jc w:val="left"/>
        <w:textAlignment w:val="auto"/>
        <w:outlineLvl w:val="9"/>
        <w:rPr>
          <w:rFonts w:hint="eastAsia" w:ascii="宋体" w:hAnsi="宋体" w:eastAsia="宋体" w:cs="宋体"/>
          <w:b w:val="0"/>
          <w:bCs w:val="0"/>
          <w:color w:val="auto"/>
          <w:sz w:val="21"/>
          <w:szCs w:val="21"/>
          <w:highlight w:val="none"/>
        </w:rPr>
      </w:pPr>
      <w:r>
        <w:rPr>
          <w:rFonts w:hint="eastAsia" w:ascii="宋体" w:hAnsi="宋体" w:eastAsia="宋体" w:cs="宋体"/>
          <w:b w:val="0"/>
          <w:bCs w:val="0"/>
          <w:color w:val="auto"/>
          <w:sz w:val="21"/>
          <w:szCs w:val="21"/>
          <w:highlight w:val="none"/>
        </w:rPr>
        <w:t>建设单位提供部分设备及材料:物资采购目录内的设备、灯具、母线槽、电力电缆、电线。</w:t>
      </w:r>
    </w:p>
    <w:p>
      <w:pPr>
        <w:pStyle w:val="9"/>
        <w:keepNext w:val="0"/>
        <w:keepLines w:val="0"/>
        <w:pageBreakBefore w:val="0"/>
        <w:widowControl w:val="0"/>
        <w:kinsoku/>
        <w:wordWrap/>
        <w:overflowPunct/>
        <w:topLinePunct w:val="0"/>
        <w:bidi w:val="0"/>
        <w:spacing w:line="480" w:lineRule="exact"/>
        <w:textAlignment w:val="auto"/>
        <w:rPr>
          <w:rFonts w:hint="eastAsia" w:eastAsia="宋体"/>
          <w:color w:val="auto"/>
          <w:sz w:val="21"/>
          <w:szCs w:val="21"/>
          <w:highlight w:val="none"/>
          <w:lang w:val="en-US" w:eastAsia="zh-CN"/>
        </w:rPr>
      </w:pPr>
      <w:r>
        <w:rPr>
          <w:rFonts w:hint="eastAsia" w:ascii="宋体" w:hAnsi="宋体" w:cs="宋体"/>
          <w:b/>
          <w:bCs/>
          <w:snapToGrid w:val="0"/>
          <w:color w:val="auto"/>
          <w:kern w:val="0"/>
          <w:sz w:val="21"/>
          <w:szCs w:val="21"/>
          <w:highlight w:val="none"/>
          <w:u w:val="none"/>
          <w:lang w:val="en-US" w:eastAsia="zh-CN"/>
        </w:rPr>
        <w:t>注：建设单位提供的设备、材料以正式合同价提供的《甲供设备材料明细表》为准</w:t>
      </w:r>
      <w:r>
        <w:rPr>
          <w:rFonts w:hint="eastAsia" w:eastAsia="宋体"/>
          <w:color w:val="auto"/>
          <w:sz w:val="21"/>
          <w:szCs w:val="21"/>
          <w:highlight w:val="none"/>
          <w:lang w:val="en-US" w:eastAsia="zh-CN"/>
        </w:rPr>
        <w:t>。</w:t>
      </w:r>
    </w:p>
    <w:p>
      <w:pPr>
        <w:pStyle w:val="9"/>
        <w:keepNext w:val="0"/>
        <w:keepLines w:val="0"/>
        <w:pageBreakBefore w:val="0"/>
        <w:widowControl w:val="0"/>
        <w:kinsoku/>
        <w:wordWrap/>
        <w:overflowPunct/>
        <w:topLinePunct w:val="0"/>
        <w:bidi w:val="0"/>
        <w:spacing w:line="480" w:lineRule="exact"/>
        <w:textAlignment w:val="auto"/>
        <w:rPr>
          <w:rFonts w:hint="default" w:eastAsia="宋体"/>
          <w:color w:val="auto"/>
          <w:sz w:val="21"/>
          <w:szCs w:val="21"/>
          <w:highlight w:val="none"/>
          <w:lang w:val="en-US" w:eastAsia="zh-CN"/>
        </w:rPr>
      </w:pPr>
    </w:p>
    <w:p>
      <w:pP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pPr>
      <w:bookmarkStart w:id="2" w:name="_GoBack"/>
      <w:bookmarkEnd w:id="2"/>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DA2813B"/>
    <w:multiLevelType w:val="multilevel"/>
    <w:tmpl w:val="EDA2813B"/>
    <w:lvl w:ilvl="0" w:tentative="0">
      <w:start w:val="1"/>
      <w:numFmt w:val="decimal"/>
      <w:lvlText w:val="%1"/>
      <w:lvlJc w:val="left"/>
      <w:pPr>
        <w:ind w:left="432" w:hanging="432"/>
      </w:pPr>
      <w:rPr>
        <w:rFonts w:hint="eastAsia" w:ascii="Times New Roman" w:hAnsi="Times New Roman" w:cs="Times New Roman"/>
        <w:b w:val="0"/>
        <w:i w:val="0"/>
        <w:iCs w:val="0"/>
        <w:caps w:val="0"/>
        <w:smallCaps w:val="0"/>
        <w:strike w:val="0"/>
        <w:dstrike w:val="0"/>
        <w:vanish w:val="0"/>
        <w:spacing w:val="0"/>
        <w:position w:val="0"/>
        <w:u w:val="none"/>
        <w:vertAlign w:val="baseline"/>
      </w:rPr>
    </w:lvl>
    <w:lvl w:ilvl="1" w:tentative="0">
      <w:start w:val="1"/>
      <w:numFmt w:val="decimal"/>
      <w:lvlText w:val="%1.%2 "/>
      <w:lvlJc w:val="left"/>
      <w:pPr>
        <w:ind w:left="576" w:hanging="576"/>
      </w:pPr>
      <w:rPr>
        <w:rFonts w:hint="eastAsia" w:ascii="Times New Roman" w:hAnsi="Times New Roman" w:cs="Times New Roman"/>
        <w:b/>
        <w:i w:val="0"/>
        <w:iCs w:val="0"/>
        <w:caps w:val="0"/>
        <w:smallCaps w:val="0"/>
        <w:strike w:val="0"/>
        <w:dstrike w:val="0"/>
        <w:vanish w:val="0"/>
        <w:spacing w:val="0"/>
        <w:kern w:val="0"/>
        <w:position w:val="0"/>
        <w:u w:val="none"/>
        <w:vertAlign w:val="baseline"/>
      </w:rPr>
    </w:lvl>
    <w:lvl w:ilvl="2" w:tentative="0">
      <w:start w:val="1"/>
      <w:numFmt w:val="decimal"/>
      <w:lvlText w:val="%1.%2.%3 "/>
      <w:lvlJc w:val="left"/>
      <w:pPr>
        <w:ind w:left="1440" w:hanging="1440"/>
      </w:pPr>
      <w:rPr>
        <w:rFonts w:hint="default" w:ascii="Times New Roman" w:hAnsi="Times New Roman" w:cs="Times New Roman"/>
        <w:sz w:val="24"/>
        <w:szCs w:val="24"/>
      </w:rPr>
    </w:lvl>
    <w:lvl w:ilvl="3" w:tentative="0">
      <w:start w:val="1"/>
      <w:numFmt w:val="decimal"/>
      <w:pStyle w:val="6"/>
      <w:lvlText w:val="%1.%2.%3.%4 "/>
      <w:lvlJc w:val="left"/>
      <w:pPr>
        <w:ind w:left="1715" w:hanging="864"/>
      </w:pPr>
      <w:rPr>
        <w:rFonts w:hint="default" w:ascii="Times New Roman" w:hAnsi="Times New Roman" w:cs="Times New Roman"/>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273F47E8"/>
    <w:multiLevelType w:val="singleLevel"/>
    <w:tmpl w:val="273F47E8"/>
    <w:lvl w:ilvl="0" w:tentative="0">
      <w:start w:val="1"/>
      <w:numFmt w:val="chineseCounting"/>
      <w:suff w:val="nothing"/>
      <w:lvlText w:val="%1、"/>
      <w:lvlJc w:val="left"/>
      <w:pPr>
        <w:ind w:left="0" w:firstLine="420"/>
      </w:pPr>
      <w:rPr>
        <w:rFonts w:hint="eastAsia"/>
        <w:b/>
        <w:bCs/>
        <w:color w:val="auto"/>
        <w:sz w:val="24"/>
        <w:szCs w:val="24"/>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xMDY5ZGVlYjdhMTRlZGI2M2RhZDEwNzJjMmZkZTIifQ=="/>
  </w:docVars>
  <w:rsids>
    <w:rsidRoot w:val="740D71D5"/>
    <w:rsid w:val="0109277B"/>
    <w:rsid w:val="036208AE"/>
    <w:rsid w:val="054A2620"/>
    <w:rsid w:val="062C0A5B"/>
    <w:rsid w:val="071B3875"/>
    <w:rsid w:val="077057CE"/>
    <w:rsid w:val="08001F60"/>
    <w:rsid w:val="09676CF8"/>
    <w:rsid w:val="09790D9C"/>
    <w:rsid w:val="09D43B87"/>
    <w:rsid w:val="0B2F6C65"/>
    <w:rsid w:val="0D153780"/>
    <w:rsid w:val="0DAB15E2"/>
    <w:rsid w:val="0DB75190"/>
    <w:rsid w:val="0FB13319"/>
    <w:rsid w:val="10826080"/>
    <w:rsid w:val="110034DB"/>
    <w:rsid w:val="113A0F19"/>
    <w:rsid w:val="120A46B1"/>
    <w:rsid w:val="12331667"/>
    <w:rsid w:val="13166EC3"/>
    <w:rsid w:val="13186C6C"/>
    <w:rsid w:val="137F0EAC"/>
    <w:rsid w:val="13AB57C5"/>
    <w:rsid w:val="14EF7AC7"/>
    <w:rsid w:val="1576177E"/>
    <w:rsid w:val="15CE07BC"/>
    <w:rsid w:val="15D62BE2"/>
    <w:rsid w:val="163C61B2"/>
    <w:rsid w:val="167D7355"/>
    <w:rsid w:val="16C005E1"/>
    <w:rsid w:val="16E60230"/>
    <w:rsid w:val="183463F4"/>
    <w:rsid w:val="1A1507F0"/>
    <w:rsid w:val="1D7D0B48"/>
    <w:rsid w:val="1D8F4B51"/>
    <w:rsid w:val="1E1B62F5"/>
    <w:rsid w:val="20673BAA"/>
    <w:rsid w:val="21592EC3"/>
    <w:rsid w:val="21B60804"/>
    <w:rsid w:val="22234D1E"/>
    <w:rsid w:val="226C006B"/>
    <w:rsid w:val="22906A51"/>
    <w:rsid w:val="23333912"/>
    <w:rsid w:val="24DD0910"/>
    <w:rsid w:val="24F81F57"/>
    <w:rsid w:val="255F233B"/>
    <w:rsid w:val="25B05051"/>
    <w:rsid w:val="27337CE7"/>
    <w:rsid w:val="28757DED"/>
    <w:rsid w:val="29576DD3"/>
    <w:rsid w:val="2AF6240B"/>
    <w:rsid w:val="2B3C44D5"/>
    <w:rsid w:val="2BC145A9"/>
    <w:rsid w:val="2BC87E6A"/>
    <w:rsid w:val="2D2B2AA3"/>
    <w:rsid w:val="2E326D00"/>
    <w:rsid w:val="2E3C6EAB"/>
    <w:rsid w:val="2E932876"/>
    <w:rsid w:val="2E9642AB"/>
    <w:rsid w:val="30D320BD"/>
    <w:rsid w:val="31432160"/>
    <w:rsid w:val="318F66BE"/>
    <w:rsid w:val="323A1F14"/>
    <w:rsid w:val="344A3184"/>
    <w:rsid w:val="34644A0D"/>
    <w:rsid w:val="35613C72"/>
    <w:rsid w:val="35A85D44"/>
    <w:rsid w:val="389D3EE3"/>
    <w:rsid w:val="38A21B1B"/>
    <w:rsid w:val="38C03BB6"/>
    <w:rsid w:val="39684EB4"/>
    <w:rsid w:val="39F710DF"/>
    <w:rsid w:val="3A5E5795"/>
    <w:rsid w:val="3A865B12"/>
    <w:rsid w:val="3B730350"/>
    <w:rsid w:val="3BD038FF"/>
    <w:rsid w:val="3BE40D20"/>
    <w:rsid w:val="3C5C0DD3"/>
    <w:rsid w:val="3C6E4EB1"/>
    <w:rsid w:val="3D706AF4"/>
    <w:rsid w:val="3DA07FC8"/>
    <w:rsid w:val="3DE911DF"/>
    <w:rsid w:val="3E611F8F"/>
    <w:rsid w:val="3F0F6EA6"/>
    <w:rsid w:val="407713A8"/>
    <w:rsid w:val="419D318D"/>
    <w:rsid w:val="42C179DE"/>
    <w:rsid w:val="436B795D"/>
    <w:rsid w:val="43A773DD"/>
    <w:rsid w:val="44BB11B1"/>
    <w:rsid w:val="468C7F0B"/>
    <w:rsid w:val="46CD773D"/>
    <w:rsid w:val="472945F5"/>
    <w:rsid w:val="4739604D"/>
    <w:rsid w:val="47875238"/>
    <w:rsid w:val="478D7E58"/>
    <w:rsid w:val="486B4D70"/>
    <w:rsid w:val="49B05850"/>
    <w:rsid w:val="4C4C5224"/>
    <w:rsid w:val="4C600C9E"/>
    <w:rsid w:val="4CE27CFA"/>
    <w:rsid w:val="4CF65520"/>
    <w:rsid w:val="4D063CD2"/>
    <w:rsid w:val="4D61270F"/>
    <w:rsid w:val="4DB746E4"/>
    <w:rsid w:val="4E9F73BA"/>
    <w:rsid w:val="4F0427EA"/>
    <w:rsid w:val="4F300272"/>
    <w:rsid w:val="515320B5"/>
    <w:rsid w:val="52E14633"/>
    <w:rsid w:val="53250778"/>
    <w:rsid w:val="53517035"/>
    <w:rsid w:val="53A92998"/>
    <w:rsid w:val="55D45164"/>
    <w:rsid w:val="58216330"/>
    <w:rsid w:val="58E13C08"/>
    <w:rsid w:val="59275A99"/>
    <w:rsid w:val="59DF5FFE"/>
    <w:rsid w:val="5A33357F"/>
    <w:rsid w:val="5D491532"/>
    <w:rsid w:val="5D9F4915"/>
    <w:rsid w:val="5E483371"/>
    <w:rsid w:val="5E970568"/>
    <w:rsid w:val="5EC90F8E"/>
    <w:rsid w:val="5EF17D2A"/>
    <w:rsid w:val="5F59471B"/>
    <w:rsid w:val="60A2317A"/>
    <w:rsid w:val="60C31A1F"/>
    <w:rsid w:val="61687E97"/>
    <w:rsid w:val="616D55C9"/>
    <w:rsid w:val="62BB7999"/>
    <w:rsid w:val="644E4B1D"/>
    <w:rsid w:val="646F08D5"/>
    <w:rsid w:val="647B3DBC"/>
    <w:rsid w:val="650E0E71"/>
    <w:rsid w:val="65494613"/>
    <w:rsid w:val="65904792"/>
    <w:rsid w:val="65ED0D46"/>
    <w:rsid w:val="67137BFF"/>
    <w:rsid w:val="673A67EA"/>
    <w:rsid w:val="674D7D2D"/>
    <w:rsid w:val="6845160B"/>
    <w:rsid w:val="68560D10"/>
    <w:rsid w:val="6A0B1E23"/>
    <w:rsid w:val="6A516D7C"/>
    <w:rsid w:val="6AEA5840"/>
    <w:rsid w:val="6B0C2A72"/>
    <w:rsid w:val="6B561201"/>
    <w:rsid w:val="6C9D4F37"/>
    <w:rsid w:val="6D1A47AE"/>
    <w:rsid w:val="6D8309B3"/>
    <w:rsid w:val="700D6D99"/>
    <w:rsid w:val="725F58BA"/>
    <w:rsid w:val="7262149F"/>
    <w:rsid w:val="727F0905"/>
    <w:rsid w:val="740B5A50"/>
    <w:rsid w:val="740D71D5"/>
    <w:rsid w:val="751D7874"/>
    <w:rsid w:val="75337C73"/>
    <w:rsid w:val="764D2EB1"/>
    <w:rsid w:val="768E4E05"/>
    <w:rsid w:val="77CD748B"/>
    <w:rsid w:val="785F1F2C"/>
    <w:rsid w:val="7A782F9B"/>
    <w:rsid w:val="7ADB1BD4"/>
    <w:rsid w:val="7B1F6DB5"/>
    <w:rsid w:val="7B436AD8"/>
    <w:rsid w:val="7B7F6110"/>
    <w:rsid w:val="7C4B1F1E"/>
    <w:rsid w:val="7D5B3637"/>
    <w:rsid w:val="7D683A3A"/>
    <w:rsid w:val="7E337317"/>
    <w:rsid w:val="7F7A2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5">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paragraph" w:styleId="6">
    <w:name w:val="heading 4"/>
    <w:basedOn w:val="1"/>
    <w:next w:val="1"/>
    <w:qFormat/>
    <w:uiPriority w:val="0"/>
    <w:pPr>
      <w:widowControl w:val="0"/>
      <w:numPr>
        <w:ilvl w:val="3"/>
        <w:numId w:val="1"/>
      </w:numPr>
      <w:adjustRightInd w:val="0"/>
      <w:snapToGrid w:val="0"/>
      <w:outlineLvl w:val="3"/>
    </w:pPr>
    <w:rPr>
      <w:rFonts w:ascii="宋体" w:hAnsi="宋体"/>
      <w:bCs/>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line="360" w:lineRule="auto"/>
      <w:ind w:firstLine="598"/>
    </w:pPr>
  </w:style>
  <w:style w:type="paragraph" w:styleId="3">
    <w:name w:val="Title"/>
    <w:basedOn w:val="1"/>
    <w:next w:val="1"/>
    <w:qFormat/>
    <w:uiPriority w:val="0"/>
    <w:pPr>
      <w:spacing w:before="240" w:beforeLines="0" w:beforeAutospacing="0" w:after="60" w:afterLines="0" w:afterAutospacing="0"/>
      <w:jc w:val="center"/>
      <w:outlineLvl w:val="0"/>
    </w:pPr>
    <w:rPr>
      <w:rFonts w:ascii="Arial" w:hAnsi="Arial"/>
      <w:b/>
      <w:sz w:val="32"/>
    </w:rPr>
  </w:style>
  <w:style w:type="paragraph" w:styleId="7">
    <w:name w:val="Normal Indent"/>
    <w:basedOn w:val="1"/>
    <w:qFormat/>
    <w:uiPriority w:val="0"/>
    <w:pPr>
      <w:widowControl w:val="0"/>
      <w:adjustRightInd w:val="0"/>
      <w:spacing w:line="560" w:lineRule="exact"/>
      <w:ind w:firstLine="624"/>
      <w:textAlignment w:val="baseline"/>
    </w:pPr>
    <w:rPr>
      <w:rFonts w:eastAsia="仿宋_GB2312"/>
      <w:sz w:val="30"/>
    </w:rPr>
  </w:style>
  <w:style w:type="paragraph" w:styleId="8">
    <w:name w:val="annotation text"/>
    <w:basedOn w:val="1"/>
    <w:qFormat/>
    <w:uiPriority w:val="0"/>
    <w:pPr>
      <w:jc w:val="left"/>
    </w:pPr>
  </w:style>
  <w:style w:type="paragraph" w:styleId="9">
    <w:name w:val="Plain Text"/>
    <w:basedOn w:val="1"/>
    <w:next w:val="1"/>
    <w:link w:val="17"/>
    <w:qFormat/>
    <w:uiPriority w:val="0"/>
    <w:rPr>
      <w:rFonts w:ascii="宋体" w:hAnsi="Courier New"/>
      <w:kern w:val="0"/>
      <w:sz w:val="20"/>
      <w:szCs w:val="20"/>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Normal (Web)"/>
    <w:basedOn w:val="1"/>
    <w:qFormat/>
    <w:uiPriority w:val="0"/>
    <w:rPr>
      <w:rFonts w:ascii="宋体" w:hAnsi="宋体" w:cs="宋体"/>
      <w:sz w:val="24"/>
      <w:szCs w:val="24"/>
    </w:rPr>
  </w:style>
  <w:style w:type="paragraph" w:styleId="13">
    <w:name w:val="Body Text First Indent"/>
    <w:basedOn w:val="2"/>
    <w:unhideWhenUsed/>
    <w:qFormat/>
    <w:uiPriority w:val="99"/>
    <w:pPr>
      <w:pBdr>
        <w:top w:val="none" w:color="auto" w:sz="0" w:space="0"/>
        <w:left w:val="none" w:color="auto" w:sz="0" w:space="0"/>
        <w:bottom w:val="none" w:color="auto" w:sz="0" w:space="0"/>
        <w:right w:val="none" w:color="auto" w:sz="0" w:space="0"/>
        <w:between w:val="none" w:color="auto" w:sz="0" w:space="0"/>
      </w:pBdr>
      <w:shd w:val="clear" w:color="auto" w:fill="auto"/>
      <w:spacing w:line="360" w:lineRule="auto"/>
      <w:ind w:firstLine="200" w:firstLineChars="200"/>
      <w:jc w:val="both"/>
    </w:pPr>
    <w:rPr>
      <w:kern w:val="0"/>
      <w:sz w:val="24"/>
      <w:lang w:val="en-US" w:eastAsia="zh-CN"/>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纯文本 Char"/>
    <w:link w:val="9"/>
    <w:qFormat/>
    <w:uiPriority w:val="0"/>
    <w:rPr>
      <w:rFonts w:ascii="宋体" w:hAnsi="Courier New"/>
      <w:kern w:val="0"/>
      <w:sz w:val="20"/>
      <w:szCs w:val="20"/>
    </w:rPr>
  </w:style>
  <w:style w:type="character" w:customStyle="1" w:styleId="18">
    <w:name w:val="font11"/>
    <w:basedOn w:val="16"/>
    <w:qFormat/>
    <w:uiPriority w:val="0"/>
    <w:rPr>
      <w:rFonts w:hint="eastAsia" w:ascii="宋体" w:hAnsi="宋体" w:eastAsia="宋体" w:cs="宋体"/>
      <w:color w:val="000000"/>
      <w:sz w:val="21"/>
      <w:szCs w:val="21"/>
      <w:u w:val="none"/>
    </w:rPr>
  </w:style>
  <w:style w:type="character" w:customStyle="1" w:styleId="19">
    <w:name w:val="font12"/>
    <w:basedOn w:val="16"/>
    <w:qFormat/>
    <w:uiPriority w:val="0"/>
    <w:rPr>
      <w:rFonts w:hint="eastAsia" w:ascii="宋体" w:hAnsi="宋体" w:eastAsia="宋体" w:cs="宋体"/>
      <w:color w:val="000000"/>
      <w:sz w:val="21"/>
      <w:szCs w:val="21"/>
      <w:u w:val="none"/>
    </w:rPr>
  </w:style>
  <w:style w:type="character" w:customStyle="1" w:styleId="20">
    <w:name w:val="font61"/>
    <w:basedOn w:val="16"/>
    <w:qFormat/>
    <w:uiPriority w:val="0"/>
    <w:rPr>
      <w:rFonts w:hint="eastAsia" w:ascii="宋体" w:hAnsi="宋体" w:eastAsia="宋体" w:cs="宋体"/>
      <w:color w:val="000000"/>
      <w:sz w:val="21"/>
      <w:szCs w:val="21"/>
      <w:u w:val="none"/>
    </w:rPr>
  </w:style>
  <w:style w:type="character" w:customStyle="1" w:styleId="21">
    <w:name w:val="font51"/>
    <w:basedOn w:val="16"/>
    <w:qFormat/>
    <w:uiPriority w:val="0"/>
    <w:rPr>
      <w:rFonts w:ascii="Calibri" w:hAnsi="Calibri" w:cs="Calibri"/>
      <w:color w:val="000000"/>
      <w:sz w:val="21"/>
      <w:szCs w:val="21"/>
      <w:u w:val="none"/>
    </w:rPr>
  </w:style>
  <w:style w:type="character" w:customStyle="1" w:styleId="22">
    <w:name w:val="font122"/>
    <w:basedOn w:val="16"/>
    <w:qFormat/>
    <w:uiPriority w:val="0"/>
    <w:rPr>
      <w:rFonts w:hint="eastAsia" w:ascii="宋体" w:hAnsi="宋体" w:eastAsia="宋体" w:cs="宋体"/>
      <w:color w:val="000000"/>
      <w:sz w:val="24"/>
      <w:szCs w:val="24"/>
      <w:u w:val="none"/>
      <w:vertAlign w:val="subscript"/>
    </w:rPr>
  </w:style>
  <w:style w:type="character" w:customStyle="1" w:styleId="23">
    <w:name w:val="font31"/>
    <w:basedOn w:val="16"/>
    <w:qFormat/>
    <w:uiPriority w:val="0"/>
    <w:rPr>
      <w:rFonts w:hint="eastAsia" w:ascii="宋体" w:hAnsi="宋体" w:eastAsia="宋体" w:cs="宋体"/>
      <w:color w:val="000000"/>
      <w:sz w:val="24"/>
      <w:szCs w:val="24"/>
      <w:u w:val="none"/>
    </w:rPr>
  </w:style>
  <w:style w:type="character" w:customStyle="1" w:styleId="24">
    <w:name w:val="font71"/>
    <w:basedOn w:val="16"/>
    <w:qFormat/>
    <w:uiPriority w:val="0"/>
    <w:rPr>
      <w:rFonts w:hint="eastAsia" w:ascii="宋体" w:hAnsi="宋体" w:eastAsia="宋体" w:cs="宋体"/>
      <w:color w:val="000000"/>
      <w:sz w:val="21"/>
      <w:szCs w:val="21"/>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1234</Words>
  <Characters>1339</Characters>
  <Lines>0</Lines>
  <Paragraphs>0</Paragraphs>
  <TotalTime>0</TotalTime>
  <ScaleCrop>false</ScaleCrop>
  <LinksUpToDate>false</LinksUpToDate>
  <CharactersWithSpaces>1342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2024-07-24T02:44:00Z</dcterms:created>
  <dc:creator>彭钟华</dc:creator>
  <cp:lastModifiedBy>杨莉</cp:lastModifiedBy>
  <dcterms:modified xsi:type="dcterms:W3CDTF">2025-11-21T03:51:32Z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2968822290324778B8190A0CD7D211B0</vt:lpwstr>
  </property>
  <property fmtid="{D5CDD505-2E9C-101B-9397-08002B2CF9AE}" pid="4" name="KSOTemplateDocerSaveRecord">
    <vt:lpwstr>eyJoZGlkIjoiYTRlYzViOTg3MzA5ZmNlNTA4ZDdkNmFjYWRlNWJjNjYiLCJ1c2VySWQiOiIxMTIzODYyNzQxIn0=</vt:lpwstr>
  </property>
</Properties>
</file>