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9525"/>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-740410</wp:posOffset>
                </wp:positionH>
                <wp:positionV relativeFrom="paragraph">
                  <wp:posOffset>3773170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8.3pt;margin-top:297.1pt;height:94.95pt;width:485.7pt;mso-position-horizontal-relative:margin;z-index:251662336;mso-width-relative:page;mso-height-relative:page;" filled="f" stroked="f" coordsize="21600,21600" o:gfxdata="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kXgfO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0"/>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超高压输电公司昆明局楚雄、普洱换流站2025-2026年停电检修40米高空作业车租赁紧急零星采购项目</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楚雄换流站换流变1.1套管距离换流变广场可供作业车摆放位置水平距离为20米，由于换流变前方隔音墙的阻挡，断复引时需要使用40米以上的作业车（带飞臂）才能开展作业，2025-2026年楚雄换流站停电检修双极高、低端换流变1.1套管均需要断、复引；楚雄换流站直流滤波器高度近40米，本次停电检修需开展清扫作业，需使用40米以上的高空作业车；普洱换流站直流滤波器高度近40米，本次停电检修需开展清扫作业，需使用40米以上的高空作业车。</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楚雄站年度停电检修</w:t>
      </w:r>
      <w:r>
        <w:rPr>
          <w:rFonts w:hint="eastAsia" w:ascii="宋体" w:hAnsi="宋体" w:cs="宋体"/>
          <w:color w:val="auto"/>
          <w:sz w:val="28"/>
          <w:szCs w:val="28"/>
          <w:highlight w:val="none"/>
          <w:lang w:val="en-US" w:eastAsia="zh-CN"/>
        </w:rPr>
        <w:t>计划</w:t>
      </w:r>
      <w:r>
        <w:rPr>
          <w:rFonts w:hint="eastAsia" w:ascii="宋体" w:hAnsi="宋体" w:eastAsia="宋体" w:cs="宋体"/>
          <w:color w:val="auto"/>
          <w:sz w:val="28"/>
          <w:szCs w:val="28"/>
          <w:highlight w:val="none"/>
          <w:lang w:val="en-US" w:eastAsia="zh-CN"/>
        </w:rPr>
        <w:t>开始时间为2025年12月中旬</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预计需要8个台班，普洱站停电检修</w:t>
      </w:r>
      <w:r>
        <w:rPr>
          <w:rFonts w:hint="eastAsia" w:ascii="宋体" w:hAnsi="宋体" w:cs="宋体"/>
          <w:color w:val="auto"/>
          <w:sz w:val="28"/>
          <w:szCs w:val="28"/>
          <w:highlight w:val="none"/>
          <w:lang w:val="en-US" w:eastAsia="zh-CN"/>
        </w:rPr>
        <w:t>计划</w:t>
      </w:r>
      <w:r>
        <w:rPr>
          <w:rFonts w:hint="eastAsia" w:ascii="宋体" w:hAnsi="宋体" w:eastAsia="宋体" w:cs="宋体"/>
          <w:color w:val="auto"/>
          <w:sz w:val="28"/>
          <w:szCs w:val="28"/>
          <w:highlight w:val="none"/>
          <w:lang w:val="en-US" w:eastAsia="zh-CN"/>
        </w:rPr>
        <w:t>开始时间为2026年1月中旬</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预计需要2个台班</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按照实际使用台班数结算。</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（1）租赁40米以上高空作业车（带飞臂）8台班用于楚雄换流站2025-2026年度停电检修</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检修</w:t>
      </w:r>
      <w:r>
        <w:rPr>
          <w:rFonts w:hint="eastAsia" w:ascii="宋体" w:hAnsi="宋体" w:cs="宋体"/>
          <w:color w:val="auto"/>
          <w:sz w:val="28"/>
          <w:szCs w:val="28"/>
          <w:highlight w:val="none"/>
          <w:lang w:val="en-US" w:eastAsia="zh-CN"/>
        </w:rPr>
        <w:t>计划</w:t>
      </w:r>
      <w:r>
        <w:rPr>
          <w:rFonts w:hint="eastAsia" w:ascii="宋体" w:hAnsi="宋体" w:eastAsia="宋体" w:cs="宋体"/>
          <w:color w:val="auto"/>
          <w:sz w:val="28"/>
          <w:szCs w:val="28"/>
          <w:highlight w:val="none"/>
          <w:lang w:val="en-US" w:eastAsia="zh-CN"/>
        </w:rPr>
        <w:t>开始时间为2025年12月中旬</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按照实际使用台班数结算；</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（2）租赁40米以上高空作业车（带飞臂）2台班用于普洱换流站2025-2026年度停电检修直流滤波器清扫</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检修</w:t>
      </w:r>
      <w:r>
        <w:rPr>
          <w:rFonts w:hint="eastAsia" w:ascii="宋体" w:hAnsi="宋体" w:cs="宋体"/>
          <w:color w:val="auto"/>
          <w:sz w:val="28"/>
          <w:szCs w:val="28"/>
          <w:highlight w:val="none"/>
          <w:lang w:val="en-US" w:eastAsia="zh-CN"/>
        </w:rPr>
        <w:t>计划</w:t>
      </w:r>
      <w:r>
        <w:rPr>
          <w:rFonts w:hint="eastAsia" w:ascii="宋体" w:hAnsi="宋体" w:eastAsia="宋体" w:cs="宋体"/>
          <w:color w:val="auto"/>
          <w:sz w:val="28"/>
          <w:szCs w:val="28"/>
          <w:highlight w:val="none"/>
          <w:lang w:val="en-US" w:eastAsia="zh-CN"/>
        </w:rPr>
        <w:t>开始时间为2026年1月中旬</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按照实际使用台班数结算。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none"/>
          <w:u w:val="single"/>
          <w:lang w:val="en-US" w:eastAsia="zh-CN"/>
        </w:rPr>
        <w:t>成交之日至2026年6月30日</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云南省楚雄彝族自治州禄丰市和平镇±800kV楚雄换流站、云南省普洱市思茅区龙潭乡±800kV普洱换流站</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2.4.1</w:t>
      </w:r>
      <w:r>
        <w:rPr>
          <w:rFonts w:hint="eastAsia" w:ascii="宋体" w:hAnsi="宋体" w:cs="宋体"/>
          <w:color w:val="auto"/>
          <w:sz w:val="28"/>
          <w:szCs w:val="28"/>
          <w:highlight w:val="none"/>
          <w:u w:val="single"/>
          <w:lang w:val="en-US" w:eastAsia="zh-CN"/>
        </w:rPr>
        <w:t>采购</w:t>
      </w:r>
      <w:r>
        <w:rPr>
          <w:rFonts w:hint="eastAsia" w:ascii="宋体" w:hAnsi="宋体" w:eastAsia="宋体" w:cs="宋体"/>
          <w:color w:val="auto"/>
          <w:sz w:val="28"/>
          <w:szCs w:val="28"/>
          <w:highlight w:val="none"/>
          <w:u w:val="single"/>
          <w:lang w:val="en-US" w:eastAsia="zh-CN"/>
        </w:rPr>
        <w:t>40米以上高空车租赁服务</w:t>
      </w:r>
      <w:r>
        <w:rPr>
          <w:rFonts w:hint="eastAsia" w:ascii="宋体" w:hAnsi="宋体" w:cs="宋体"/>
          <w:color w:val="auto"/>
          <w:sz w:val="28"/>
          <w:szCs w:val="28"/>
          <w:highlight w:val="none"/>
          <w:u w:val="single"/>
          <w:lang w:val="en-US" w:eastAsia="zh-CN"/>
        </w:rPr>
        <w:t>（含司机）</w:t>
      </w:r>
      <w:r>
        <w:rPr>
          <w:rFonts w:hint="eastAsia" w:ascii="宋体" w:hAnsi="宋体" w:eastAsia="宋体" w:cs="宋体"/>
          <w:color w:val="auto"/>
          <w:sz w:val="28"/>
          <w:szCs w:val="28"/>
          <w:highlight w:val="none"/>
          <w:u w:val="single"/>
          <w:lang w:val="en-US" w:eastAsia="zh-CN"/>
        </w:rPr>
        <w:t>，要求高空车带飞臂，水平作业距离大于20米时垂直作业距离也大于20米</w:t>
      </w:r>
      <w:r>
        <w:rPr>
          <w:rFonts w:hint="eastAsia" w:ascii="宋体" w:hAnsi="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2.4.2</w:t>
      </w:r>
      <w:r>
        <w:rPr>
          <w:rFonts w:hint="eastAsia" w:ascii="宋体" w:hAnsi="宋体" w:cs="宋体"/>
          <w:color w:val="auto"/>
          <w:sz w:val="28"/>
          <w:szCs w:val="28"/>
          <w:highlight w:val="none"/>
          <w:u w:val="single"/>
          <w:lang w:val="en-US" w:eastAsia="zh-CN"/>
        </w:rPr>
        <w:t>人员及车辆资质、证书齐全、有效，包括但不限于驾驶证、行驶证、设备检验合格证、人员及车辆保险等。</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2.4.3</w:t>
      </w:r>
      <w:r>
        <w:rPr>
          <w:rFonts w:hint="eastAsia" w:ascii="宋体" w:hAnsi="宋体" w:cs="宋体"/>
          <w:color w:val="auto"/>
          <w:sz w:val="28"/>
          <w:szCs w:val="28"/>
          <w:highlight w:val="none"/>
          <w:u w:val="single"/>
          <w:lang w:val="en-US" w:eastAsia="zh-CN"/>
        </w:rPr>
        <w:t>接到通知后在48小时内到达服务地点。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2.4.4</w:t>
      </w:r>
      <w:r>
        <w:rPr>
          <w:rFonts w:hint="eastAsia" w:ascii="宋体" w:hAnsi="宋体" w:cs="宋体"/>
          <w:color w:val="auto"/>
          <w:sz w:val="28"/>
          <w:szCs w:val="28"/>
          <w:highlight w:val="none"/>
          <w:u w:val="single"/>
          <w:lang w:val="en-US" w:eastAsia="zh-CN"/>
        </w:rPr>
        <w:t>应配合开展安全资质录入工作，配合开展人员安规、保命考试、提交人员、车辆相关资料。</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u w:val="single"/>
          <w:lang w:val="en-US" w:eastAsia="zh-CN"/>
        </w:rPr>
        <w:t>采购</w:t>
      </w:r>
      <w:r>
        <w:rPr>
          <w:rFonts w:hint="eastAsia" w:ascii="宋体" w:hAnsi="宋体" w:eastAsia="宋体" w:cs="宋体"/>
          <w:color w:val="auto"/>
          <w:sz w:val="28"/>
          <w:szCs w:val="28"/>
          <w:highlight w:val="none"/>
          <w:u w:val="single"/>
          <w:lang w:val="en-US" w:eastAsia="zh-CN"/>
        </w:rPr>
        <w:t>40米以上高空车租赁服务</w:t>
      </w:r>
      <w:r>
        <w:rPr>
          <w:rFonts w:hint="eastAsia" w:ascii="宋体" w:hAnsi="宋体" w:cs="宋体"/>
          <w:color w:val="auto"/>
          <w:sz w:val="28"/>
          <w:szCs w:val="28"/>
          <w:highlight w:val="none"/>
          <w:u w:val="single"/>
          <w:lang w:val="en-US" w:eastAsia="zh-CN"/>
        </w:rPr>
        <w:t>（含司机）</w:t>
      </w:r>
      <w:r>
        <w:rPr>
          <w:rFonts w:hint="eastAsia" w:ascii="宋体" w:hAnsi="宋体" w:eastAsia="宋体" w:cs="宋体"/>
          <w:color w:val="auto"/>
          <w:sz w:val="28"/>
          <w:szCs w:val="28"/>
          <w:highlight w:val="none"/>
          <w:u w:val="single"/>
          <w:lang w:val="en-US" w:eastAsia="zh-CN"/>
        </w:rPr>
        <w:t>，要求高空车带飞臂，水平作业距离大于20米时垂直作业距离也大于20米</w:t>
      </w:r>
      <w:r>
        <w:rPr>
          <w:rFonts w:hint="eastAsia" w:ascii="宋体" w:hAnsi="宋体" w:cs="宋体"/>
          <w:color w:val="auto"/>
          <w:sz w:val="28"/>
          <w:szCs w:val="28"/>
          <w:highlight w:val="none"/>
          <w:u w:val="single"/>
          <w:lang w:val="en-US" w:eastAsia="zh-CN"/>
        </w:rPr>
        <w:t>，现场作业时需跨越隔音墙（约8米高）至换流变1.1套管头处。</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u w:val="single"/>
          <w:lang w:val="en-US" w:eastAsia="zh-CN"/>
        </w:rPr>
        <w:t>人员及车辆资质、证书齐全、有效，包括但不限于驾驶证、行驶证、设备检验合格证、人员及车辆保险等。</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u w:val="single"/>
          <w:lang w:val="en-US" w:eastAsia="zh-CN"/>
        </w:rPr>
        <w:t>接到通知后在48小时内到达服务地点。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lang w:val="en-US" w:eastAsia="zh-CN"/>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u w:val="single"/>
          <w:lang w:val="en-US" w:eastAsia="zh-CN"/>
        </w:rPr>
        <w:t>应配合开展安全资质录入工作，配合开展人员安规、保命考试、提交人员、车辆相关资质。</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cs="宋体"/>
          <w:color w:val="auto"/>
          <w:spacing w:val="-1"/>
          <w:szCs w:val="21"/>
          <w:highlight w:val="none"/>
          <w:lang w:val="en-US" w:eastAsia="zh-CN"/>
        </w:rPr>
      </w:pPr>
      <w:r>
        <w:rPr>
          <w:rFonts w:hint="eastAsia" w:ascii="宋体" w:hAnsi="宋体" w:cs="宋体"/>
          <w:color w:val="auto"/>
          <w:sz w:val="21"/>
          <w:szCs w:val="21"/>
          <w:highlight w:val="none"/>
          <w:lang w:val="en-US" w:eastAsia="zh-CN"/>
        </w:rPr>
        <w:t xml:space="preserve">  </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none"/>
                <w:shd w:val="clear"/>
              </w:rPr>
              <w:t>1</w:t>
            </w:r>
          </w:p>
        </w:tc>
        <w:tc>
          <w:tcPr>
            <w:tcW w:w="1987"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租赁40米以上高空作业车（带飞臂）8台班用于楚雄换流站2025-2026年度停电检修，检修计划开始时间为2025年12月中旬，按照实际使用台班数结算</w:t>
            </w:r>
          </w:p>
        </w:tc>
        <w:tc>
          <w:tcPr>
            <w:tcW w:w="1075" w:type="dxa"/>
            <w:noWrap w:val="0"/>
            <w:vAlign w:val="center"/>
          </w:tcPr>
          <w:p>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40米及以上高空作业车</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yellow"/>
                <w:lang w:val="en-US" w:eastAsia="zh-CN" w:bidi="ar-SA"/>
              </w:rPr>
            </w:pPr>
            <w:r>
              <w:rPr>
                <w:rFonts w:hint="eastAsia" w:ascii="微软雅黑" w:hAnsi="微软雅黑" w:eastAsia="微软雅黑" w:cs="微软雅黑"/>
                <w:i w:val="0"/>
                <w:iCs w:val="0"/>
                <w:caps w:val="0"/>
                <w:color w:val="333333"/>
                <w:spacing w:val="0"/>
                <w:sz w:val="14"/>
                <w:szCs w:val="14"/>
                <w:shd w:val="clear" w:fill="FFFFFF"/>
                <w:lang w:val="en-US" w:eastAsia="zh-CN"/>
              </w:rPr>
              <w:t>现场作业示意图</w:t>
            </w:r>
            <w:r>
              <w:drawing>
                <wp:inline distT="0" distB="0" distL="114300" distR="114300">
                  <wp:extent cx="2226945" cy="1524000"/>
                  <wp:effectExtent l="0" t="0" r="0" b="952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2"/>
                          <a:stretch>
                            <a:fillRect/>
                          </a:stretch>
                        </pic:blipFill>
                        <pic:spPr>
                          <a:xfrm>
                            <a:off x="0" y="0"/>
                            <a:ext cx="2226945" cy="1524000"/>
                          </a:xfrm>
                          <a:prstGeom prst="rect">
                            <a:avLst/>
                          </a:prstGeom>
                          <a:noFill/>
                          <a:ln>
                            <a:noFill/>
                          </a:ln>
                        </pic:spPr>
                      </pic:pic>
                    </a:graphicData>
                  </a:graphic>
                </wp:inline>
              </w:drawing>
            </w:r>
            <w:r>
              <w:rPr>
                <w:rFonts w:hint="eastAsia" w:ascii="微软雅黑" w:hAnsi="微软雅黑" w:eastAsia="微软雅黑" w:cs="微软雅黑"/>
                <w:i w:val="0"/>
                <w:iCs w:val="0"/>
                <w:caps w:val="0"/>
                <w:color w:val="333333"/>
                <w:spacing w:val="0"/>
                <w:sz w:val="14"/>
                <w:szCs w:val="14"/>
                <w:shd w:val="clear" w:fill="FFFFFF"/>
                <w:lang w:val="en-US" w:eastAsia="zh-CN"/>
              </w:rPr>
              <w:drawing>
                <wp:inline distT="0" distB="0" distL="114300" distR="114300">
                  <wp:extent cx="1396365" cy="1861820"/>
                  <wp:effectExtent l="0" t="0" r="13335" b="5080"/>
                  <wp:docPr id="12" name="图片 12" descr="9657255959909240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9657255959909240351"/>
                          <pic:cNvPicPr>
                            <a:picLocks noChangeAspect="1"/>
                          </pic:cNvPicPr>
                        </pic:nvPicPr>
                        <pic:blipFill>
                          <a:blip r:embed="rId13"/>
                          <a:stretch>
                            <a:fillRect/>
                          </a:stretch>
                        </pic:blipFill>
                        <pic:spPr>
                          <a:xfrm>
                            <a:off x="0" y="0"/>
                            <a:ext cx="1396365" cy="1861820"/>
                          </a:xfrm>
                          <a:prstGeom prst="rect">
                            <a:avLst/>
                          </a:prstGeom>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w:t>
            </w:r>
            <w:r>
              <w:rPr>
                <w:rFonts w:hint="eastAsia" w:ascii="宋体" w:hAnsi="宋体" w:cs="宋体"/>
                <w:b w:val="0"/>
                <w:bCs w:val="0"/>
                <w:color w:val="auto"/>
                <w:kern w:val="0"/>
                <w:sz w:val="18"/>
                <w:szCs w:val="18"/>
                <w:highlight w:val="none"/>
                <w:lang w:val="en-US" w:eastAsia="zh-CN" w:bidi="ar-SA"/>
              </w:rPr>
              <w:t>1</w:t>
            </w:r>
            <w:r>
              <w:rPr>
                <w:rFonts w:hint="eastAsia" w:ascii="宋体" w:hAnsi="宋体" w:eastAsia="宋体" w:cs="宋体"/>
                <w:b w:val="0"/>
                <w:bCs w:val="0"/>
                <w:color w:val="auto"/>
                <w:kern w:val="0"/>
                <w:sz w:val="18"/>
                <w:szCs w:val="18"/>
                <w:highlight w:val="none"/>
                <w:lang w:val="en-US" w:eastAsia="zh-CN" w:bidi="ar-SA"/>
              </w:rPr>
              <w:t>）采购40米以上高空车租赁服务（含司机），要求高空车带飞臂，水平作业距离大于20米时垂直作业距离也大于20米，现场作业时需跨越隔音墙（约8米高）至换流变1.1套管头处。</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（2）人员及车辆资质、证书齐全、有效，包括但不限于驾驶证、行驶证、设备检验合格证、人员及车辆保险等。</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（3）接到通知后在48小时内到达服务地点</w:t>
            </w:r>
            <w:r>
              <w:rPr>
                <w:rFonts w:hint="eastAsia" w:ascii="宋体" w:hAnsi="宋体" w:cs="宋体"/>
                <w:b w:val="0"/>
                <w:bCs w:val="0"/>
                <w:color w:val="auto"/>
                <w:kern w:val="0"/>
                <w:sz w:val="18"/>
                <w:szCs w:val="18"/>
                <w:highlight w:val="none"/>
                <w:lang w:val="en-US" w:eastAsia="zh-CN" w:bidi="ar-SA"/>
              </w:rPr>
              <w:t>：云南省楚雄彝族自治州禄丰市和平镇±800kV楚雄换流站</w:t>
            </w:r>
            <w:r>
              <w:rPr>
                <w:rFonts w:hint="eastAsia" w:ascii="宋体" w:hAnsi="宋体" w:eastAsia="宋体" w:cs="宋体"/>
                <w:b w:val="0"/>
                <w:bCs w:val="0"/>
                <w:color w:val="auto"/>
                <w:kern w:val="0"/>
                <w:sz w:val="18"/>
                <w:szCs w:val="18"/>
                <w:highlight w:val="none"/>
                <w:lang w:val="en-US" w:eastAsia="zh-CN" w:bidi="ar-SA"/>
              </w:rPr>
              <w:t>。</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r>
              <w:rPr>
                <w:rFonts w:hint="eastAsia" w:ascii="宋体" w:hAnsi="宋体" w:eastAsia="宋体" w:cs="宋体"/>
                <w:b w:val="0"/>
                <w:bCs w:val="0"/>
                <w:color w:val="auto"/>
                <w:kern w:val="0"/>
                <w:sz w:val="18"/>
                <w:szCs w:val="18"/>
                <w:highlight w:val="none"/>
                <w:lang w:val="en-US" w:eastAsia="zh-CN" w:bidi="ar-SA"/>
              </w:rPr>
              <w:t>（4）应配合开展安全资质录入工作，配合开展人员安规、保命考试、提交人员、车辆相关资质。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s="Times New Roman"/>
                <w:color w:val="auto"/>
                <w:kern w:val="0"/>
                <w:sz w:val="18"/>
                <w:szCs w:val="21"/>
                <w:highlight w:val="none"/>
                <w:shd w:val="clear"/>
                <w:lang w:val="en-US" w:eastAsia="zh-CN" w:bidi="ar-SA"/>
              </w:rPr>
            </w:pPr>
            <w:r>
              <w:rPr>
                <w:rFonts w:hint="eastAsia" w:ascii="宋体" w:hAnsi="宋体"/>
                <w:color w:val="auto"/>
                <w:kern w:val="0"/>
                <w:sz w:val="18"/>
                <w:szCs w:val="21"/>
                <w:highlight w:val="none"/>
                <w:shd w:val="clear"/>
                <w:lang w:val="en-US" w:eastAsia="zh-CN"/>
              </w:rPr>
              <w:t>2</w:t>
            </w:r>
          </w:p>
        </w:tc>
        <w:tc>
          <w:tcPr>
            <w:tcW w:w="1987"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租赁40米以上高空作业车（带飞臂）2台班用于普洱换流站2025-2026年度停电检修直流滤波器清扫，检修计划开始时间为2026年1月中旬，按照实际使用台班数结算</w:t>
            </w:r>
          </w:p>
        </w:tc>
        <w:tc>
          <w:tcPr>
            <w:tcW w:w="1075"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40米及以上高空作业车</w:t>
            </w:r>
          </w:p>
        </w:tc>
        <w:tc>
          <w:tcPr>
            <w:tcW w:w="3735" w:type="dxa"/>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aps w:val="0"/>
                <w:color w:val="333333"/>
                <w:spacing w:val="0"/>
                <w:sz w:val="14"/>
                <w:szCs w:val="14"/>
                <w:shd w:val="clear" w:fill="FFFFFF"/>
                <w:lang w:val="en-US" w:eastAsia="zh-CN"/>
              </w:rPr>
            </w:pPr>
            <w:r>
              <w:rPr>
                <w:rFonts w:hint="eastAsia" w:ascii="微软雅黑" w:hAnsi="微软雅黑" w:eastAsia="微软雅黑" w:cs="微软雅黑"/>
                <w:i w:val="0"/>
                <w:iCs w:val="0"/>
                <w:caps w:val="0"/>
                <w:color w:val="333333"/>
                <w:spacing w:val="0"/>
                <w:sz w:val="14"/>
                <w:szCs w:val="14"/>
                <w:shd w:val="clear" w:fill="FFFFFF"/>
                <w:lang w:val="en-US" w:eastAsia="zh-CN"/>
              </w:rPr>
              <w:t>现场作业示意图</w:t>
            </w:r>
          </w:p>
          <w:p>
            <w:pPr>
              <w:keepNext w:val="0"/>
              <w:keepLines w:val="0"/>
              <w:widowControl/>
              <w:suppressLineNumbers w:val="0"/>
              <w:jc w:val="center"/>
              <w:textAlignment w:val="center"/>
              <w:rPr>
                <w:rFonts w:hint="eastAsia" w:ascii="微软雅黑" w:hAnsi="微软雅黑" w:eastAsia="微软雅黑" w:cs="微软雅黑"/>
                <w:i w:val="0"/>
                <w:iCs w:val="0"/>
                <w:caps w:val="0"/>
                <w:color w:val="333333"/>
                <w:spacing w:val="0"/>
                <w:kern w:val="2"/>
                <w:sz w:val="14"/>
                <w:szCs w:val="14"/>
                <w:shd w:val="clear" w:fill="FFFFFF"/>
                <w:lang w:val="en-US" w:eastAsia="zh-CN" w:bidi="ar-SA"/>
              </w:rPr>
            </w:pPr>
            <w:r>
              <w:rPr>
                <w:rFonts w:hint="eastAsia" w:ascii="微软雅黑" w:hAnsi="微软雅黑" w:eastAsia="微软雅黑" w:cs="微软雅黑"/>
                <w:i w:val="0"/>
                <w:iCs w:val="0"/>
                <w:caps w:val="0"/>
                <w:color w:val="333333"/>
                <w:spacing w:val="0"/>
                <w:sz w:val="14"/>
                <w:szCs w:val="14"/>
                <w:shd w:val="clear" w:fill="FFFFFF"/>
                <w:lang w:val="en-US" w:eastAsia="zh-CN"/>
              </w:rPr>
              <w:drawing>
                <wp:inline distT="0" distB="0" distL="114300" distR="114300">
                  <wp:extent cx="1421130" cy="1896110"/>
                  <wp:effectExtent l="0" t="0" r="7620" b="8890"/>
                  <wp:docPr id="16" name="图片 16" descr="9657255959909240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9657255959909240351"/>
                          <pic:cNvPicPr>
                            <a:picLocks noChangeAspect="1"/>
                          </pic:cNvPicPr>
                        </pic:nvPicPr>
                        <pic:blipFill>
                          <a:blip r:embed="rId13"/>
                          <a:stretch>
                            <a:fillRect/>
                          </a:stretch>
                        </pic:blipFill>
                        <pic:spPr>
                          <a:xfrm>
                            <a:off x="0" y="0"/>
                            <a:ext cx="1421130" cy="1896110"/>
                          </a:xfrm>
                          <a:prstGeom prst="rect">
                            <a:avLst/>
                          </a:prstGeom>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w:t>
            </w:r>
            <w:r>
              <w:rPr>
                <w:rFonts w:hint="eastAsia" w:ascii="宋体" w:hAnsi="宋体" w:cs="宋体"/>
                <w:b w:val="0"/>
                <w:bCs w:val="0"/>
                <w:color w:val="auto"/>
                <w:kern w:val="0"/>
                <w:sz w:val="18"/>
                <w:szCs w:val="18"/>
                <w:highlight w:val="none"/>
                <w:lang w:val="en-US" w:eastAsia="zh-CN" w:bidi="ar-SA"/>
              </w:rPr>
              <w:t>1</w:t>
            </w:r>
            <w:r>
              <w:rPr>
                <w:rFonts w:hint="eastAsia" w:ascii="宋体" w:hAnsi="宋体" w:eastAsia="宋体" w:cs="宋体"/>
                <w:b w:val="0"/>
                <w:bCs w:val="0"/>
                <w:color w:val="auto"/>
                <w:kern w:val="0"/>
                <w:sz w:val="18"/>
                <w:szCs w:val="18"/>
                <w:highlight w:val="none"/>
                <w:lang w:val="en-US" w:eastAsia="zh-CN" w:bidi="ar-SA"/>
              </w:rPr>
              <w:t>）采购40米以上高空车租赁服务（含司机），要求高空车带飞臂，水平作业距离大于20米时垂直作业距离也大于20米，现场作业时需跨越隔音墙（约8米高）至换流变1.1套管头处。</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（2）人员及车辆资质、证书齐全、有效，包括但不限于驾驶证、行驶证、设备检验合格证、人员及车辆保险等。</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（3）接到通知后在48小时内到达服务地点</w:t>
            </w:r>
            <w:r>
              <w:rPr>
                <w:rFonts w:hint="eastAsia" w:ascii="宋体" w:hAnsi="宋体" w:cs="宋体"/>
                <w:b w:val="0"/>
                <w:bCs w:val="0"/>
                <w:color w:val="auto"/>
                <w:kern w:val="0"/>
                <w:sz w:val="18"/>
                <w:szCs w:val="18"/>
                <w:highlight w:val="none"/>
                <w:lang w:val="en-US" w:eastAsia="zh-CN" w:bidi="ar-SA"/>
              </w:rPr>
              <w:t>：云南省普洱市思茅区龙潭乡±800kV普洱换流站</w:t>
            </w:r>
            <w:r>
              <w:rPr>
                <w:rFonts w:hint="eastAsia" w:ascii="宋体" w:hAnsi="宋体" w:eastAsia="宋体" w:cs="宋体"/>
                <w:b w:val="0"/>
                <w:bCs w:val="0"/>
                <w:color w:val="auto"/>
                <w:kern w:val="0"/>
                <w:sz w:val="18"/>
                <w:szCs w:val="18"/>
                <w:highlight w:val="none"/>
                <w:lang w:val="en-US" w:eastAsia="zh-CN" w:bidi="ar-SA"/>
              </w:rPr>
              <w:t>。</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r>
              <w:rPr>
                <w:rFonts w:hint="eastAsia" w:ascii="宋体" w:hAnsi="宋体" w:eastAsia="宋体" w:cs="宋体"/>
                <w:b w:val="0"/>
                <w:bCs w:val="0"/>
                <w:color w:val="auto"/>
                <w:kern w:val="0"/>
                <w:sz w:val="18"/>
                <w:szCs w:val="18"/>
                <w:highlight w:val="none"/>
                <w:lang w:val="en-US" w:eastAsia="zh-CN" w:bidi="ar-SA"/>
              </w:rPr>
              <w:t>（4）应配合开展安全资质录入工作，配合开展人员安规、保命考试、提交人员、车辆相关资质。</w:t>
            </w: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七、报价文件格式要求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6.2报价文件中每页均需盖章。</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6.3卖方需提供PDF报价文件（盖章版），包括但不限于：报价表、相关资质文件。</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6.4如有需授权的资质，需提供授权文件（参考文件见报价须知）。</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sz w:val="28"/>
          <w:szCs w:val="28"/>
          <w:highlight w:val="none"/>
          <w:lang w:val="en-US" w:eastAsia="zh-CN"/>
        </w:rPr>
        <w:t>6.5文件名应包含“××项目报价文件-报价方名称-报价金额”内容。邮件主题与电子报价文件名称保持一致。</w:t>
      </w:r>
      <w:bookmarkStart w:id="3" w:name="_GoBack"/>
      <w:bookmarkEnd w:id="3"/>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附件1：（报价表仅需打印以下页面即可）</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XXX公司</w:t>
      </w:r>
      <w:r>
        <w:rPr>
          <w:rFonts w:hint="eastAsia" w:ascii="宋体" w:hAnsi="宋体" w:eastAsia="宋体" w:cs="宋体"/>
          <w:b/>
          <w:bCs/>
          <w:color w:val="auto"/>
          <w:sz w:val="28"/>
          <w:szCs w:val="28"/>
          <w:highlight w:val="none"/>
        </w:rPr>
        <w:t>报价表</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1050"/>
        <w:gridCol w:w="688"/>
        <w:gridCol w:w="872"/>
        <w:gridCol w:w="1540"/>
        <w:gridCol w:w="2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项目名称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b/>
                <w:color w:val="auto"/>
                <w:kern w:val="0"/>
                <w:sz w:val="18"/>
                <w:szCs w:val="21"/>
                <w:highlight w:val="none"/>
              </w:rPr>
            </w:pPr>
            <w:r>
              <w:rPr>
                <w:rFonts w:hint="default" w:ascii="宋体" w:hAnsi="宋体" w:eastAsia="宋体"/>
                <w:b/>
                <w:color w:val="auto"/>
                <w:kern w:val="0"/>
                <w:sz w:val="18"/>
                <w:szCs w:val="21"/>
                <w:highlight w:val="none"/>
              </w:rPr>
              <w:t>总价</w:t>
            </w:r>
          </w:p>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w:t>
            </w:r>
            <w:r>
              <w:rPr>
                <w:rFonts w:hint="eastAsia" w:ascii="宋体" w:hAnsi="宋体"/>
                <w:b/>
                <w:color w:val="auto"/>
                <w:kern w:val="0"/>
                <w:sz w:val="18"/>
                <w:szCs w:val="21"/>
                <w:highlight w:val="none"/>
                <w:lang w:val="en-US" w:eastAsia="zh-CN"/>
              </w:rPr>
              <w:t>含税</w:t>
            </w:r>
            <w:r>
              <w:rPr>
                <w:rFonts w:hint="default" w:ascii="宋体" w:hAnsi="宋体" w:eastAsia="宋体"/>
                <w:b/>
                <w:color w:val="auto"/>
                <w:kern w:val="0"/>
                <w:sz w:val="18"/>
                <w:szCs w:val="21"/>
                <w:highlight w:val="none"/>
              </w:rPr>
              <w:t>）</w:t>
            </w:r>
          </w:p>
        </w:tc>
        <w:tc>
          <w:tcPr>
            <w:tcW w:w="1050" w:type="dxa"/>
            <w:noWrap w:val="0"/>
            <w:vAlign w:val="center"/>
          </w:tcPr>
          <w:p>
            <w:pPr>
              <w:adjustRightInd w:val="0"/>
              <w:snapToGrid w:val="0"/>
              <w:spacing w:beforeLines="0" w:afterLines="0" w:line="360" w:lineRule="auto"/>
              <w:jc w:val="center"/>
              <w:rPr>
                <w:rFonts w:hint="eastAsia" w:ascii="宋体" w:hAnsi="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总价</w:t>
            </w:r>
          </w:p>
          <w:p>
            <w:pPr>
              <w:adjustRightInd w:val="0"/>
              <w:snapToGrid w:val="0"/>
              <w:spacing w:beforeLines="0" w:afterLines="0" w:line="360" w:lineRule="auto"/>
              <w:jc w:val="center"/>
              <w:rPr>
                <w:rFonts w:hint="eastAsia" w:ascii="宋体" w:hAnsi="宋体" w:eastAsia="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（不含税）</w:t>
            </w:r>
          </w:p>
        </w:tc>
        <w:tc>
          <w:tcPr>
            <w:tcW w:w="688"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cs="宋体"/>
                <w:b/>
                <w:bCs/>
                <w:color w:val="auto"/>
                <w:kern w:val="0"/>
                <w:sz w:val="18"/>
                <w:szCs w:val="20"/>
                <w:highlight w:val="none"/>
                <w:lang w:eastAsia="zh-CN"/>
              </w:rPr>
              <w:t>税率</w:t>
            </w:r>
          </w:p>
        </w:tc>
        <w:tc>
          <w:tcPr>
            <w:tcW w:w="872"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lang w:eastAsia="zh-CN"/>
              </w:rPr>
            </w:pPr>
            <w:r>
              <w:rPr>
                <w:rFonts w:hint="eastAsia" w:ascii="宋体" w:hAnsi="宋体" w:cs="宋体"/>
                <w:b/>
                <w:bCs/>
                <w:color w:val="auto"/>
                <w:kern w:val="0"/>
                <w:sz w:val="18"/>
                <w:szCs w:val="20"/>
                <w:highlight w:val="none"/>
                <w:lang w:eastAsia="zh-CN"/>
              </w:rPr>
              <w:t>服务时间</w:t>
            </w:r>
          </w:p>
        </w:tc>
        <w:tc>
          <w:tcPr>
            <w:tcW w:w="1540"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服务</w:t>
            </w:r>
            <w:r>
              <w:rPr>
                <w:rFonts w:hint="default" w:ascii="宋体" w:hAnsi="宋体" w:eastAsia="宋体"/>
                <w:b/>
                <w:color w:val="auto"/>
                <w:kern w:val="0"/>
                <w:sz w:val="18"/>
                <w:szCs w:val="21"/>
                <w:highlight w:val="none"/>
              </w:rPr>
              <w:t>地址</w:t>
            </w:r>
          </w:p>
        </w:tc>
        <w:tc>
          <w:tcPr>
            <w:tcW w:w="231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i w:val="0"/>
                <w:color w:val="auto"/>
                <w:kern w:val="0"/>
                <w:sz w:val="18"/>
                <w:szCs w:val="18"/>
                <w:highlight w:val="none"/>
                <w:u w:val="none"/>
                <w:lang w:val="en-US" w:eastAsia="zh-CN" w:bidi="ar"/>
              </w:rPr>
              <w:t>超高压输电公司昆明局楚雄、普洱换流站2025-2026年停电检修40米高空作业车租赁紧急零星采购项目</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p>
        </w:tc>
        <w:tc>
          <w:tcPr>
            <w:tcW w:w="1050"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5"/>
                <w:szCs w:val="16"/>
                <w:highlight w:val="none"/>
                <w:lang w:val="en-US" w:eastAsia="zh-CN"/>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r>
              <w:rPr>
                <w:rFonts w:hint="eastAsia" w:ascii="宋体" w:hAnsi="宋体" w:eastAsia="宋体" w:cs="宋体"/>
                <w:b w:val="0"/>
                <w:bCs w:val="0"/>
                <w:color w:val="auto"/>
                <w:kern w:val="0"/>
                <w:sz w:val="15"/>
                <w:szCs w:val="16"/>
                <w:highlight w:val="none"/>
                <w:lang w:val="en-US" w:eastAsia="zh-CN"/>
              </w:rPr>
              <w:t>计算公式：</w:t>
            </w:r>
          </w:p>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5"/>
                <w:szCs w:val="16"/>
                <w:highlight w:val="none"/>
                <w:lang w:val="en-US" w:eastAsia="zh-CN"/>
              </w:rPr>
              <w:t>含税总价/（1+税率）</w:t>
            </w:r>
          </w:p>
        </w:tc>
        <w:tc>
          <w:tcPr>
            <w:tcW w:w="688" w:type="dxa"/>
            <w:noWrap w:val="0"/>
            <w:vAlign w:val="center"/>
          </w:tcPr>
          <w:p>
            <w:pPr>
              <w:adjustRightInd w:val="0"/>
              <w:snapToGrid w:val="0"/>
              <w:spacing w:beforeLines="0" w:afterLines="0" w:line="36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u w:val="single"/>
                <w:lang w:val="en-US" w:eastAsia="zh-CN"/>
              </w:rPr>
              <w:t xml:space="preserve">    %</w:t>
            </w:r>
          </w:p>
        </w:tc>
        <w:tc>
          <w:tcPr>
            <w:tcW w:w="872"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成交之日至202</w:t>
            </w:r>
            <w:r>
              <w:rPr>
                <w:rFonts w:hint="eastAsia" w:ascii="宋体" w:hAnsi="宋体" w:cs="宋体"/>
                <w:color w:val="auto"/>
                <w:kern w:val="2"/>
                <w:sz w:val="18"/>
                <w:szCs w:val="18"/>
                <w:highlight w:val="none"/>
                <w:lang w:val="en-US" w:eastAsia="zh-CN" w:bidi="ar-SA"/>
              </w:rPr>
              <w:t>6</w:t>
            </w:r>
            <w:r>
              <w:rPr>
                <w:rFonts w:hint="eastAsia" w:ascii="宋体" w:hAnsi="宋体" w:eastAsia="宋体" w:cs="宋体"/>
                <w:color w:val="auto"/>
                <w:kern w:val="2"/>
                <w:sz w:val="18"/>
                <w:szCs w:val="18"/>
                <w:highlight w:val="none"/>
                <w:lang w:val="en-US" w:eastAsia="zh-CN" w:bidi="ar-SA"/>
              </w:rPr>
              <w:t>年6月30日</w:t>
            </w:r>
          </w:p>
        </w:tc>
        <w:tc>
          <w:tcPr>
            <w:tcW w:w="1540"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云南省楚雄彝族自治州禄丰市和平镇±800kV楚雄换流站</w:t>
            </w:r>
            <w:r>
              <w:rPr>
                <w:rFonts w:hint="eastAsia" w:ascii="宋体" w:hAnsi="宋体" w:cs="宋体"/>
                <w:color w:val="auto"/>
                <w:kern w:val="2"/>
                <w:sz w:val="18"/>
                <w:szCs w:val="18"/>
                <w:highlight w:val="none"/>
                <w:lang w:val="en-US" w:eastAsia="zh-CN" w:bidi="ar-SA"/>
              </w:rPr>
              <w:t>、云南省普洱市思茅区龙潭乡±800kV普洱换流站</w:t>
            </w:r>
          </w:p>
        </w:tc>
        <w:tc>
          <w:tcPr>
            <w:tcW w:w="2317"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229" w:type="dxa"/>
            <w:gridSpan w:val="8"/>
            <w:noWrap w:val="0"/>
            <w:vAlign w:val="center"/>
          </w:tcPr>
          <w:p>
            <w:pPr>
              <w:adjustRightInd w:val="0"/>
              <w:snapToGrid w:val="0"/>
              <w:spacing w:line="360" w:lineRule="auto"/>
              <w:jc w:val="center"/>
              <w:rPr>
                <w:rFonts w:hint="eastAsia" w:ascii="宋体" w:hAnsi="宋体" w:cs="宋体"/>
                <w:b/>
                <w:bCs/>
                <w:color w:val="auto"/>
                <w:kern w:val="0"/>
                <w:sz w:val="18"/>
                <w:szCs w:val="20"/>
                <w:highlight w:val="none"/>
              </w:rPr>
            </w:pPr>
            <w:r>
              <w:rPr>
                <w:rFonts w:hint="eastAsia" w:ascii="宋体" w:hAnsi="宋体" w:cs="宋体"/>
                <w:b/>
                <w:bCs/>
                <w:color w:val="auto"/>
                <w:kern w:val="0"/>
                <w:sz w:val="18"/>
                <w:szCs w:val="20"/>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0"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序号</w:t>
            </w:r>
          </w:p>
        </w:tc>
        <w:tc>
          <w:tcPr>
            <w:tcW w:w="1987"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采购内容</w:t>
            </w:r>
          </w:p>
        </w:tc>
        <w:tc>
          <w:tcPr>
            <w:tcW w:w="1075"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单位</w:t>
            </w:r>
          </w:p>
        </w:tc>
        <w:tc>
          <w:tcPr>
            <w:tcW w:w="1050"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数量</w:t>
            </w:r>
          </w:p>
        </w:tc>
        <w:tc>
          <w:tcPr>
            <w:tcW w:w="1560" w:type="dxa"/>
            <w:gridSpan w:val="2"/>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单价（元）</w:t>
            </w:r>
          </w:p>
        </w:tc>
        <w:tc>
          <w:tcPr>
            <w:tcW w:w="1540" w:type="dxa"/>
            <w:noWrap w:val="0"/>
            <w:vAlign w:val="center"/>
          </w:tcPr>
          <w:p>
            <w:pPr>
              <w:adjustRightInd w:val="0"/>
              <w:snapToGrid w:val="0"/>
              <w:spacing w:line="24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小计价格（元）</w:t>
            </w:r>
          </w:p>
        </w:tc>
        <w:tc>
          <w:tcPr>
            <w:tcW w:w="2317"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0" w:type="dxa"/>
            <w:noWrap w:val="0"/>
            <w:vAlign w:val="center"/>
          </w:tcPr>
          <w:p>
            <w:pPr>
              <w:adjustRightInd w:val="0"/>
              <w:snapToGrid w:val="0"/>
              <w:spacing w:line="36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1</w:t>
            </w:r>
          </w:p>
        </w:tc>
        <w:tc>
          <w:tcPr>
            <w:tcW w:w="1987" w:type="dxa"/>
            <w:noWrap w:val="0"/>
            <w:vAlign w:val="center"/>
          </w:tcPr>
          <w:p>
            <w:pPr>
              <w:adjustRightInd w:val="0"/>
              <w:snapToGrid w:val="0"/>
              <w:spacing w:beforeLines="0" w:afterLines="0"/>
              <w:jc w:val="center"/>
              <w:rPr>
                <w:rFonts w:hint="default" w:ascii="宋体" w:hAnsi="宋体" w:cs="宋体"/>
                <w:color w:val="auto"/>
                <w:kern w:val="0"/>
                <w:sz w:val="20"/>
                <w:szCs w:val="21"/>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40米及以上高空作业车（带飞臂）租赁</w:t>
            </w:r>
          </w:p>
        </w:tc>
        <w:tc>
          <w:tcPr>
            <w:tcW w:w="1075" w:type="dxa"/>
            <w:noWrap w:val="0"/>
            <w:vAlign w:val="center"/>
          </w:tcPr>
          <w:p>
            <w:pPr>
              <w:adjustRightInd w:val="0"/>
              <w:snapToGrid w:val="0"/>
              <w:spacing w:beforeLines="0" w:afterLines="0"/>
              <w:jc w:val="center"/>
              <w:rPr>
                <w:rFonts w:hint="default" w:ascii="宋体" w:hAnsi="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bidi="ar-SA"/>
              </w:rPr>
              <w:t>台班</w:t>
            </w:r>
          </w:p>
        </w:tc>
        <w:tc>
          <w:tcPr>
            <w:tcW w:w="1050" w:type="dxa"/>
            <w:noWrap w:val="0"/>
            <w:vAlign w:val="center"/>
          </w:tcPr>
          <w:p>
            <w:pPr>
              <w:adjustRightInd w:val="0"/>
              <w:snapToGrid w:val="0"/>
              <w:spacing w:beforeLines="0" w:afterLines="0"/>
              <w:jc w:val="center"/>
              <w:rPr>
                <w:rFonts w:hint="default"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bidi="ar-SA"/>
              </w:rPr>
              <w:t>10</w:t>
            </w:r>
          </w:p>
        </w:tc>
        <w:tc>
          <w:tcPr>
            <w:tcW w:w="1560" w:type="dxa"/>
            <w:gridSpan w:val="2"/>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p>
        </w:tc>
        <w:tc>
          <w:tcPr>
            <w:tcW w:w="1540"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2317" w:type="dxa"/>
            <w:noWrap w:val="0"/>
            <w:vAlign w:val="center"/>
          </w:tcPr>
          <w:p>
            <w:pPr>
              <w:adjustRightInd w:val="0"/>
              <w:snapToGrid w:val="0"/>
              <w:spacing w:line="240" w:lineRule="auto"/>
              <w:jc w:val="center"/>
              <w:rPr>
                <w:rFonts w:hint="eastAsia" w:ascii="宋体" w:hAnsi="宋体" w:eastAsia="宋体" w:cs="宋体"/>
                <w:color w:val="auto"/>
                <w:kern w:val="0"/>
                <w:sz w:val="20"/>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00" w:type="dxa"/>
            <w:noWrap w:val="0"/>
            <w:vAlign w:val="center"/>
          </w:tcPr>
          <w:p>
            <w:pPr>
              <w:adjustRightInd w:val="0"/>
              <w:snapToGrid w:val="0"/>
              <w:spacing w:line="36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2</w:t>
            </w:r>
          </w:p>
        </w:tc>
        <w:tc>
          <w:tcPr>
            <w:tcW w:w="1987"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r>
              <w:rPr>
                <w:rFonts w:hint="eastAsia" w:ascii="宋体" w:hAnsi="宋体" w:cs="宋体"/>
                <w:b w:val="0"/>
                <w:bCs w:val="0"/>
                <w:color w:val="auto"/>
                <w:kern w:val="0"/>
                <w:sz w:val="18"/>
                <w:szCs w:val="18"/>
                <w:highlight w:val="none"/>
                <w:lang w:val="en-US" w:eastAsia="zh-CN" w:bidi="ar-SA"/>
              </w:rPr>
              <w:t>楚雄站</w:t>
            </w:r>
            <w:r>
              <w:rPr>
                <w:rFonts w:hint="eastAsia" w:ascii="宋体" w:hAnsi="宋体" w:eastAsia="宋体" w:cs="宋体"/>
                <w:b w:val="0"/>
                <w:bCs w:val="0"/>
                <w:color w:val="auto"/>
                <w:kern w:val="0"/>
                <w:sz w:val="18"/>
                <w:szCs w:val="18"/>
                <w:highlight w:val="none"/>
                <w:lang w:val="en-US" w:eastAsia="zh-CN" w:bidi="ar-SA"/>
              </w:rPr>
              <w:t>进出场费（若有）</w:t>
            </w:r>
          </w:p>
        </w:tc>
        <w:tc>
          <w:tcPr>
            <w:tcW w:w="1075" w:type="dxa"/>
            <w:noWrap w:val="0"/>
            <w:vAlign w:val="center"/>
          </w:tcPr>
          <w:p>
            <w:pPr>
              <w:adjustRightInd w:val="0"/>
              <w:snapToGrid w:val="0"/>
              <w:spacing w:line="240" w:lineRule="auto"/>
              <w:jc w:val="center"/>
              <w:rPr>
                <w:rFonts w:hint="eastAsia" w:ascii="宋体" w:hAnsi="宋体" w:cs="宋体"/>
                <w:color w:val="auto"/>
                <w:kern w:val="0"/>
                <w:sz w:val="20"/>
                <w:szCs w:val="21"/>
                <w:highlight w:val="none"/>
                <w:lang w:val="en-US" w:eastAsia="zh-CN" w:bidi="ar-SA"/>
              </w:rPr>
            </w:pPr>
          </w:p>
        </w:tc>
        <w:tc>
          <w:tcPr>
            <w:tcW w:w="1050"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1560" w:type="dxa"/>
            <w:gridSpan w:val="2"/>
            <w:noWrap w:val="0"/>
            <w:vAlign w:val="center"/>
          </w:tcPr>
          <w:p>
            <w:pPr>
              <w:pStyle w:val="2"/>
              <w:numPr>
                <w:ilvl w:val="1"/>
                <w:numId w:val="0"/>
              </w:numPr>
              <w:tabs>
                <w:tab w:val="clear" w:pos="425"/>
                <w:tab w:val="clear" w:pos="1276"/>
              </w:tabs>
              <w:ind w:left="0" w:leftChars="0" w:firstLine="0" w:firstLineChars="0"/>
              <w:jc w:val="center"/>
              <w:rPr>
                <w:rFonts w:hint="eastAsia" w:ascii="宋体" w:hAnsi="宋体" w:eastAsia="宋体" w:cs="宋体"/>
                <w:b w:val="0"/>
                <w:bCs w:val="0"/>
                <w:color w:val="auto"/>
                <w:kern w:val="0"/>
                <w:sz w:val="20"/>
                <w:szCs w:val="21"/>
                <w:highlight w:val="none"/>
                <w:lang w:val="en-US" w:eastAsia="zh-CN" w:bidi="ar-SA"/>
              </w:rPr>
            </w:pPr>
          </w:p>
        </w:tc>
        <w:tc>
          <w:tcPr>
            <w:tcW w:w="1540" w:type="dxa"/>
            <w:noWrap w:val="0"/>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bidi="ar-SA"/>
              </w:rPr>
            </w:pPr>
          </w:p>
        </w:tc>
        <w:tc>
          <w:tcPr>
            <w:tcW w:w="2317" w:type="dxa"/>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00" w:type="dxa"/>
            <w:noWrap w:val="0"/>
            <w:vAlign w:val="center"/>
          </w:tcPr>
          <w:p>
            <w:pPr>
              <w:adjustRightInd w:val="0"/>
              <w:snapToGrid w:val="0"/>
              <w:spacing w:line="360" w:lineRule="auto"/>
              <w:jc w:val="center"/>
              <w:rPr>
                <w:rFonts w:hint="default" w:ascii="宋体" w:hAnsi="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3</w:t>
            </w:r>
          </w:p>
        </w:tc>
        <w:tc>
          <w:tcPr>
            <w:tcW w:w="1987"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r>
              <w:rPr>
                <w:rFonts w:hint="eastAsia" w:ascii="宋体" w:hAnsi="宋体" w:cs="宋体"/>
                <w:b w:val="0"/>
                <w:bCs w:val="0"/>
                <w:color w:val="auto"/>
                <w:kern w:val="0"/>
                <w:sz w:val="18"/>
                <w:szCs w:val="18"/>
                <w:highlight w:val="none"/>
                <w:lang w:val="en-US" w:eastAsia="zh-CN" w:bidi="ar-SA"/>
              </w:rPr>
              <w:t>普洱站</w:t>
            </w:r>
            <w:r>
              <w:rPr>
                <w:rFonts w:hint="eastAsia" w:ascii="宋体" w:hAnsi="宋体" w:eastAsia="宋体" w:cs="宋体"/>
                <w:b w:val="0"/>
                <w:bCs w:val="0"/>
                <w:color w:val="auto"/>
                <w:kern w:val="0"/>
                <w:sz w:val="18"/>
                <w:szCs w:val="18"/>
                <w:highlight w:val="none"/>
                <w:lang w:val="en-US" w:eastAsia="zh-CN" w:bidi="ar-SA"/>
              </w:rPr>
              <w:t>进出场费（若有）</w:t>
            </w:r>
          </w:p>
        </w:tc>
        <w:tc>
          <w:tcPr>
            <w:tcW w:w="1075"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1050"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1560" w:type="dxa"/>
            <w:gridSpan w:val="2"/>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p>
        </w:tc>
        <w:tc>
          <w:tcPr>
            <w:tcW w:w="1540"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2317" w:type="dxa"/>
            <w:noWrap w:val="0"/>
            <w:vAlign w:val="center"/>
          </w:tcPr>
          <w:p>
            <w:pPr>
              <w:adjustRightInd w:val="0"/>
              <w:snapToGrid w:val="0"/>
              <w:spacing w:line="240" w:lineRule="auto"/>
              <w:jc w:val="center"/>
              <w:rPr>
                <w:rFonts w:hint="eastAsia" w:ascii="宋体" w:hAnsi="宋体" w:cs="宋体"/>
                <w:color w:val="auto"/>
                <w:kern w:val="0"/>
                <w:sz w:val="20"/>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87" w:type="dxa"/>
            <w:gridSpan w:val="2"/>
            <w:noWrap w:val="0"/>
            <w:vAlign w:val="center"/>
          </w:tcPr>
          <w:p>
            <w:pPr>
              <w:adjustRightInd w:val="0"/>
              <w:snapToGrid w:val="0"/>
              <w:spacing w:line="360" w:lineRule="auto"/>
              <w:ind w:firstLine="803" w:firstLineChars="400"/>
              <w:jc w:val="both"/>
              <w:rPr>
                <w:rFonts w:hint="eastAsia" w:ascii="宋体" w:hAnsi="宋体" w:eastAsia="宋体" w:cs="宋体"/>
                <w:b/>
                <w:bCs/>
                <w:color w:val="auto"/>
                <w:kern w:val="0"/>
                <w:sz w:val="20"/>
                <w:szCs w:val="20"/>
                <w:highlight w:val="none"/>
                <w:lang w:val="en-US" w:eastAsia="zh-CN" w:bidi="ar"/>
              </w:rPr>
            </w:pPr>
            <w:r>
              <w:rPr>
                <w:rFonts w:hint="eastAsia" w:ascii="宋体" w:hAnsi="宋体" w:eastAsia="宋体" w:cs="宋体"/>
                <w:b/>
                <w:bCs/>
                <w:color w:val="auto"/>
                <w:kern w:val="0"/>
                <w:sz w:val="20"/>
                <w:szCs w:val="20"/>
                <w:highlight w:val="none"/>
                <w:lang w:val="en-US" w:eastAsia="zh-CN" w:bidi="ar"/>
              </w:rPr>
              <w:t>合计</w:t>
            </w:r>
          </w:p>
        </w:tc>
        <w:tc>
          <w:tcPr>
            <w:tcW w:w="1075" w:type="dxa"/>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050" w:type="dxa"/>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560" w:type="dxa"/>
            <w:gridSpan w:val="2"/>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540" w:type="dxa"/>
            <w:noWrap w:val="0"/>
            <w:vAlign w:val="center"/>
          </w:tcPr>
          <w:p>
            <w:pPr>
              <w:adjustRightInd w:val="0"/>
              <w:snapToGrid w:val="0"/>
              <w:spacing w:line="360" w:lineRule="auto"/>
              <w:jc w:val="center"/>
              <w:rPr>
                <w:rFonts w:hint="default" w:ascii="宋体" w:hAnsi="宋体" w:cs="宋体"/>
                <w:color w:val="auto"/>
                <w:kern w:val="0"/>
                <w:sz w:val="18"/>
                <w:szCs w:val="20"/>
                <w:highlight w:val="none"/>
                <w:lang w:val="en-US" w:eastAsia="zh-CN"/>
              </w:rPr>
            </w:pPr>
          </w:p>
        </w:tc>
        <w:tc>
          <w:tcPr>
            <w:tcW w:w="2317" w:type="dxa"/>
            <w:noWrap w:val="0"/>
            <w:vAlign w:val="center"/>
          </w:tcPr>
          <w:p>
            <w:pPr>
              <w:adjustRightInd w:val="0"/>
              <w:snapToGrid w:val="0"/>
              <w:spacing w:line="360" w:lineRule="auto"/>
              <w:jc w:val="center"/>
              <w:rPr>
                <w:rFonts w:hint="eastAsia" w:ascii="宋体" w:hAnsi="宋体" w:eastAsia="宋体" w:cs="宋体"/>
                <w:b w:val="0"/>
                <w:bCs w:val="0"/>
                <w:color w:val="auto"/>
                <w:kern w:val="0"/>
                <w:sz w:val="18"/>
                <w:szCs w:val="20"/>
                <w:highlight w:val="none"/>
                <w:lang w:val="en-US" w:eastAsia="zh-CN"/>
              </w:rPr>
            </w:pPr>
          </w:p>
        </w:tc>
      </w:tr>
    </w:tbl>
    <w:p>
      <w:pPr>
        <w:spacing w:line="360" w:lineRule="auto"/>
        <w:jc w:val="center"/>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联系人：               联系电话：           </w:t>
      </w:r>
      <w:r>
        <w:rPr>
          <w:rFonts w:hint="eastAsia" w:ascii="宋体" w:hAnsi="宋体" w:cs="宋体"/>
          <w:color w:val="auto"/>
          <w:sz w:val="20"/>
          <w:szCs w:val="20"/>
          <w:highlight w:val="none"/>
          <w:lang w:val="en-US" w:eastAsia="zh-CN"/>
        </w:rPr>
        <w:t>(联系不上视为无效报价）</w:t>
      </w:r>
    </w:p>
    <w:p>
      <w:pPr>
        <w:spacing w:line="360" w:lineRule="auto"/>
        <w:jc w:val="center"/>
        <w:rPr>
          <w:rFonts w:hint="eastAsia" w:ascii="宋体" w:hAnsi="宋体" w:cs="宋体"/>
          <w:color w:val="auto"/>
          <w:sz w:val="20"/>
          <w:szCs w:val="20"/>
          <w:highlight w:val="none"/>
          <w:lang w:val="en-US" w:eastAsia="zh-CN"/>
        </w:rPr>
      </w:pPr>
    </w:p>
    <w:p>
      <w:pPr>
        <w:wordWrap/>
        <w:spacing w:line="360" w:lineRule="auto"/>
        <w:jc w:val="right"/>
        <w:rPr>
          <w:rFonts w:hint="default" w:ascii="宋体" w:hAnsi="宋体" w:eastAsia="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XX公司（盖章）</w:t>
      </w:r>
      <w:r>
        <w:rPr>
          <w:rFonts w:hint="eastAsia" w:ascii="宋体" w:hAnsi="宋体" w:cs="宋体"/>
          <w:color w:val="auto"/>
          <w:spacing w:val="-1"/>
          <w:szCs w:val="21"/>
          <w:highlight w:val="none"/>
        </w:rPr>
        <w:t>：</w:t>
      </w:r>
    </w:p>
    <w:p>
      <w:pPr>
        <w:wordWrap/>
        <w:spacing w:line="360" w:lineRule="auto"/>
        <w:jc w:val="right"/>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rPr>
        <w:t>年     月</w:t>
      </w:r>
      <w:r>
        <w:rPr>
          <w:rFonts w:hint="eastAsia" w:ascii="宋体" w:hAnsi="宋体" w:cs="宋体"/>
          <w:color w:val="auto"/>
          <w:spacing w:val="-1"/>
          <w:szCs w:val="21"/>
          <w:highlight w:val="none"/>
          <w:lang w:val="en-US" w:eastAsia="zh-CN"/>
        </w:rPr>
        <w:t xml:space="preserve">    日</w:t>
      </w:r>
    </w:p>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numPr>
          <w:ilvl w:val="0"/>
          <w:numId w:val="2"/>
        </w:numPr>
        <w:spacing w:line="360" w:lineRule="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spacing w:line="360" w:lineRule="auto"/>
        <w:rPr>
          <w:rFonts w:hint="eastAsia" w:ascii="宋体" w:hAnsi="宋体" w:cs="宋体"/>
          <w:color w:val="auto"/>
          <w:spacing w:val="-1"/>
          <w:szCs w:val="21"/>
          <w:highlight w:val="none"/>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default" w:ascii="宋体" w:hAnsi="宋体"/>
          <w:b/>
          <w:bCs w:val="0"/>
          <w:color w:val="auto"/>
          <w:spacing w:val="15"/>
          <w:szCs w:val="21"/>
          <w:highlight w:val="none"/>
          <w:lang w:val="en-US" w:eastAsia="zh-CN"/>
        </w:rPr>
      </w:pPr>
      <w:r>
        <w:rPr>
          <w:rFonts w:hint="eastAsia" w:ascii="宋体" w:hAnsi="宋体"/>
          <w:b/>
          <w:bCs w:val="0"/>
          <w:color w:val="auto"/>
          <w:spacing w:val="15"/>
          <w:szCs w:val="21"/>
          <w:highlight w:val="none"/>
          <w:lang w:val="en-US" w:eastAsia="zh-CN"/>
        </w:rPr>
        <w:t>其他资质文件</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br w:type="page"/>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供应商联系人信息表</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w:t>
      </w:r>
      <w:r>
        <w:rPr>
          <w:rFonts w:hint="eastAsia" w:cs="Times New Roman"/>
          <w:b/>
          <w:color w:val="auto"/>
          <w:sz w:val="28"/>
          <w:szCs w:val="28"/>
          <w:highlight w:val="yellow"/>
          <w:lang w:val="en-US" w:eastAsia="zh-CN"/>
        </w:rPr>
        <w:t>（供应商填写）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9</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yCZAtMAAAAFAQAADwAAAAAAAAABACAAAAAi&#10;AAAAZHJzL2Rvd25yZXYueG1sUEsBAhQAFAAAAAgAh07iQA+lSGvWAQAApgMAAA4AAAAAAAAAAQAg&#10;AAAAIgEAAGRycy9lMm9Eb2MueG1sUEsFBgAAAAAGAAYAWQEAAGo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9</w:t>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9</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069D000"/>
    <w:multiLevelType w:val="singleLevel"/>
    <w:tmpl w:val="7069D00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A27794"/>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9C1B14"/>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AA0720"/>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9C1EBD"/>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20520B"/>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398E"/>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2F4C08"/>
    <w:rsid w:val="1A484105"/>
    <w:rsid w:val="1A8109E7"/>
    <w:rsid w:val="1A992054"/>
    <w:rsid w:val="1A9F2060"/>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8A0CAA"/>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E5ADD"/>
    <w:rsid w:val="21BF06D8"/>
    <w:rsid w:val="21D565C2"/>
    <w:rsid w:val="21EA228B"/>
    <w:rsid w:val="21EA457D"/>
    <w:rsid w:val="221A7B60"/>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22858"/>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AB711A"/>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5234B"/>
    <w:rsid w:val="323F0654"/>
    <w:rsid w:val="32467E35"/>
    <w:rsid w:val="3247614B"/>
    <w:rsid w:val="32494D3F"/>
    <w:rsid w:val="325961FA"/>
    <w:rsid w:val="325B049C"/>
    <w:rsid w:val="327009A9"/>
    <w:rsid w:val="3276502A"/>
    <w:rsid w:val="32793B83"/>
    <w:rsid w:val="328735CB"/>
    <w:rsid w:val="32CD600A"/>
    <w:rsid w:val="32FC50EB"/>
    <w:rsid w:val="33041E01"/>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1027B4"/>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C414B"/>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AF359AA"/>
    <w:rsid w:val="3B022035"/>
    <w:rsid w:val="3B0D31A1"/>
    <w:rsid w:val="3B2422FF"/>
    <w:rsid w:val="3B250B17"/>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A41E0"/>
    <w:rsid w:val="3CAE5410"/>
    <w:rsid w:val="3CBE695A"/>
    <w:rsid w:val="3CC70AA3"/>
    <w:rsid w:val="3CCB15DE"/>
    <w:rsid w:val="3CF01BBB"/>
    <w:rsid w:val="3CF5154D"/>
    <w:rsid w:val="3CFF12C0"/>
    <w:rsid w:val="3D441E01"/>
    <w:rsid w:val="3D4D4329"/>
    <w:rsid w:val="3D52034B"/>
    <w:rsid w:val="3D5960DF"/>
    <w:rsid w:val="3DC17B99"/>
    <w:rsid w:val="3DCC4D82"/>
    <w:rsid w:val="3DE07D6C"/>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17B52"/>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37C58"/>
    <w:rsid w:val="484D084A"/>
    <w:rsid w:val="485B50C2"/>
    <w:rsid w:val="48602776"/>
    <w:rsid w:val="48811167"/>
    <w:rsid w:val="48895880"/>
    <w:rsid w:val="48A979B2"/>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5A3437"/>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AF941C0"/>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DA5DC7"/>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447F8"/>
    <w:rsid w:val="4D960761"/>
    <w:rsid w:val="4DA0412D"/>
    <w:rsid w:val="4DAA2A71"/>
    <w:rsid w:val="4DC47E6D"/>
    <w:rsid w:val="4DCB3553"/>
    <w:rsid w:val="4DDD015A"/>
    <w:rsid w:val="4DEA0679"/>
    <w:rsid w:val="4E21470A"/>
    <w:rsid w:val="4E220374"/>
    <w:rsid w:val="4E2F2707"/>
    <w:rsid w:val="4E321855"/>
    <w:rsid w:val="4E3F4C54"/>
    <w:rsid w:val="4E712D50"/>
    <w:rsid w:val="4E7F0172"/>
    <w:rsid w:val="4E810DFB"/>
    <w:rsid w:val="4E861861"/>
    <w:rsid w:val="4E867E26"/>
    <w:rsid w:val="4E8F0453"/>
    <w:rsid w:val="4E9248C8"/>
    <w:rsid w:val="4EF862D1"/>
    <w:rsid w:val="4F036332"/>
    <w:rsid w:val="4F204EBC"/>
    <w:rsid w:val="4F311BA0"/>
    <w:rsid w:val="4F38154C"/>
    <w:rsid w:val="4F400944"/>
    <w:rsid w:val="4F5B22DB"/>
    <w:rsid w:val="4F78441D"/>
    <w:rsid w:val="4F7E3B05"/>
    <w:rsid w:val="4F915257"/>
    <w:rsid w:val="4F9417ED"/>
    <w:rsid w:val="4FB108B4"/>
    <w:rsid w:val="4FB258F9"/>
    <w:rsid w:val="4FBA7055"/>
    <w:rsid w:val="4FBD1311"/>
    <w:rsid w:val="4FC54CEB"/>
    <w:rsid w:val="4FDA24A7"/>
    <w:rsid w:val="4FE24569"/>
    <w:rsid w:val="4FE52FA9"/>
    <w:rsid w:val="4FED675F"/>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B19B7"/>
    <w:rsid w:val="530C4990"/>
    <w:rsid w:val="533A3E61"/>
    <w:rsid w:val="533C0F95"/>
    <w:rsid w:val="534F4AF8"/>
    <w:rsid w:val="535055D9"/>
    <w:rsid w:val="53523FF7"/>
    <w:rsid w:val="536A4B68"/>
    <w:rsid w:val="536C5FE3"/>
    <w:rsid w:val="53746E0E"/>
    <w:rsid w:val="537D5A7D"/>
    <w:rsid w:val="53807BD9"/>
    <w:rsid w:val="53820F43"/>
    <w:rsid w:val="53896DD9"/>
    <w:rsid w:val="53917AA7"/>
    <w:rsid w:val="539A2B8B"/>
    <w:rsid w:val="53F11A8D"/>
    <w:rsid w:val="53F8401A"/>
    <w:rsid w:val="54006754"/>
    <w:rsid w:val="540B3869"/>
    <w:rsid w:val="54147CEB"/>
    <w:rsid w:val="542441BC"/>
    <w:rsid w:val="542C110E"/>
    <w:rsid w:val="543B3CC9"/>
    <w:rsid w:val="543E164A"/>
    <w:rsid w:val="54586003"/>
    <w:rsid w:val="545D0932"/>
    <w:rsid w:val="545F1B52"/>
    <w:rsid w:val="546359FE"/>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02538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3B6501"/>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440AC5"/>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B339BC"/>
    <w:rsid w:val="5CC93B7F"/>
    <w:rsid w:val="5CE03279"/>
    <w:rsid w:val="5CE81A46"/>
    <w:rsid w:val="5CE85B0A"/>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B7DD9"/>
    <w:rsid w:val="620D063C"/>
    <w:rsid w:val="620E7C2C"/>
    <w:rsid w:val="621C616D"/>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7FA2F0F"/>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B5397E"/>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7F4455"/>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6E79C9"/>
    <w:rsid w:val="747D1E82"/>
    <w:rsid w:val="74816DB3"/>
    <w:rsid w:val="74835E62"/>
    <w:rsid w:val="749A05A4"/>
    <w:rsid w:val="74B25795"/>
    <w:rsid w:val="74B9039C"/>
    <w:rsid w:val="74CC22DB"/>
    <w:rsid w:val="74F24729"/>
    <w:rsid w:val="75016EBB"/>
    <w:rsid w:val="75032CD9"/>
    <w:rsid w:val="751C200C"/>
    <w:rsid w:val="751C4B39"/>
    <w:rsid w:val="75232FBB"/>
    <w:rsid w:val="75350EA8"/>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26D26"/>
    <w:rsid w:val="76FB0900"/>
    <w:rsid w:val="77095357"/>
    <w:rsid w:val="771529E6"/>
    <w:rsid w:val="77197998"/>
    <w:rsid w:val="77200066"/>
    <w:rsid w:val="772A70BA"/>
    <w:rsid w:val="773E50DF"/>
    <w:rsid w:val="775260A4"/>
    <w:rsid w:val="775F7A49"/>
    <w:rsid w:val="77613C22"/>
    <w:rsid w:val="776B72D5"/>
    <w:rsid w:val="776C017E"/>
    <w:rsid w:val="776F59C7"/>
    <w:rsid w:val="77742E8C"/>
    <w:rsid w:val="77794429"/>
    <w:rsid w:val="7787796F"/>
    <w:rsid w:val="779542FD"/>
    <w:rsid w:val="779A4473"/>
    <w:rsid w:val="77CB7E41"/>
    <w:rsid w:val="77CC38C6"/>
    <w:rsid w:val="77ED2B68"/>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A82F4A"/>
    <w:rsid w:val="7AB92960"/>
    <w:rsid w:val="7AC4522C"/>
    <w:rsid w:val="7AD77726"/>
    <w:rsid w:val="7ADC38AB"/>
    <w:rsid w:val="7AE47175"/>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1854</Words>
  <Characters>1996</Characters>
  <Lines>0</Lines>
  <Paragraphs>0</Paragraphs>
  <TotalTime>1</TotalTime>
  <ScaleCrop>false</ScaleCrop>
  <LinksUpToDate>false</LinksUpToDate>
  <CharactersWithSpaces>2030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B7F78BD63611417CA8B834B309D14533</cp:lastModifiedBy>
  <dcterms:modified xsi:type="dcterms:W3CDTF">2025-11-24T05:55:02Z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D19FE62EAED64C7199881F00B03D1A71_13</vt:lpwstr>
  </property>
  <property fmtid="{D5CDD505-2E9C-101B-9397-08002B2CF9AE}" pid="4" name="KSOTemplateDocerSaveRecord">
    <vt:lpwstr>eyJoZGlkIjoiMWM4MmVkOTA1MjFjYzMwZWNmZGFhODliZDBjZWU4YWMiLCJ1c2VySWQiOiI3MDE3NDQwMjEifQ==</vt:lpwstr>
  </property>
</Properties>
</file>