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spacing w:before="54" w:after="0" w:line="373" w:lineRule="exact"/>
        <w:ind w:right="0"/>
        <w:jc w:val="left"/>
        <w:rPr>
          <w:rFonts w:hint="eastAsia" w:ascii="黑体" w:hAnsi="仿宋" w:eastAsia="黑体" w:cs="仿宋"/>
          <w:kern w:val="0"/>
          <w:sz w:val="32"/>
          <w:szCs w:val="32"/>
          <w:lang w:val="zh-CN" w:eastAsia="zh-CN" w:bidi="zh-CN"/>
        </w:rPr>
      </w:pPr>
      <w:r>
        <w:rPr>
          <w:rFonts w:hint="eastAsia" w:ascii="黑体" w:hAnsi="仿宋" w:eastAsia="黑体" w:cs="仿宋"/>
          <w:kern w:val="0"/>
          <w:sz w:val="32"/>
          <w:szCs w:val="32"/>
          <w:lang w:val="zh-CN" w:eastAsia="zh-CN" w:bidi="zh-CN"/>
        </w:rPr>
        <w:t>南方电网定额〔2022〕2号附件</w:t>
      </w:r>
    </w:p>
    <w:p>
      <w:pPr>
        <w:widowControl w:val="0"/>
        <w:autoSpaceDE w:val="0"/>
        <w:autoSpaceDN w:val="0"/>
        <w:spacing w:before="0" w:beforeLines="0" w:after="0" w:line="560" w:lineRule="exact"/>
        <w:ind w:right="0"/>
        <w:jc w:val="left"/>
        <w:rPr>
          <w:rFonts w:hint="eastAsia" w:ascii="黑体" w:hAnsi="仿宋" w:eastAsia="黑体" w:cs="仿宋"/>
          <w:kern w:val="0"/>
          <w:sz w:val="32"/>
          <w:szCs w:val="32"/>
          <w:lang w:val="zh-CN" w:eastAsia="zh-CN" w:bidi="zh-CN"/>
        </w:rPr>
      </w:pPr>
    </w:p>
    <w:p>
      <w:pPr>
        <w:keepNext w:val="0"/>
        <w:keepLines w:val="0"/>
        <w:pageBreakBefore w:val="0"/>
        <w:widowControl w:val="0"/>
        <w:kinsoku/>
        <w:wordWrap/>
        <w:overflowPunct/>
        <w:topLinePunct w:val="0"/>
        <w:autoSpaceDE w:val="0"/>
        <w:autoSpaceDN w:val="0"/>
        <w:bidi w:val="0"/>
        <w:adjustRightInd w:val="0"/>
        <w:snapToGrid/>
        <w:spacing w:before="0" w:beforeLines="0" w:after="0" w:line="560" w:lineRule="exact"/>
        <w:ind w:left="0" w:right="0" w:firstLine="0"/>
        <w:jc w:val="center"/>
        <w:textAlignment w:val="auto"/>
        <w:rPr>
          <w:rFonts w:hint="eastAsia" w:ascii="方正小标宋_GBK" w:hAnsi="仿宋" w:eastAsia="方正小标宋_GBK" w:cs="仿宋"/>
          <w:kern w:val="0"/>
          <w:sz w:val="44"/>
          <w:szCs w:val="44"/>
          <w:lang w:val="zh-CN" w:eastAsia="zh-CN" w:bidi="zh-CN"/>
        </w:rPr>
      </w:pPr>
      <w:r>
        <w:rPr>
          <w:rFonts w:hint="eastAsia" w:ascii="方正小标宋_GBK" w:hAnsi="仿宋" w:eastAsia="方正小标宋_GBK" w:cs="仿宋"/>
          <w:kern w:val="0"/>
          <w:sz w:val="44"/>
          <w:szCs w:val="22"/>
          <w:lang w:val="en-US" w:eastAsia="zh-CN" w:bidi="zh-CN"/>
        </w:rPr>
        <w:t xml:space="preserve">  </w:t>
      </w:r>
      <w:r>
        <w:rPr>
          <w:rFonts w:hint="eastAsia" w:ascii="方正小标宋_GBK" w:hAnsi="仿宋" w:eastAsia="方正小标宋_GBK" w:cs="仿宋"/>
          <w:kern w:val="0"/>
          <w:sz w:val="44"/>
          <w:szCs w:val="44"/>
          <w:lang w:val="zh-CN" w:eastAsia="zh-CN" w:bidi="zh-CN"/>
        </w:rPr>
        <w:t>中国南方电网有限责任公司咨询服务</w:t>
      </w:r>
    </w:p>
    <w:p>
      <w:pPr>
        <w:keepNext w:val="0"/>
        <w:keepLines w:val="0"/>
        <w:pageBreakBefore w:val="0"/>
        <w:widowControl w:val="0"/>
        <w:kinsoku/>
        <w:wordWrap/>
        <w:overflowPunct/>
        <w:topLinePunct w:val="0"/>
        <w:autoSpaceDE w:val="0"/>
        <w:autoSpaceDN w:val="0"/>
        <w:bidi w:val="0"/>
        <w:adjustRightInd w:val="0"/>
        <w:snapToGrid/>
        <w:spacing w:before="0" w:beforeLines="0" w:after="0" w:line="560" w:lineRule="exact"/>
        <w:ind w:left="0" w:right="0" w:firstLine="0"/>
        <w:jc w:val="center"/>
        <w:textAlignment w:val="auto"/>
        <w:rPr>
          <w:rFonts w:hint="eastAsia" w:ascii="方正小标宋_GBK" w:hAnsi="仿宋" w:eastAsia="方正小标宋_GBK" w:cs="仿宋"/>
          <w:kern w:val="0"/>
          <w:sz w:val="44"/>
          <w:szCs w:val="44"/>
          <w:lang w:val="zh-CN" w:eastAsia="zh-CN" w:bidi="zh-CN"/>
        </w:rPr>
      </w:pPr>
      <w:r>
        <w:rPr>
          <w:rFonts w:hint="eastAsia" w:ascii="方正小标宋_GBK" w:hAnsi="仿宋" w:eastAsia="方正小标宋_GBK" w:cs="仿宋"/>
          <w:kern w:val="0"/>
          <w:sz w:val="44"/>
          <w:szCs w:val="44"/>
          <w:lang w:val="zh-CN" w:eastAsia="zh-CN" w:bidi="zh-CN"/>
        </w:rPr>
        <w:t>项目费用预算标准（202</w:t>
      </w:r>
      <w:r>
        <w:rPr>
          <w:rFonts w:hint="eastAsia" w:ascii="方正小标宋_GBK" w:hAnsi="仿宋" w:eastAsia="方正小标宋_GBK" w:cs="仿宋"/>
          <w:kern w:val="0"/>
          <w:sz w:val="44"/>
          <w:szCs w:val="44"/>
          <w:lang w:val="en-US" w:eastAsia="zh-CN" w:bidi="zh-CN"/>
        </w:rPr>
        <w:t>2</w:t>
      </w:r>
      <w:r>
        <w:rPr>
          <w:rFonts w:hint="eastAsia" w:ascii="方正小标宋_GBK" w:hAnsi="仿宋" w:eastAsia="方正小标宋_GBK" w:cs="仿宋"/>
          <w:kern w:val="0"/>
          <w:sz w:val="44"/>
          <w:szCs w:val="44"/>
          <w:lang w:val="zh-CN" w:eastAsia="zh-CN" w:bidi="zh-CN"/>
        </w:rPr>
        <w:t>年版）</w:t>
      </w:r>
    </w:p>
    <w:p>
      <w:pPr>
        <w:widowControl w:val="0"/>
        <w:autoSpaceDE w:val="0"/>
        <w:autoSpaceDN w:val="0"/>
        <w:spacing w:before="0" w:beforeLines="0" w:after="0" w:line="560" w:lineRule="exact"/>
        <w:ind w:left="0" w:right="0"/>
        <w:jc w:val="left"/>
        <w:rPr>
          <w:rFonts w:hint="eastAsia" w:ascii="黑体" w:hAnsi="仿宋" w:eastAsia="黑体" w:cs="仿宋"/>
          <w:kern w:val="0"/>
          <w:sz w:val="32"/>
          <w:szCs w:val="32"/>
          <w:lang w:val="en-US" w:eastAsia="zh-CN" w:bidi="zh-CN"/>
        </w:rPr>
      </w:pPr>
      <w:bookmarkStart w:id="0" w:name="_Toc5218"/>
    </w:p>
    <w:p>
      <w:pPr>
        <w:widowControl w:val="0"/>
        <w:autoSpaceDE w:val="0"/>
        <w:autoSpaceDN w:val="0"/>
        <w:spacing w:before="0" w:beforeLines="0" w:after="0" w:line="560" w:lineRule="exact"/>
        <w:ind w:left="0" w:right="0"/>
        <w:jc w:val="left"/>
        <w:rPr>
          <w:rFonts w:hint="eastAsia" w:ascii="黑体" w:hAnsi="仿宋" w:eastAsia="黑体" w:cs="仿宋"/>
          <w:kern w:val="0"/>
          <w:sz w:val="32"/>
          <w:szCs w:val="32"/>
          <w:lang w:val="zh-CN" w:eastAsia="zh-CN" w:bidi="zh-CN"/>
        </w:rPr>
      </w:pPr>
      <w:r>
        <w:rPr>
          <w:rFonts w:hint="eastAsia" w:ascii="黑体" w:hAnsi="仿宋" w:eastAsia="黑体" w:cs="仿宋"/>
          <w:kern w:val="0"/>
          <w:sz w:val="32"/>
          <w:szCs w:val="32"/>
          <w:lang w:val="en-US" w:eastAsia="zh-CN" w:bidi="zh-CN"/>
        </w:rPr>
        <w:t>1.</w:t>
      </w:r>
      <w:r>
        <w:rPr>
          <w:rFonts w:hint="eastAsia" w:ascii="黑体" w:hAnsi="仿宋" w:eastAsia="黑体" w:cs="仿宋"/>
          <w:kern w:val="0"/>
          <w:sz w:val="32"/>
          <w:szCs w:val="32"/>
          <w:lang w:val="zh-CN" w:eastAsia="zh-CN" w:bidi="zh-CN"/>
        </w:rPr>
        <w:t>咨询服务项目分类</w:t>
      </w:r>
      <w:bookmarkEnd w:id="0"/>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zh-CN" w:eastAsia="zh-CN" w:bidi="zh-CN"/>
        </w:rPr>
      </w:pPr>
      <w:r>
        <w:rPr>
          <w:rFonts w:hint="eastAsia" w:ascii="仿宋" w:hAnsi="仿宋" w:eastAsia="仿宋" w:cs="仿宋"/>
          <w:spacing w:val="-5"/>
          <w:w w:val="95"/>
          <w:kern w:val="0"/>
          <w:sz w:val="32"/>
          <w:szCs w:val="32"/>
          <w:lang w:val="en-US" w:eastAsia="zh-CN" w:bidi="zh-CN"/>
        </w:rPr>
        <w:t>1.1 本标准中的咨询服务项目是指南方电网公司管理的软课题（含重点课题、重大研究专项等）、围绕南方电网公司能源发展、科技咨询、设备管理、电网运行、供应链管理等开展的技术服务以及其他管理咨询类项目</w:t>
      </w:r>
      <w:r>
        <w:rPr>
          <w:rFonts w:hint="eastAsia" w:ascii="仿宋" w:hAnsi="仿宋" w:eastAsia="仿宋" w:cs="仿宋"/>
          <w:spacing w:val="-5"/>
          <w:w w:val="95"/>
          <w:kern w:val="0"/>
          <w:sz w:val="32"/>
          <w:szCs w:val="32"/>
          <w:lang w:val="zh-CN" w:eastAsia="zh-CN" w:bidi="zh-CN"/>
        </w:rPr>
        <w:t>。</w:t>
      </w:r>
    </w:p>
    <w:p>
      <w:pPr>
        <w:widowControl w:val="0"/>
        <w:autoSpaceDE w:val="0"/>
        <w:autoSpaceDN w:val="0"/>
        <w:spacing w:before="0" w:beforeLines="0" w:after="0" w:line="560" w:lineRule="exact"/>
        <w:ind w:left="0" w:right="0" w:firstLine="631"/>
        <w:jc w:val="both"/>
        <w:rPr>
          <w:rFonts w:hint="default"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1.2 本标准适用于南方电网公司总部委托内部共享平台企业开展的软课题（含重点课题、重大研究专项等）、技术服务以及其他管理咨询类项目，各分子公司委托内部共享平台企业开展的同类项目可参照使用。</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 xml:space="preserve">1.3 </w:t>
      </w:r>
      <w:r>
        <w:rPr>
          <w:rFonts w:hint="eastAsia" w:ascii="仿宋" w:hAnsi="仿宋" w:eastAsia="仿宋" w:cs="仿宋"/>
          <w:spacing w:val="-5"/>
          <w:w w:val="95"/>
          <w:kern w:val="0"/>
          <w:sz w:val="32"/>
          <w:szCs w:val="32"/>
          <w:lang w:val="zh-CN" w:eastAsia="zh-CN" w:bidi="zh-CN"/>
        </w:rPr>
        <w:t>电力规划、工程项目评审、工程造价咨询、科技创新、管理创新、信息化（数字化）等项目预算编制应使用国家、行业或南方电网公司发布的相关规定。</w:t>
      </w:r>
    </w:p>
    <w:p>
      <w:pPr>
        <w:widowControl w:val="0"/>
        <w:autoSpaceDE w:val="0"/>
        <w:autoSpaceDN w:val="0"/>
        <w:spacing w:before="0" w:beforeLines="0" w:after="0" w:line="560" w:lineRule="exact"/>
        <w:ind w:left="0" w:right="0"/>
        <w:jc w:val="left"/>
        <w:rPr>
          <w:rFonts w:hint="eastAsia" w:ascii="黑体" w:hAnsi="仿宋" w:eastAsia="黑体" w:cs="仿宋"/>
          <w:kern w:val="0"/>
          <w:sz w:val="32"/>
          <w:szCs w:val="32"/>
          <w:lang w:val="en-US" w:eastAsia="zh-CN" w:bidi="zh-CN"/>
        </w:rPr>
      </w:pPr>
      <w:bookmarkStart w:id="1" w:name="_Toc22868"/>
      <w:r>
        <w:rPr>
          <w:rFonts w:hint="eastAsia" w:ascii="黑体" w:hAnsi="仿宋" w:eastAsia="黑体" w:cs="仿宋"/>
          <w:kern w:val="0"/>
          <w:sz w:val="32"/>
          <w:szCs w:val="32"/>
          <w:lang w:val="en-US" w:eastAsia="zh-CN" w:bidi="zh-CN"/>
        </w:rPr>
        <w:t>2.咨询服务项目预算费用</w:t>
      </w:r>
      <w:bookmarkEnd w:id="1"/>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bookmarkStart w:id="2" w:name="_Toc19485"/>
      <w:r>
        <w:rPr>
          <w:rFonts w:hint="eastAsia" w:ascii="仿宋" w:hAnsi="仿宋" w:eastAsia="仿宋" w:cs="仿宋"/>
          <w:spacing w:val="-5"/>
          <w:w w:val="95"/>
          <w:kern w:val="0"/>
          <w:sz w:val="32"/>
          <w:szCs w:val="32"/>
          <w:lang w:val="en-US" w:eastAsia="zh-CN" w:bidi="zh-CN"/>
        </w:rPr>
        <w:t>2.1 项目预算费用构成</w:t>
      </w:r>
      <w:bookmarkEnd w:id="2"/>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2.1.1 咨询服务项目预算是指开展项目工作过程中发生的与本项目有关的费用总和，包含综合人工费和其他费用两部分，其中综合人工费包含直接人工费、企业管理费、利润分摊和税金分摊，其他费用包括差旅费、出版/文献/信息传播/知识产权事务费、会议费、专家咨询费、培训费、其他专项费用等，即项目预算＝（高级工日人工综合单价×高级工日＋中级工日人工综合单价×中级工日）×项目复杂系数＋其他费用。</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2.1.2 项目复杂系数（P值）是指根据咨询服务项目开展过程中的复杂程度在综合人工费的基础上所赋的调整系数，复杂系数取值区间为0.8-1.2（复杂系数取值小于1的项目主要为会议组织、培训班承办等支撑服务，复杂系数取值大于1的项目主要为公司管理的软课题（含重点课题、重大研究专项等））。</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2.1.2 高级工指的是具有副教授、副研究员、高级工程师、高级经济师等职称及以上的人员，通过国家相关资质考试（如注册电气工程师、注册会计师、注册造价工程师、咨询工程师、注册监理师、资产评估师等）的人员等同于高级工。中级工指的是中、初级研究人员及其他技术人员。</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 xml:space="preserve">2.1.3 </w:t>
      </w:r>
      <w:r>
        <w:rPr>
          <w:rFonts w:hint="eastAsia" w:ascii="仿宋" w:hAnsi="仿宋" w:eastAsia="仿宋" w:cs="仿宋"/>
          <w:spacing w:val="-5"/>
          <w:w w:val="95"/>
          <w:kern w:val="0"/>
          <w:sz w:val="32"/>
          <w:szCs w:val="32"/>
          <w:lang w:val="en-US" w:eastAsia="zh-CN" w:bidi="zh-CN"/>
        </w:rPr>
        <w:fldChar w:fldCharType="begin"/>
      </w:r>
      <w:r>
        <w:rPr>
          <w:rFonts w:hint="eastAsia" w:ascii="仿宋" w:hAnsi="仿宋" w:eastAsia="仿宋" w:cs="仿宋"/>
          <w:spacing w:val="-5"/>
          <w:w w:val="95"/>
          <w:kern w:val="0"/>
          <w:sz w:val="32"/>
          <w:szCs w:val="32"/>
          <w:lang w:val="en-US" w:eastAsia="zh-CN" w:bidi="zh-CN"/>
        </w:rPr>
        <w:instrText xml:space="preserve"> HYPERLINK "https://baike.baidu.com/item/%E5%B7%A5%E6%97%A5/11026048" \t "https://baike.baidu.com/item/%E5%B7%A5%E6%97%A5/_blank" </w:instrText>
      </w:r>
      <w:r>
        <w:rPr>
          <w:rFonts w:hint="eastAsia" w:ascii="仿宋" w:hAnsi="仿宋" w:eastAsia="仿宋" w:cs="仿宋"/>
          <w:spacing w:val="-5"/>
          <w:w w:val="95"/>
          <w:kern w:val="0"/>
          <w:sz w:val="32"/>
          <w:szCs w:val="32"/>
          <w:lang w:val="en-US" w:eastAsia="zh-CN" w:bidi="zh-CN"/>
        </w:rPr>
        <w:fldChar w:fldCharType="separate"/>
      </w:r>
      <w:r>
        <w:rPr>
          <w:rFonts w:hint="default" w:ascii="仿宋" w:hAnsi="仿宋" w:eastAsia="仿宋" w:cs="仿宋"/>
          <w:spacing w:val="-5"/>
          <w:w w:val="95"/>
          <w:kern w:val="0"/>
          <w:sz w:val="32"/>
          <w:szCs w:val="32"/>
          <w:lang w:val="en-US" w:eastAsia="zh-CN" w:bidi="zh-CN"/>
        </w:rPr>
        <w:t>工日</w:t>
      </w:r>
      <w:r>
        <w:rPr>
          <w:rFonts w:hint="default" w:ascii="仿宋" w:hAnsi="仿宋" w:eastAsia="仿宋" w:cs="仿宋"/>
          <w:spacing w:val="-5"/>
          <w:w w:val="95"/>
          <w:kern w:val="0"/>
          <w:sz w:val="32"/>
          <w:szCs w:val="32"/>
          <w:lang w:val="en-US" w:eastAsia="zh-CN" w:bidi="zh-CN"/>
        </w:rPr>
        <w:fldChar w:fldCharType="end"/>
      </w:r>
      <w:r>
        <w:rPr>
          <w:rFonts w:hint="default" w:ascii="仿宋" w:hAnsi="仿宋" w:eastAsia="仿宋" w:cs="仿宋"/>
          <w:spacing w:val="-5"/>
          <w:w w:val="95"/>
          <w:kern w:val="0"/>
          <w:sz w:val="32"/>
          <w:szCs w:val="32"/>
          <w:lang w:val="en-US" w:eastAsia="zh-CN" w:bidi="zh-CN"/>
        </w:rPr>
        <w:t>是</w:t>
      </w:r>
      <w:r>
        <w:rPr>
          <w:rFonts w:hint="eastAsia" w:ascii="仿宋" w:hAnsi="仿宋" w:eastAsia="仿宋" w:cs="仿宋"/>
          <w:spacing w:val="-5"/>
          <w:w w:val="95"/>
          <w:kern w:val="0"/>
          <w:sz w:val="32"/>
          <w:szCs w:val="32"/>
          <w:lang w:val="en-US" w:eastAsia="zh-CN" w:bidi="zh-CN"/>
        </w:rPr>
        <w:t>统计项目</w:t>
      </w:r>
      <w:r>
        <w:rPr>
          <w:rFonts w:hint="default" w:ascii="仿宋" w:hAnsi="仿宋" w:eastAsia="仿宋" w:cs="仿宋"/>
          <w:spacing w:val="-5"/>
          <w:w w:val="95"/>
          <w:kern w:val="0"/>
          <w:sz w:val="32"/>
          <w:szCs w:val="32"/>
          <w:lang w:val="en-US" w:eastAsia="zh-CN" w:bidi="zh-CN"/>
        </w:rPr>
        <w:t>人工费的</w:t>
      </w:r>
      <w:r>
        <w:rPr>
          <w:rFonts w:hint="eastAsia" w:ascii="仿宋" w:hAnsi="仿宋" w:eastAsia="仿宋" w:cs="仿宋"/>
          <w:spacing w:val="-5"/>
          <w:w w:val="95"/>
          <w:kern w:val="0"/>
          <w:sz w:val="32"/>
          <w:szCs w:val="32"/>
          <w:lang w:val="en-US" w:eastAsia="zh-CN" w:bidi="zh-CN"/>
        </w:rPr>
        <w:t>依据</w:t>
      </w:r>
      <w:r>
        <w:rPr>
          <w:rFonts w:hint="default" w:ascii="仿宋" w:hAnsi="仿宋" w:eastAsia="仿宋" w:cs="仿宋"/>
          <w:spacing w:val="-5"/>
          <w:w w:val="95"/>
          <w:kern w:val="0"/>
          <w:sz w:val="32"/>
          <w:szCs w:val="32"/>
          <w:lang w:val="en-US" w:eastAsia="zh-CN" w:bidi="zh-CN"/>
        </w:rPr>
        <w:t>，按照我国劳动法的规定，一个工作日的工作时间为8小时。</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2.1.4 直接人工费指的是指直接从事项目咨询服务工作人员的基本工资、绩效工资、工资性津贴和补贴、职工福利费、人力储备费以及企业绩效调整费用等。</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2.1.5 企业管理费是指与咨询服务项目相关的经营管理工作所发生的各项费用。</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2.1.6 利润是指咨询服务提供单位完成相应的咨询服务工作而获得的合理盈利。</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2.1.7 税金是指按照国家税法规定应计入咨询服务项目成本内的增值税、城市维护建设税及教育费附加等。</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2.1.8 差旅费是指项目开展过程中的因调研、收资、参加技术交流会议等工作而产生的差旅费用，包括交通费、住宿费、餐补等费用。</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2.1.9 出版/文献/信息传播/知识产权事务费是指在项目开展过程中，需要支付的出版印刷费、资料费、文献检索及查新费、论文出版费、论著出版费、视频制作费、知识产权事务费、其他出版/文献/信息传播费等费用。其中，资料费可列支资料复印、书籍购买、翻译等费用；知识产权费可列支知识产权申请、授权过程中产生的费用以及新增专利（软著）价值评估费等费用；其他出版/文献/信息传播费可列支专业通信费、数据资源使用费等费用。</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2.1.10 会议费是指项目委托方根据南方电网公司有关规定，对项目的成果进行评审验收所发生的费用，包括会议场地租赁费，会议资料费等。</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2.1.11 专家咨询费是指支付给参与项目成果评审专家的劳务报酬。</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2.1.12 培训费是指项目开展过程中应委托方要求，被委托方向委托方相关人员对技术服务成果进行宣贯培训过程中所发生的场地租用、讲义出版等相关费用。</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2.1.13 其他专项费用是指项目在开展过程中需要委托第三方完成的专项工作，如委托外部单位开展的设备检验检测、系统接口开发、系统运维等。</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bookmarkStart w:id="3" w:name="_Toc10002"/>
      <w:r>
        <w:rPr>
          <w:rFonts w:hint="eastAsia" w:ascii="仿宋" w:hAnsi="仿宋" w:eastAsia="仿宋" w:cs="仿宋"/>
          <w:spacing w:val="-5"/>
          <w:w w:val="95"/>
          <w:kern w:val="0"/>
          <w:sz w:val="32"/>
          <w:szCs w:val="32"/>
          <w:lang w:val="en-US" w:eastAsia="zh-CN" w:bidi="zh-CN"/>
        </w:rPr>
        <w:t>2.2 咨询服务项目的工日</w:t>
      </w:r>
      <w:bookmarkEnd w:id="3"/>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对于常态化开展的项目，可参考以往项目实际发生的工日或者同类项目工日计列，对于新立项的项目，其工日由委托方和承接方双方核定。</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bookmarkStart w:id="4" w:name="_Toc21431"/>
      <w:r>
        <w:rPr>
          <w:rFonts w:hint="eastAsia" w:ascii="仿宋" w:hAnsi="仿宋" w:eastAsia="仿宋" w:cs="仿宋"/>
          <w:spacing w:val="-5"/>
          <w:w w:val="95"/>
          <w:kern w:val="0"/>
          <w:sz w:val="32"/>
          <w:szCs w:val="32"/>
          <w:lang w:val="en-US" w:eastAsia="zh-CN" w:bidi="zh-CN"/>
        </w:rPr>
        <w:t xml:space="preserve">2.3 </w:t>
      </w:r>
      <w:bookmarkStart w:id="8" w:name="_GoBack"/>
      <w:r>
        <w:rPr>
          <w:rFonts w:hint="eastAsia" w:ascii="仿宋" w:hAnsi="仿宋" w:eastAsia="仿宋" w:cs="仿宋"/>
          <w:spacing w:val="-5"/>
          <w:w w:val="95"/>
          <w:kern w:val="0"/>
          <w:sz w:val="32"/>
          <w:szCs w:val="32"/>
          <w:lang w:val="en-US" w:eastAsia="zh-CN" w:bidi="zh-CN"/>
        </w:rPr>
        <w:t>人工综合单价</w:t>
      </w:r>
      <w:bookmarkEnd w:id="4"/>
      <w:bookmarkEnd w:id="8"/>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人工综合单价包含直接人工费、企业管理费分摊、利润分摊和税金分摊，以“成本＋合理收益＋税金”的原则，以政府部门发布的统计数据为基础，按照咨询服务项目分类分别测算人工费综合单价（见表1），对于部分成果影响大、开展难度高、涉密性强的项目，可采用询价方式确定项目咨询服务费用。</w:t>
      </w:r>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bookmarkStart w:id="5" w:name="_Toc20206"/>
      <w:r>
        <w:rPr>
          <w:rFonts w:hint="eastAsia" w:ascii="仿宋" w:hAnsi="仿宋" w:eastAsia="仿宋" w:cs="仿宋"/>
          <w:spacing w:val="-5"/>
          <w:w w:val="95"/>
          <w:kern w:val="0"/>
          <w:sz w:val="32"/>
          <w:szCs w:val="32"/>
          <w:lang w:val="en-US" w:eastAsia="zh-CN" w:bidi="zh-CN"/>
        </w:rPr>
        <w:t>2.4 其他费用</w:t>
      </w:r>
      <w:bookmarkEnd w:id="5"/>
    </w:p>
    <w:p>
      <w:pPr>
        <w:widowControl w:val="0"/>
        <w:autoSpaceDE w:val="0"/>
        <w:autoSpaceDN w:val="0"/>
        <w:spacing w:before="0" w:beforeLines="0" w:after="0" w:line="560" w:lineRule="exact"/>
        <w:ind w:left="0" w:right="0"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其他费用是指为完成项目服务工作所必需的不属于直接人工费、企业管理费的其他相关费用，包括差旅费、出版/文献/信息传播/知识产权事务费、会议费、专家咨询费、培训费等，计算公式为：其他费用＝差旅费＋出版/文献/信息传播/知识产权事务费＋会议费＋专家咨询费＋培训费＋其他专项费用，其他费用所包含的各项费用均为含税费用，其他费用计算标准参考南方电网公司相关规定。</w:t>
      </w:r>
    </w:p>
    <w:p>
      <w:pPr>
        <w:widowControl w:val="0"/>
        <w:autoSpaceDE w:val="0"/>
        <w:autoSpaceDN w:val="0"/>
        <w:spacing w:before="0" w:after="36" w:line="408" w:lineRule="exact"/>
        <w:ind w:left="1057" w:right="0" w:firstLine="562" w:firstLineChars="200"/>
        <w:jc w:val="both"/>
        <w:rPr>
          <w:rFonts w:ascii="仿宋" w:hAnsi="仿宋" w:eastAsia="仿宋" w:cs="仿宋"/>
          <w:b/>
          <w:kern w:val="0"/>
          <w:sz w:val="28"/>
          <w:szCs w:val="22"/>
          <w:lang w:val="zh-CN" w:bidi="zh-CN"/>
        </w:rPr>
      </w:pPr>
      <w:r>
        <w:rPr>
          <w:rFonts w:hint="eastAsia" w:ascii="仿宋" w:hAnsi="仿宋" w:eastAsia="仿宋" w:cs="仿宋"/>
          <w:b/>
          <w:kern w:val="0"/>
          <w:sz w:val="28"/>
          <w:szCs w:val="22"/>
          <w:lang w:val="zh-CN" w:bidi="zh-CN"/>
        </w:rPr>
        <w:t>表</w:t>
      </w:r>
      <w:r>
        <w:rPr>
          <w:rFonts w:hint="eastAsia" w:ascii="仿宋" w:hAnsi="仿宋" w:eastAsia="仿宋" w:cs="仿宋"/>
          <w:b/>
          <w:kern w:val="0"/>
          <w:sz w:val="28"/>
          <w:szCs w:val="22"/>
          <w:lang w:val="en-US" w:eastAsia="zh-CN" w:bidi="zh-CN"/>
        </w:rPr>
        <w:t>1</w:t>
      </w:r>
      <w:r>
        <w:rPr>
          <w:rFonts w:ascii="仿宋" w:hAnsi="仿宋" w:eastAsia="仿宋" w:cs="仿宋"/>
          <w:b/>
          <w:kern w:val="0"/>
          <w:sz w:val="28"/>
          <w:szCs w:val="22"/>
          <w:lang w:val="zh-CN" w:bidi="zh-CN"/>
        </w:rPr>
        <w:t xml:space="preserve"> </w:t>
      </w:r>
      <w:r>
        <w:rPr>
          <w:rFonts w:hint="eastAsia" w:ascii="仿宋" w:hAnsi="仿宋" w:eastAsia="仿宋" w:cs="仿宋"/>
          <w:b/>
          <w:kern w:val="0"/>
          <w:sz w:val="28"/>
          <w:szCs w:val="22"/>
          <w:lang w:val="zh-CN" w:bidi="zh-CN"/>
        </w:rPr>
        <w:t>咨询服务项目人工综合单价表</w:t>
      </w:r>
    </w:p>
    <w:tbl>
      <w:tblPr>
        <w:tblStyle w:val="11"/>
        <w:tblW w:w="8447" w:type="dxa"/>
        <w:tblInd w:w="-5" w:type="dxa"/>
        <w:tblLayout w:type="fixed"/>
        <w:tblCellMar>
          <w:top w:w="0" w:type="dxa"/>
          <w:left w:w="108" w:type="dxa"/>
          <w:bottom w:w="0" w:type="dxa"/>
          <w:right w:w="108" w:type="dxa"/>
        </w:tblCellMar>
      </w:tblPr>
      <w:tblGrid>
        <w:gridCol w:w="1034"/>
        <w:gridCol w:w="1963"/>
        <w:gridCol w:w="1200"/>
        <w:gridCol w:w="1213"/>
        <w:gridCol w:w="3037"/>
      </w:tblGrid>
      <w:tr>
        <w:tblPrEx>
          <w:tblCellMar>
            <w:top w:w="0" w:type="dxa"/>
            <w:left w:w="108" w:type="dxa"/>
            <w:bottom w:w="0" w:type="dxa"/>
            <w:right w:w="108" w:type="dxa"/>
          </w:tblCellMar>
        </w:tblPrEx>
        <w:trPr>
          <w:trHeight w:val="397" w:hRule="atLeast"/>
          <w:tblHeader/>
        </w:trPr>
        <w:tc>
          <w:tcPr>
            <w:tcW w:w="10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项目</w:t>
            </w:r>
          </w:p>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分类</w:t>
            </w:r>
          </w:p>
        </w:tc>
        <w:tc>
          <w:tcPr>
            <w:tcW w:w="19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子类</w:t>
            </w:r>
          </w:p>
        </w:tc>
        <w:tc>
          <w:tcPr>
            <w:tcW w:w="545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人工综合单价（元/工日）</w:t>
            </w:r>
          </w:p>
        </w:tc>
      </w:tr>
      <w:tr>
        <w:tblPrEx>
          <w:tblCellMar>
            <w:top w:w="0" w:type="dxa"/>
            <w:left w:w="108" w:type="dxa"/>
            <w:bottom w:w="0" w:type="dxa"/>
            <w:right w:w="108" w:type="dxa"/>
          </w:tblCellMar>
        </w:tblPrEx>
        <w:trPr>
          <w:trHeight w:val="417" w:hRule="atLeast"/>
          <w:tblHeader/>
        </w:trPr>
        <w:tc>
          <w:tcPr>
            <w:tcW w:w="1034"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b/>
                <w:bCs/>
                <w:color w:val="000000"/>
                <w:kern w:val="0"/>
                <w:sz w:val="24"/>
                <w:szCs w:val="24"/>
                <w:highlight w:val="none"/>
              </w:rPr>
            </w:pPr>
          </w:p>
        </w:tc>
        <w:tc>
          <w:tcPr>
            <w:tcW w:w="1963"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b/>
                <w:bCs/>
                <w:color w:val="000000"/>
                <w:kern w:val="0"/>
                <w:sz w:val="24"/>
                <w:szCs w:val="24"/>
                <w:highlight w:val="none"/>
              </w:rPr>
            </w:pPr>
          </w:p>
        </w:tc>
        <w:tc>
          <w:tcPr>
            <w:tcW w:w="120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高级工日</w:t>
            </w:r>
          </w:p>
        </w:tc>
        <w:tc>
          <w:tcPr>
            <w:tcW w:w="1213"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lang w:eastAsia="zh-CN"/>
              </w:rPr>
            </w:pPr>
            <w:r>
              <w:rPr>
                <w:rFonts w:hint="eastAsia" w:ascii="仿宋" w:hAnsi="仿宋" w:eastAsia="仿宋" w:cs="仿宋"/>
                <w:b/>
                <w:bCs/>
                <w:color w:val="000000"/>
                <w:kern w:val="0"/>
                <w:sz w:val="24"/>
                <w:szCs w:val="24"/>
                <w:highlight w:val="none"/>
              </w:rPr>
              <w:t>中级工</w:t>
            </w:r>
            <w:r>
              <w:rPr>
                <w:rFonts w:hint="eastAsia" w:ascii="仿宋" w:hAnsi="仿宋" w:eastAsia="仿宋" w:cs="仿宋"/>
                <w:b/>
                <w:bCs/>
                <w:color w:val="000000"/>
                <w:kern w:val="0"/>
                <w:sz w:val="24"/>
                <w:szCs w:val="24"/>
                <w:highlight w:val="none"/>
                <w:lang w:eastAsia="zh-CN"/>
              </w:rPr>
              <w:t>日</w:t>
            </w:r>
          </w:p>
        </w:tc>
        <w:tc>
          <w:tcPr>
            <w:tcW w:w="3037"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lang w:eastAsia="zh-CN"/>
              </w:rPr>
            </w:pPr>
            <w:r>
              <w:rPr>
                <w:rFonts w:hint="eastAsia" w:ascii="仿宋" w:hAnsi="仿宋" w:eastAsia="仿宋" w:cs="仿宋"/>
                <w:b/>
                <w:bCs/>
                <w:color w:val="000000"/>
                <w:kern w:val="0"/>
                <w:sz w:val="24"/>
                <w:szCs w:val="24"/>
                <w:highlight w:val="none"/>
                <w:lang w:eastAsia="zh-CN"/>
              </w:rPr>
              <w:t>备注</w:t>
            </w:r>
          </w:p>
        </w:tc>
      </w:tr>
      <w:tr>
        <w:tblPrEx>
          <w:tblCellMar>
            <w:top w:w="0" w:type="dxa"/>
            <w:left w:w="108" w:type="dxa"/>
            <w:bottom w:w="0" w:type="dxa"/>
            <w:right w:w="108" w:type="dxa"/>
          </w:tblCellMar>
        </w:tblPrEx>
        <w:trPr>
          <w:trHeight w:val="1002" w:hRule="atLeast"/>
        </w:trPr>
        <w:tc>
          <w:tcPr>
            <w:tcW w:w="103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咨询服务</w:t>
            </w:r>
            <w:r>
              <w:rPr>
                <w:rFonts w:hint="eastAsia" w:ascii="仿宋" w:hAnsi="仿宋" w:eastAsia="仿宋" w:cs="仿宋"/>
                <w:color w:val="000000"/>
                <w:kern w:val="0"/>
                <w:sz w:val="24"/>
                <w:szCs w:val="24"/>
                <w:highlight w:val="none"/>
                <w:lang w:eastAsia="zh-CN"/>
              </w:rPr>
              <w:t>项目</w:t>
            </w: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lang w:val="en-US" w:eastAsia="zh-CN"/>
              </w:rPr>
              <w:t>软课题（含重点课题、重大研究专项等）</w:t>
            </w:r>
          </w:p>
        </w:tc>
        <w:tc>
          <w:tcPr>
            <w:tcW w:w="1200" w:type="dxa"/>
            <w:vMerge w:val="restart"/>
            <w:tcBorders>
              <w:top w:val="nil"/>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4660</w:t>
            </w:r>
          </w:p>
        </w:tc>
        <w:tc>
          <w:tcPr>
            <w:tcW w:w="1213" w:type="dxa"/>
            <w:vMerge w:val="restart"/>
            <w:tcBorders>
              <w:top w:val="nil"/>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rPr>
              <w:t>3580</w:t>
            </w:r>
          </w:p>
        </w:tc>
        <w:tc>
          <w:tcPr>
            <w:tcW w:w="3037" w:type="dxa"/>
            <w:vMerge w:val="restart"/>
            <w:tcBorders>
              <w:top w:val="nil"/>
              <w:left w:val="single" w:color="auto" w:sz="4" w:space="0"/>
              <w:right w:val="single" w:color="auto" w:sz="4" w:space="0"/>
            </w:tcBorders>
            <w:shd w:val="clear" w:color="auto" w:fill="auto"/>
            <w:vAlign w:val="center"/>
          </w:tcPr>
          <w:p>
            <w:pPr>
              <w:widowControl/>
              <w:numPr>
                <w:ilvl w:val="0"/>
                <w:numId w:val="0"/>
              </w:numPr>
              <w:spacing w:after="0" w:line="240" w:lineRule="auto"/>
              <w:jc w:val="both"/>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适用于南方电网公司总部委托内部共享平台企业开展的软课题（含重点课题、重大研究专项等）、技术服务以及其他管理咨询类项目，各分子公司委托内部共享平台企业开展的同类项目可参照使用。</w:t>
            </w:r>
          </w:p>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27" w:hRule="atLeast"/>
        </w:trPr>
        <w:tc>
          <w:tcPr>
            <w:tcW w:w="1034" w:type="dxa"/>
            <w:vMerge w:val="continue"/>
            <w:tcBorders>
              <w:left w:val="single" w:color="auto" w:sz="4" w:space="0"/>
              <w:right w:val="single" w:color="auto" w:sz="4" w:space="0"/>
            </w:tcBorders>
            <w:shd w:val="clear" w:color="auto" w:fill="auto"/>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eastAsia="zh-CN"/>
              </w:rPr>
              <w:t>能源</w:t>
            </w:r>
            <w:r>
              <w:rPr>
                <w:rFonts w:hint="eastAsia" w:ascii="仿宋" w:hAnsi="仿宋" w:eastAsia="仿宋" w:cs="仿宋"/>
                <w:color w:val="000000"/>
                <w:kern w:val="0"/>
                <w:sz w:val="24"/>
                <w:szCs w:val="24"/>
                <w:highlight w:val="none"/>
              </w:rPr>
              <w:t>发展</w:t>
            </w:r>
          </w:p>
        </w:tc>
        <w:tc>
          <w:tcPr>
            <w:tcW w:w="1200" w:type="dxa"/>
            <w:vMerge w:val="continue"/>
            <w:tcBorders>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shd w:val="clear" w:color="auto" w:fill="auto"/>
            <w:vAlign w:val="center"/>
          </w:tcPr>
          <w:p>
            <w:pPr>
              <w:widowControl/>
              <w:spacing w:after="0" w:line="240" w:lineRule="auto"/>
              <w:jc w:val="both"/>
              <w:rPr>
                <w:rFonts w:hint="eastAsia" w:ascii="仿宋" w:hAnsi="仿宋" w:eastAsia="仿宋" w:cs="仿宋"/>
                <w:color w:val="000000"/>
                <w:kern w:val="0"/>
                <w:sz w:val="24"/>
                <w:szCs w:val="24"/>
                <w:highlight w:val="none"/>
                <w:lang w:val="en-US" w:eastAsia="zh-CN"/>
              </w:rPr>
            </w:pPr>
          </w:p>
        </w:tc>
      </w:tr>
      <w:tr>
        <w:tblPrEx>
          <w:tblCellMar>
            <w:top w:w="0" w:type="dxa"/>
            <w:left w:w="108" w:type="dxa"/>
            <w:bottom w:w="0" w:type="dxa"/>
            <w:right w:w="108" w:type="dxa"/>
          </w:tblCellMar>
        </w:tblPrEx>
        <w:trPr>
          <w:trHeight w:val="45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rPr>
              <w:t>科技咨询</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3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rPr>
              <w:t>设备管理</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5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rPr>
              <w:t>电网运行</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5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供应链管理</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554"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其他管理咨询类</w:t>
            </w:r>
          </w:p>
        </w:tc>
        <w:tc>
          <w:tcPr>
            <w:tcW w:w="1200" w:type="dxa"/>
            <w:vMerge w:val="continue"/>
            <w:tcBorders>
              <w:left w:val="single" w:color="auto" w:sz="4" w:space="0"/>
              <w:bottom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bottom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bl>
    <w:p>
      <w:pPr>
        <w:widowControl w:val="0"/>
        <w:autoSpaceDE w:val="0"/>
        <w:autoSpaceDN w:val="0"/>
        <w:spacing w:before="55" w:after="0" w:line="240" w:lineRule="auto"/>
        <w:ind w:left="862" w:right="0"/>
        <w:jc w:val="left"/>
        <w:rPr>
          <w:rFonts w:hint="eastAsia" w:ascii="黑体" w:hAnsi="仿宋" w:eastAsia="黑体" w:cs="仿宋"/>
          <w:kern w:val="0"/>
          <w:sz w:val="32"/>
          <w:szCs w:val="32"/>
          <w:lang w:val="en-US" w:eastAsia="zh-CN" w:bidi="zh-CN"/>
        </w:rPr>
      </w:pPr>
    </w:p>
    <w:p>
      <w:pPr>
        <w:widowControl w:val="0"/>
        <w:autoSpaceDE w:val="0"/>
        <w:autoSpaceDN w:val="0"/>
        <w:spacing w:before="55" w:after="0" w:line="240" w:lineRule="auto"/>
        <w:ind w:left="862" w:right="0"/>
        <w:jc w:val="left"/>
        <w:rPr>
          <w:rFonts w:hint="eastAsia" w:ascii="黑体" w:hAnsi="仿宋" w:eastAsia="黑体" w:cs="仿宋"/>
          <w:kern w:val="0"/>
          <w:sz w:val="32"/>
          <w:szCs w:val="32"/>
          <w:lang w:val="en-US" w:eastAsia="zh-CN" w:bidi="zh-CN"/>
        </w:rPr>
      </w:pPr>
      <w:r>
        <w:rPr>
          <w:rFonts w:hint="eastAsia" w:ascii="黑体" w:hAnsi="仿宋" w:eastAsia="黑体" w:cs="仿宋"/>
          <w:kern w:val="0"/>
          <w:sz w:val="32"/>
          <w:szCs w:val="32"/>
          <w:lang w:val="en-US" w:eastAsia="zh-CN" w:bidi="zh-CN"/>
        </w:rPr>
        <w:t>3.调整机制</w:t>
      </w:r>
    </w:p>
    <w:p>
      <w:pPr>
        <w:widowControl w:val="0"/>
        <w:autoSpaceDE w:val="0"/>
        <w:autoSpaceDN w:val="0"/>
        <w:spacing w:before="174" w:after="0" w:line="338" w:lineRule="auto"/>
        <w:ind w:left="231" w:right="244"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人工综合单价（单位：元/工日）按照广东省统计局发布的科学研究与技术服务业国有企业平均工资增幅每年定期调整使用，不再单独发文，调整原则如下：</w:t>
      </w:r>
    </w:p>
    <w:p>
      <w:pPr>
        <w:pageBreakBefore w:val="0"/>
        <w:widowControl w:val="0"/>
        <w:kinsoku/>
        <w:wordWrap/>
        <w:overflowPunct/>
        <w:topLinePunct w:val="0"/>
        <w:autoSpaceDE/>
        <w:autoSpaceDN/>
        <w:bidi w:val="0"/>
        <w:adjustRightInd w:val="0"/>
        <w:snapToGrid w:val="0"/>
        <w:spacing w:line="360" w:lineRule="auto"/>
        <w:ind w:left="0" w:firstLine="420"/>
        <w:jc w:val="both"/>
        <w:textAlignment w:val="auto"/>
        <w:rPr>
          <w:rFonts w:hint="eastAsia" w:eastAsiaTheme="minorEastAsia"/>
          <w:sz w:val="24"/>
          <w:szCs w:val="32"/>
          <w:highlight w:val="none"/>
          <w:lang w:val="en-US" w:eastAsia="zh-CN"/>
        </w:rPr>
      </w:pPr>
      <w:r>
        <w:rPr>
          <w:rFonts w:hint="eastAsia"/>
          <w:position w:val="-10"/>
          <w:sz w:val="24"/>
          <w:szCs w:val="32"/>
          <w:highlight w:val="none"/>
          <w:lang w:val="en-US" w:eastAsia="zh-CN"/>
        </w:rPr>
        <w:pict>
          <v:shape id="_x0000_s1026" o:spid="_x0000_s1026" o:spt="75" type="#_x0000_t75" style="position:absolute;left:0pt;margin-left:170pt;margin-top:3.5pt;height:39.75pt;width:72pt;mso-wrap-distance-bottom:0pt;mso-wrap-distance-left:9pt;mso-wrap-distance-right:9pt;mso-wrap-distance-top:0pt;z-index:251660288;mso-width-relative:page;mso-height-relative:page;" o:ole="t" filled="f" o:preferrelative="t" stroked="f" coordsize="21600,21600">
            <v:path/>
            <v:fill on="f" focussize="0,0"/>
            <v:stroke on="f"/>
            <v:imagedata r:id="rId9" o:title=""/>
            <o:lock v:ext="edit" aspectratio="t"/>
            <w10:wrap type="square"/>
          </v:shape>
          <o:OLEObject Type="Embed" ProgID="Equation.KSEE3" ShapeID="_x0000_s1026" DrawAspect="Content" ObjectID="_1468075725" r:id="rId8">
            <o:LockedField>false</o:LockedField>
          </o:OLEObject>
        </w:pict>
      </w:r>
    </w:p>
    <w:p>
      <w:pPr>
        <w:tabs>
          <w:tab w:val="left" w:pos="1365"/>
        </w:tabs>
        <w:bidi w:val="0"/>
        <w:ind w:firstLine="480" w:firstLineChars="200"/>
        <w:jc w:val="left"/>
        <w:rPr>
          <w:rFonts w:hint="eastAsia"/>
          <w:sz w:val="24"/>
          <w:szCs w:val="32"/>
          <w:highlight w:val="none"/>
          <w:lang w:val="en-US" w:eastAsia="zh-CN"/>
        </w:rPr>
      </w:pPr>
    </w:p>
    <w:p>
      <w:pPr>
        <w:widowControl w:val="0"/>
        <w:autoSpaceDE w:val="0"/>
        <w:autoSpaceDN w:val="0"/>
        <w:spacing w:before="174" w:after="0" w:line="338" w:lineRule="auto"/>
        <w:ind w:left="231" w:right="244" w:firstLine="631"/>
        <w:jc w:val="both"/>
        <w:rPr>
          <w:rFonts w:hint="default" w:ascii="仿宋" w:hAnsi="仿宋" w:eastAsia="仿宋" w:cs="仿宋"/>
          <w:spacing w:val="-5"/>
          <w:w w:val="95"/>
          <w:kern w:val="0"/>
          <w:sz w:val="28"/>
          <w:szCs w:val="28"/>
          <w:lang w:val="en-US" w:eastAsia="zh-CN" w:bidi="zh-CN"/>
        </w:rPr>
      </w:pPr>
      <w:r>
        <w:rPr>
          <w:rFonts w:hint="eastAsia" w:ascii="仿宋" w:hAnsi="仿宋" w:eastAsia="仿宋" w:cs="仿宋"/>
          <w:spacing w:val="-5"/>
          <w:w w:val="95"/>
          <w:kern w:val="0"/>
          <w:sz w:val="28"/>
          <w:szCs w:val="28"/>
          <w:lang w:val="en-US" w:eastAsia="zh-CN" w:bidi="zh-CN"/>
        </w:rPr>
        <w:t>其中：P</w:t>
      </w:r>
      <w:r>
        <w:rPr>
          <w:rFonts w:hint="eastAsia" w:ascii="仿宋" w:hAnsi="仿宋" w:eastAsia="仿宋" w:cs="仿宋"/>
          <w:spacing w:val="-5"/>
          <w:w w:val="95"/>
          <w:kern w:val="0"/>
          <w:sz w:val="28"/>
          <w:szCs w:val="28"/>
          <w:vertAlign w:val="subscript"/>
          <w:lang w:val="en-US" w:eastAsia="zh-CN" w:bidi="zh-CN"/>
        </w:rPr>
        <w:t>i</w:t>
      </w:r>
      <w:r>
        <w:rPr>
          <w:rFonts w:hint="eastAsia" w:ascii="仿宋" w:hAnsi="仿宋" w:eastAsia="仿宋" w:cs="仿宋"/>
          <w:spacing w:val="-5"/>
          <w:w w:val="95"/>
          <w:kern w:val="0"/>
          <w:sz w:val="28"/>
          <w:szCs w:val="28"/>
          <w:lang w:val="en-US" w:eastAsia="zh-CN" w:bidi="zh-CN"/>
        </w:rPr>
        <w:t>为发布年度人工综合单价；P</w:t>
      </w:r>
      <w:r>
        <w:rPr>
          <w:rFonts w:hint="eastAsia" w:ascii="仿宋" w:hAnsi="仿宋" w:eastAsia="仿宋" w:cs="仿宋"/>
          <w:spacing w:val="-5"/>
          <w:w w:val="95"/>
          <w:kern w:val="0"/>
          <w:sz w:val="28"/>
          <w:szCs w:val="28"/>
          <w:vertAlign w:val="subscript"/>
          <w:lang w:val="en-US" w:eastAsia="zh-CN" w:bidi="zh-CN"/>
        </w:rPr>
        <w:t>i-1</w:t>
      </w:r>
      <w:r>
        <w:rPr>
          <w:rFonts w:hint="default" w:ascii="仿宋" w:hAnsi="仿宋" w:eastAsia="仿宋" w:cs="仿宋"/>
          <w:spacing w:val="-5"/>
          <w:w w:val="95"/>
          <w:kern w:val="0"/>
          <w:sz w:val="28"/>
          <w:szCs w:val="28"/>
          <w:lang w:val="en-US" w:eastAsia="zh-CN" w:bidi="zh-CN"/>
        </w:rPr>
        <w:t>为</w:t>
      </w:r>
      <w:r>
        <w:rPr>
          <w:rFonts w:hint="eastAsia" w:ascii="仿宋" w:hAnsi="仿宋" w:eastAsia="仿宋" w:cs="仿宋"/>
          <w:spacing w:val="-5"/>
          <w:w w:val="95"/>
          <w:kern w:val="0"/>
          <w:sz w:val="28"/>
          <w:szCs w:val="28"/>
          <w:lang w:val="en-US" w:eastAsia="zh-CN" w:bidi="zh-CN"/>
        </w:rPr>
        <w:t>上年度</w:t>
      </w:r>
      <w:r>
        <w:rPr>
          <w:rFonts w:hint="default" w:ascii="仿宋" w:hAnsi="仿宋" w:eastAsia="仿宋" w:cs="仿宋"/>
          <w:spacing w:val="-5"/>
          <w:w w:val="95"/>
          <w:kern w:val="0"/>
          <w:sz w:val="28"/>
          <w:szCs w:val="28"/>
          <w:lang w:val="en-US" w:eastAsia="zh-CN" w:bidi="zh-CN"/>
        </w:rPr>
        <w:t>人工综合单价；</w:t>
      </w:r>
      <w:r>
        <w:rPr>
          <w:rFonts w:hint="eastAsia" w:ascii="仿宋" w:hAnsi="仿宋" w:eastAsia="仿宋" w:cs="仿宋"/>
          <w:spacing w:val="-5"/>
          <w:w w:val="95"/>
          <w:kern w:val="0"/>
          <w:sz w:val="28"/>
          <w:szCs w:val="28"/>
          <w:lang w:val="en-US" w:eastAsia="zh-CN" w:bidi="zh-CN"/>
        </w:rPr>
        <w:t xml:space="preserve"> Q</w:t>
      </w:r>
      <w:r>
        <w:rPr>
          <w:rFonts w:hint="eastAsia" w:ascii="仿宋" w:hAnsi="仿宋" w:eastAsia="仿宋" w:cs="仿宋"/>
          <w:spacing w:val="-5"/>
          <w:w w:val="95"/>
          <w:kern w:val="0"/>
          <w:sz w:val="28"/>
          <w:szCs w:val="28"/>
          <w:vertAlign w:val="subscript"/>
          <w:lang w:val="en-US" w:eastAsia="zh-CN" w:bidi="zh-CN"/>
        </w:rPr>
        <w:t>i-1</w:t>
      </w:r>
      <w:r>
        <w:rPr>
          <w:rFonts w:hint="eastAsia" w:ascii="仿宋" w:hAnsi="仿宋" w:eastAsia="仿宋" w:cs="仿宋"/>
          <w:spacing w:val="-5"/>
          <w:w w:val="95"/>
          <w:kern w:val="0"/>
          <w:sz w:val="28"/>
          <w:szCs w:val="28"/>
          <w:lang w:val="en-US" w:eastAsia="zh-CN" w:bidi="zh-CN"/>
        </w:rPr>
        <w:t>为发布年上年度广东省科学研究与技术服务业国有企业年平均工资；</w:t>
      </w:r>
      <w:r>
        <w:rPr>
          <w:rFonts w:hint="default" w:ascii="仿宋" w:hAnsi="仿宋" w:eastAsia="仿宋" w:cs="仿宋"/>
          <w:spacing w:val="-5"/>
          <w:w w:val="95"/>
          <w:kern w:val="0"/>
          <w:sz w:val="28"/>
          <w:szCs w:val="28"/>
          <w:lang w:val="en-US" w:eastAsia="zh-CN" w:bidi="zh-CN"/>
        </w:rPr>
        <w:t>Q</w:t>
      </w:r>
      <w:r>
        <w:rPr>
          <w:rFonts w:hint="eastAsia" w:ascii="仿宋" w:hAnsi="仿宋" w:eastAsia="仿宋" w:cs="仿宋"/>
          <w:spacing w:val="-5"/>
          <w:w w:val="95"/>
          <w:kern w:val="0"/>
          <w:sz w:val="28"/>
          <w:szCs w:val="28"/>
          <w:vertAlign w:val="subscript"/>
          <w:lang w:val="en-US" w:eastAsia="zh-CN" w:bidi="zh-CN"/>
        </w:rPr>
        <w:t>i-2</w:t>
      </w:r>
      <w:r>
        <w:rPr>
          <w:rFonts w:hint="default" w:ascii="仿宋" w:hAnsi="仿宋" w:eastAsia="仿宋" w:cs="仿宋"/>
          <w:spacing w:val="-5"/>
          <w:w w:val="95"/>
          <w:kern w:val="0"/>
          <w:sz w:val="28"/>
          <w:szCs w:val="28"/>
          <w:lang w:val="en-US" w:eastAsia="zh-CN" w:bidi="zh-CN"/>
        </w:rPr>
        <w:t>为</w:t>
      </w:r>
      <w:r>
        <w:rPr>
          <w:rFonts w:hint="eastAsia" w:ascii="仿宋" w:hAnsi="仿宋" w:eastAsia="仿宋" w:cs="仿宋"/>
          <w:spacing w:val="-5"/>
          <w:w w:val="95"/>
          <w:kern w:val="0"/>
          <w:sz w:val="28"/>
          <w:szCs w:val="28"/>
          <w:lang w:val="en-US" w:eastAsia="zh-CN" w:bidi="zh-CN"/>
        </w:rPr>
        <w:t>发布年上上年度</w:t>
      </w:r>
      <w:r>
        <w:rPr>
          <w:rFonts w:hint="default" w:ascii="仿宋" w:hAnsi="仿宋" w:eastAsia="仿宋" w:cs="仿宋"/>
          <w:spacing w:val="-5"/>
          <w:w w:val="95"/>
          <w:kern w:val="0"/>
          <w:sz w:val="28"/>
          <w:szCs w:val="28"/>
          <w:lang w:val="en-US" w:eastAsia="zh-CN" w:bidi="zh-CN"/>
        </w:rPr>
        <w:t>广东省科学研究与技术服务业国有企业</w:t>
      </w:r>
      <w:r>
        <w:rPr>
          <w:rFonts w:hint="eastAsia" w:ascii="仿宋" w:hAnsi="仿宋" w:eastAsia="仿宋" w:cs="仿宋"/>
          <w:spacing w:val="-5"/>
          <w:w w:val="95"/>
          <w:kern w:val="0"/>
          <w:sz w:val="28"/>
          <w:szCs w:val="28"/>
          <w:lang w:val="en-US" w:eastAsia="zh-CN" w:bidi="zh-CN"/>
        </w:rPr>
        <w:t>年</w:t>
      </w:r>
      <w:r>
        <w:rPr>
          <w:rFonts w:hint="default" w:ascii="仿宋" w:hAnsi="仿宋" w:eastAsia="仿宋" w:cs="仿宋"/>
          <w:spacing w:val="-5"/>
          <w:w w:val="95"/>
          <w:kern w:val="0"/>
          <w:sz w:val="28"/>
          <w:szCs w:val="28"/>
          <w:lang w:val="en-US" w:eastAsia="zh-CN" w:bidi="zh-CN"/>
        </w:rPr>
        <w:t>平均工资</w:t>
      </w:r>
      <w:r>
        <w:rPr>
          <w:rFonts w:hint="eastAsia" w:ascii="仿宋" w:hAnsi="仿宋" w:eastAsia="仿宋" w:cs="仿宋"/>
          <w:spacing w:val="-5"/>
          <w:w w:val="95"/>
          <w:kern w:val="0"/>
          <w:sz w:val="28"/>
          <w:szCs w:val="28"/>
          <w:lang w:val="en-US" w:eastAsia="zh-CN" w:bidi="zh-CN"/>
        </w:rPr>
        <w:t>。</w:t>
      </w:r>
    </w:p>
    <w:p>
      <w:pPr>
        <w:tabs>
          <w:tab w:val="left" w:pos="1365"/>
        </w:tabs>
        <w:bidi w:val="0"/>
        <w:ind w:firstLine="480" w:firstLineChars="200"/>
        <w:jc w:val="left"/>
        <w:rPr>
          <w:rFonts w:hint="default"/>
          <w:sz w:val="24"/>
          <w:szCs w:val="32"/>
          <w:highlight w:val="none"/>
          <w:lang w:val="en-US" w:eastAsia="zh-CN"/>
        </w:rPr>
      </w:pPr>
    </w:p>
    <w:p>
      <w:pPr>
        <w:tabs>
          <w:tab w:val="left" w:pos="1365"/>
        </w:tabs>
        <w:bidi w:val="0"/>
        <w:ind w:firstLine="480" w:firstLineChars="200"/>
        <w:jc w:val="left"/>
        <w:rPr>
          <w:rFonts w:hint="default"/>
          <w:sz w:val="24"/>
          <w:szCs w:val="32"/>
          <w:highlight w:val="none"/>
          <w:lang w:val="en-US" w:eastAsia="zh-CN"/>
        </w:rPr>
        <w:sectPr>
          <w:footerReference r:id="rId5" w:type="default"/>
          <w:pgSz w:w="11906" w:h="16838"/>
          <w:pgMar w:top="1440" w:right="1800" w:bottom="1440" w:left="1800" w:header="851" w:footer="992" w:gutter="0"/>
          <w:pgNumType w:fmt="decimal"/>
          <w:cols w:space="425" w:num="1"/>
          <w:docGrid w:type="lines" w:linePitch="312" w:charSpace="0"/>
        </w:sectPr>
      </w:pPr>
    </w:p>
    <w:p>
      <w:pPr>
        <w:pStyle w:val="2"/>
        <w:numPr>
          <w:ilvl w:val="0"/>
          <w:numId w:val="1"/>
        </w:numPr>
        <w:spacing w:before="240" w:line="360" w:lineRule="auto"/>
        <w:jc w:val="both"/>
        <w:rPr>
          <w:rFonts w:hint="eastAsia" w:ascii="宋体" w:hAnsi="宋体" w:eastAsia="宋体" w:cs="宋体"/>
          <w:bCs w:val="0"/>
          <w:sz w:val="32"/>
          <w:szCs w:val="32"/>
          <w:highlight w:val="none"/>
        </w:rPr>
      </w:pPr>
      <w:bookmarkStart w:id="6" w:name="_Toc27842"/>
      <w:r>
        <w:rPr>
          <w:rFonts w:hint="eastAsia" w:ascii="宋体" w:hAnsi="宋体" w:eastAsia="宋体" w:cs="宋体"/>
          <w:bCs w:val="0"/>
          <w:sz w:val="32"/>
          <w:szCs w:val="32"/>
          <w:highlight w:val="none"/>
        </w:rPr>
        <w:t>咨询服务项目分类表</w:t>
      </w:r>
      <w:bookmarkEnd w:id="6"/>
    </w:p>
    <w:tbl>
      <w:tblPr>
        <w:tblStyle w:val="11"/>
        <w:tblW w:w="8425" w:type="dxa"/>
        <w:tblInd w:w="0" w:type="dxa"/>
        <w:tblLayout w:type="fixed"/>
        <w:tblCellMar>
          <w:top w:w="15" w:type="dxa"/>
          <w:left w:w="15" w:type="dxa"/>
          <w:bottom w:w="15" w:type="dxa"/>
          <w:right w:w="15" w:type="dxa"/>
        </w:tblCellMar>
      </w:tblPr>
      <w:tblGrid>
        <w:gridCol w:w="1341"/>
        <w:gridCol w:w="1393"/>
        <w:gridCol w:w="5691"/>
      </w:tblGrid>
      <w:tr>
        <w:tblPrEx>
          <w:tblCellMar>
            <w:top w:w="15" w:type="dxa"/>
            <w:left w:w="15" w:type="dxa"/>
            <w:bottom w:w="15" w:type="dxa"/>
            <w:right w:w="15" w:type="dxa"/>
          </w:tblCellMar>
        </w:tblPrEx>
        <w:trPr>
          <w:trHeight w:val="493" w:hRule="atLeast"/>
          <w:tblHeader/>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项目子类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内容</w:t>
            </w:r>
          </w:p>
        </w:tc>
      </w:tr>
      <w:tr>
        <w:tblPrEx>
          <w:tblCellMar>
            <w:top w:w="15" w:type="dxa"/>
            <w:left w:w="15" w:type="dxa"/>
            <w:bottom w:w="15" w:type="dxa"/>
            <w:right w:w="15" w:type="dxa"/>
          </w:tblCellMar>
        </w:tblPrEx>
        <w:trPr>
          <w:trHeight w:val="3128"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软课题（含重点课题、</w:t>
            </w:r>
          </w:p>
          <w:p>
            <w:pPr>
              <w:widowControl/>
              <w:spacing w:after="0" w:line="240" w:lineRule="auto"/>
              <w:jc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重大研究专项等）</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为深入贯彻党中央决策部署，落实公司党组决策部署，加快建设具有全球竞争力的世界一流企业，紧扣公司战略转型需要，开展的具有全局性、战略性、前瞻性的研究</w:t>
            </w:r>
            <w:r>
              <w:rPr>
                <w:rFonts w:hint="eastAsia" w:ascii="仿宋" w:hAnsi="仿宋" w:eastAsia="仿宋" w:cs="仿宋"/>
                <w:color w:val="000000"/>
                <w:kern w:val="0"/>
                <w:sz w:val="24"/>
                <w:szCs w:val="24"/>
                <w:highlight w:val="none"/>
                <w:lang w:val="en-US" w:eastAsia="zh-CN"/>
              </w:rPr>
              <w:t>课题。</w:t>
            </w:r>
            <w:r>
              <w:rPr>
                <w:rFonts w:hint="eastAsia" w:ascii="仿宋" w:hAnsi="仿宋" w:eastAsia="仿宋" w:cs="仿宋"/>
                <w:color w:val="000000"/>
                <w:kern w:val="0"/>
                <w:sz w:val="24"/>
                <w:szCs w:val="24"/>
                <w:highlight w:val="none"/>
                <w:lang w:eastAsia="zh-CN"/>
              </w:rPr>
              <w:t>主要聚焦宏观与区域经济、澜湄国家能源经济、国家能源政策、电力体制改革、发展战略与规划、企业改革、公司治理、数字化转型、管制业务发展、产业发展、国际化、资本运作、创新驱动、现代客户服务体系、人力资源、党的建设、企业文化与品牌建设、纪检监察和监督体系等方面的重点难点问题，明确理论和实践问题研究方向。</w:t>
            </w:r>
          </w:p>
        </w:tc>
      </w:tr>
      <w:tr>
        <w:tblPrEx>
          <w:tblCellMar>
            <w:top w:w="15" w:type="dxa"/>
            <w:left w:w="15" w:type="dxa"/>
            <w:bottom w:w="15" w:type="dxa"/>
            <w:right w:w="15" w:type="dxa"/>
          </w:tblCellMar>
        </w:tblPrEx>
        <w:trPr>
          <w:trHeight w:val="1141" w:hRule="atLeast"/>
        </w:trPr>
        <w:tc>
          <w:tcPr>
            <w:tcW w:w="13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eastAsia="zh-CN"/>
              </w:rPr>
              <w:t>能源</w:t>
            </w:r>
          </w:p>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发展</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技术支持类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工程</w:t>
            </w:r>
            <w:r>
              <w:rPr>
                <w:rFonts w:hint="eastAsia" w:ascii="仿宋" w:hAnsi="仿宋" w:eastAsia="仿宋" w:cs="仿宋"/>
                <w:color w:val="000000"/>
                <w:kern w:val="0"/>
                <w:sz w:val="24"/>
                <w:szCs w:val="24"/>
                <w:highlight w:val="none"/>
              </w:rPr>
              <w:t>技术</w:t>
            </w:r>
            <w:r>
              <w:rPr>
                <w:rFonts w:hint="eastAsia" w:ascii="仿宋" w:hAnsi="仿宋" w:eastAsia="仿宋" w:cs="仿宋"/>
                <w:color w:val="000000"/>
                <w:kern w:val="0"/>
                <w:sz w:val="24"/>
                <w:szCs w:val="24"/>
                <w:highlight w:val="none"/>
                <w:lang w:eastAsia="zh-CN"/>
              </w:rPr>
              <w:t>咨询</w:t>
            </w:r>
            <w:r>
              <w:rPr>
                <w:rFonts w:hint="eastAsia" w:ascii="仿宋" w:hAnsi="仿宋" w:eastAsia="仿宋" w:cs="仿宋"/>
                <w:color w:val="000000"/>
                <w:kern w:val="0"/>
                <w:sz w:val="24"/>
                <w:szCs w:val="24"/>
                <w:highlight w:val="none"/>
              </w:rPr>
              <w:t>支撑，技术监督</w:t>
            </w:r>
            <w:r>
              <w:rPr>
                <w:rFonts w:hint="eastAsia" w:ascii="仿宋" w:hAnsi="仿宋" w:eastAsia="仿宋" w:cs="仿宋"/>
                <w:color w:val="000000"/>
                <w:kern w:val="0"/>
                <w:sz w:val="24"/>
                <w:szCs w:val="24"/>
                <w:highlight w:val="none"/>
                <w:lang w:eastAsia="zh-CN"/>
              </w:rPr>
              <w:t>与评价</w:t>
            </w:r>
            <w:r>
              <w:rPr>
                <w:rFonts w:hint="eastAsia" w:ascii="仿宋" w:hAnsi="仿宋" w:eastAsia="仿宋" w:cs="仿宋"/>
                <w:color w:val="000000"/>
                <w:kern w:val="0"/>
                <w:sz w:val="24"/>
                <w:szCs w:val="24"/>
                <w:highlight w:val="none"/>
              </w:rPr>
              <w:t>、技术经济分析评价、质量</w:t>
            </w:r>
            <w:r>
              <w:rPr>
                <w:rFonts w:hint="eastAsia" w:ascii="仿宋" w:hAnsi="仿宋" w:eastAsia="仿宋" w:cs="仿宋"/>
                <w:color w:val="000000"/>
                <w:kern w:val="0"/>
                <w:sz w:val="24"/>
                <w:szCs w:val="24"/>
                <w:highlight w:val="none"/>
                <w:lang w:eastAsia="zh-CN"/>
              </w:rPr>
              <w:t>监督与评价、</w:t>
            </w:r>
            <w:r>
              <w:rPr>
                <w:rFonts w:hint="eastAsia" w:ascii="仿宋" w:hAnsi="仿宋" w:eastAsia="仿宋" w:cs="仿宋"/>
                <w:color w:val="000000"/>
                <w:kern w:val="0"/>
                <w:sz w:val="24"/>
                <w:szCs w:val="24"/>
                <w:highlight w:val="none"/>
              </w:rPr>
              <w:t>定额</w:t>
            </w:r>
            <w:r>
              <w:rPr>
                <w:rFonts w:hint="eastAsia" w:ascii="仿宋" w:hAnsi="仿宋" w:eastAsia="仿宋" w:cs="仿宋"/>
                <w:color w:val="000000"/>
                <w:kern w:val="0"/>
                <w:sz w:val="24"/>
                <w:szCs w:val="24"/>
                <w:highlight w:val="none"/>
                <w:lang w:eastAsia="zh-CN"/>
              </w:rPr>
              <w:t>及费用标准编制、</w:t>
            </w:r>
            <w:r>
              <w:rPr>
                <w:rFonts w:hint="eastAsia" w:ascii="仿宋" w:hAnsi="仿宋" w:eastAsia="仿宋" w:cs="仿宋"/>
                <w:color w:val="000000"/>
                <w:kern w:val="0"/>
                <w:sz w:val="24"/>
                <w:szCs w:val="24"/>
                <w:highlight w:val="none"/>
              </w:rPr>
              <w:t>技术更新服务</w:t>
            </w:r>
            <w:r>
              <w:rPr>
                <w:rFonts w:hint="eastAsia" w:ascii="仿宋" w:hAnsi="仿宋" w:eastAsia="仿宋" w:cs="仿宋"/>
                <w:color w:val="000000"/>
                <w:kern w:val="0"/>
                <w:sz w:val="24"/>
                <w:szCs w:val="24"/>
                <w:highlight w:val="none"/>
                <w:lang w:eastAsia="zh-CN"/>
              </w:rPr>
              <w:t>咨询</w:t>
            </w:r>
            <w:r>
              <w:rPr>
                <w:rFonts w:hint="eastAsia" w:ascii="仿宋" w:hAnsi="仿宋" w:eastAsia="仿宋" w:cs="仿宋"/>
                <w:color w:val="000000"/>
                <w:kern w:val="0"/>
                <w:sz w:val="24"/>
                <w:szCs w:val="24"/>
                <w:highlight w:val="none"/>
              </w:rPr>
              <w:t>等各类服务。</w:t>
            </w:r>
          </w:p>
        </w:tc>
      </w:tr>
      <w:tr>
        <w:tblPrEx>
          <w:tblCellMar>
            <w:top w:w="15" w:type="dxa"/>
            <w:left w:w="15" w:type="dxa"/>
            <w:bottom w:w="15" w:type="dxa"/>
            <w:right w:w="15" w:type="dxa"/>
          </w:tblCellMar>
        </w:tblPrEx>
        <w:trPr>
          <w:trHeight w:val="1139" w:hRule="atLeast"/>
        </w:trPr>
        <w:tc>
          <w:tcPr>
            <w:tcW w:w="1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研究分析类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能源领域改革发展研究、</w:t>
            </w:r>
            <w:r>
              <w:rPr>
                <w:rFonts w:hint="eastAsia" w:ascii="仿宋" w:hAnsi="仿宋" w:eastAsia="仿宋" w:cs="仿宋"/>
                <w:color w:val="000000"/>
                <w:kern w:val="0"/>
                <w:sz w:val="24"/>
                <w:szCs w:val="24"/>
                <w:highlight w:val="none"/>
                <w:lang w:eastAsia="zh-CN"/>
              </w:rPr>
              <w:t>能源</w:t>
            </w:r>
            <w:r>
              <w:rPr>
                <w:rFonts w:hint="eastAsia" w:ascii="仿宋" w:hAnsi="仿宋" w:eastAsia="仿宋" w:cs="仿宋"/>
                <w:color w:val="000000"/>
                <w:kern w:val="0"/>
                <w:sz w:val="24"/>
                <w:szCs w:val="24"/>
                <w:highlight w:val="none"/>
              </w:rPr>
              <w:t>供需研究、投资与财务研究、企业管理研究、</w:t>
            </w:r>
            <w:r>
              <w:rPr>
                <w:rFonts w:hint="eastAsia" w:ascii="仿宋" w:hAnsi="仿宋" w:eastAsia="仿宋" w:cs="仿宋"/>
                <w:color w:val="000000"/>
                <w:kern w:val="0"/>
                <w:sz w:val="24"/>
                <w:szCs w:val="24"/>
                <w:highlight w:val="none"/>
                <w:lang w:eastAsia="zh-CN"/>
              </w:rPr>
              <w:t>生产管理研究及</w:t>
            </w:r>
            <w:r>
              <w:rPr>
                <w:rFonts w:hint="eastAsia" w:ascii="仿宋" w:hAnsi="仿宋" w:eastAsia="仿宋" w:cs="仿宋"/>
                <w:color w:val="000000"/>
                <w:kern w:val="0"/>
                <w:sz w:val="24"/>
                <w:szCs w:val="24"/>
                <w:highlight w:val="none"/>
              </w:rPr>
              <w:t>咨询</w:t>
            </w:r>
            <w:r>
              <w:rPr>
                <w:rFonts w:hint="eastAsia" w:ascii="仿宋" w:hAnsi="仿宋" w:eastAsia="仿宋" w:cs="仿宋"/>
                <w:color w:val="000000"/>
                <w:kern w:val="0"/>
                <w:sz w:val="24"/>
                <w:szCs w:val="24"/>
                <w:highlight w:val="none"/>
                <w:lang w:eastAsia="zh-CN"/>
              </w:rPr>
              <w:t>支持</w:t>
            </w:r>
            <w:r>
              <w:rPr>
                <w:rFonts w:hint="eastAsia" w:ascii="仿宋" w:hAnsi="仿宋" w:eastAsia="仿宋" w:cs="仿宋"/>
                <w:color w:val="000000"/>
                <w:kern w:val="0"/>
                <w:sz w:val="24"/>
                <w:szCs w:val="24"/>
                <w:highlight w:val="none"/>
              </w:rPr>
              <w:t>、市场预测分析研究等各类服务。</w:t>
            </w:r>
          </w:p>
        </w:tc>
      </w:tr>
      <w:tr>
        <w:tblPrEx>
          <w:tblCellMar>
            <w:top w:w="15" w:type="dxa"/>
            <w:left w:w="15" w:type="dxa"/>
            <w:bottom w:w="15" w:type="dxa"/>
            <w:right w:w="15" w:type="dxa"/>
          </w:tblCellMar>
        </w:tblPrEx>
        <w:trPr>
          <w:trHeight w:val="1166" w:hRule="atLeast"/>
        </w:trPr>
        <w:tc>
          <w:tcPr>
            <w:tcW w:w="1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情报信息类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情报及数据支持、信息收集、规范及简报的编制，专刊</w:t>
            </w:r>
            <w:r>
              <w:rPr>
                <w:rFonts w:hint="eastAsia" w:ascii="仿宋" w:hAnsi="仿宋" w:eastAsia="仿宋" w:cs="仿宋"/>
                <w:color w:val="000000"/>
                <w:kern w:val="0"/>
                <w:sz w:val="24"/>
                <w:szCs w:val="24"/>
                <w:highlight w:val="none"/>
                <w:lang w:eastAsia="zh-CN"/>
              </w:rPr>
              <w:t>专著</w:t>
            </w:r>
            <w:r>
              <w:rPr>
                <w:rFonts w:hint="eastAsia" w:ascii="仿宋" w:hAnsi="仿宋" w:eastAsia="仿宋" w:cs="仿宋"/>
                <w:color w:val="000000"/>
                <w:kern w:val="0"/>
                <w:sz w:val="24"/>
                <w:szCs w:val="24"/>
                <w:highlight w:val="none"/>
              </w:rPr>
              <w:t>出版、业务相关信息系统的运维等各类与情报信息相关的服务。</w:t>
            </w:r>
          </w:p>
        </w:tc>
      </w:tr>
      <w:tr>
        <w:tblPrEx>
          <w:tblCellMar>
            <w:top w:w="15" w:type="dxa"/>
            <w:left w:w="15" w:type="dxa"/>
            <w:bottom w:w="15" w:type="dxa"/>
            <w:right w:w="15" w:type="dxa"/>
          </w:tblCellMar>
        </w:tblPrEx>
        <w:trPr>
          <w:trHeight w:val="473" w:hRule="atLeast"/>
        </w:trPr>
        <w:tc>
          <w:tcPr>
            <w:tcW w:w="1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其他类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不满足以上分类的其他</w:t>
            </w:r>
            <w:r>
              <w:rPr>
                <w:rFonts w:hint="eastAsia" w:ascii="仿宋" w:hAnsi="仿宋" w:eastAsia="仿宋" w:cs="仿宋"/>
                <w:color w:val="000000"/>
                <w:kern w:val="0"/>
                <w:sz w:val="24"/>
                <w:szCs w:val="24"/>
                <w:highlight w:val="none"/>
                <w:lang w:eastAsia="zh-CN"/>
              </w:rPr>
              <w:t>能源</w:t>
            </w:r>
            <w:r>
              <w:rPr>
                <w:rFonts w:hint="eastAsia" w:ascii="仿宋" w:hAnsi="仿宋" w:eastAsia="仿宋" w:cs="仿宋"/>
                <w:color w:val="000000"/>
                <w:kern w:val="0"/>
                <w:sz w:val="24"/>
                <w:szCs w:val="24"/>
                <w:highlight w:val="none"/>
              </w:rPr>
              <w:t>发展类</w:t>
            </w:r>
            <w:r>
              <w:rPr>
                <w:rFonts w:hint="eastAsia" w:ascii="仿宋" w:hAnsi="仿宋" w:eastAsia="仿宋" w:cs="仿宋"/>
                <w:color w:val="000000"/>
                <w:kern w:val="0"/>
                <w:sz w:val="24"/>
                <w:szCs w:val="24"/>
                <w:highlight w:val="none"/>
                <w:lang w:eastAsia="zh-CN"/>
              </w:rPr>
              <w:t>咨询</w:t>
            </w:r>
            <w:r>
              <w:rPr>
                <w:rFonts w:hint="eastAsia" w:ascii="仿宋" w:hAnsi="仿宋" w:eastAsia="仿宋" w:cs="仿宋"/>
                <w:color w:val="000000"/>
                <w:kern w:val="0"/>
                <w:sz w:val="24"/>
                <w:szCs w:val="24"/>
                <w:highlight w:val="none"/>
              </w:rPr>
              <w:t>服务项目。</w:t>
            </w:r>
          </w:p>
        </w:tc>
      </w:tr>
      <w:tr>
        <w:tblPrEx>
          <w:tblCellMar>
            <w:top w:w="15" w:type="dxa"/>
            <w:left w:w="15" w:type="dxa"/>
            <w:bottom w:w="15" w:type="dxa"/>
            <w:right w:w="15" w:type="dxa"/>
          </w:tblCellMar>
        </w:tblPrEx>
        <w:trPr>
          <w:trHeight w:val="746" w:hRule="atLeast"/>
        </w:trPr>
        <w:tc>
          <w:tcPr>
            <w:tcW w:w="1341" w:type="dxa"/>
            <w:vMerge w:val="restart"/>
            <w:tcBorders>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科技</w:t>
            </w:r>
          </w:p>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咨询</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技术支持类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科技管理相关的规范、专刊、标准体系的修订、编制出版及审核服务等。</w:t>
            </w:r>
          </w:p>
        </w:tc>
      </w:tr>
      <w:tr>
        <w:tblPrEx>
          <w:tblCellMar>
            <w:top w:w="15" w:type="dxa"/>
            <w:left w:w="15" w:type="dxa"/>
            <w:bottom w:w="15" w:type="dxa"/>
            <w:right w:w="15" w:type="dxa"/>
          </w:tblCellMar>
        </w:tblPrEx>
        <w:trPr>
          <w:trHeight w:val="570" w:hRule="atLeast"/>
        </w:trPr>
        <w:tc>
          <w:tcPr>
            <w:tcW w:w="1341" w:type="dxa"/>
            <w:vMerge w:val="continue"/>
            <w:tcBorders>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研究分析类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科技管理相关的专题研究、专业规划分析等服务项目。</w:t>
            </w:r>
          </w:p>
        </w:tc>
      </w:tr>
      <w:tr>
        <w:tblPrEx>
          <w:tblCellMar>
            <w:top w:w="15" w:type="dxa"/>
            <w:left w:w="15" w:type="dxa"/>
            <w:bottom w:w="15" w:type="dxa"/>
            <w:right w:w="15" w:type="dxa"/>
          </w:tblCellMar>
        </w:tblPrEx>
        <w:trPr>
          <w:trHeight w:val="453" w:hRule="atLeast"/>
        </w:trPr>
        <w:tc>
          <w:tcPr>
            <w:tcW w:w="1341" w:type="dxa"/>
            <w:vMerge w:val="continue"/>
            <w:tcBorders>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情报信息类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科技情报支持与更新、查新等服务。</w:t>
            </w:r>
          </w:p>
        </w:tc>
      </w:tr>
      <w:tr>
        <w:tblPrEx>
          <w:tblCellMar>
            <w:top w:w="15" w:type="dxa"/>
            <w:left w:w="15" w:type="dxa"/>
            <w:bottom w:w="15" w:type="dxa"/>
            <w:right w:w="15" w:type="dxa"/>
          </w:tblCellMar>
        </w:tblPrEx>
        <w:trPr>
          <w:trHeight w:val="507" w:hRule="atLeast"/>
        </w:trPr>
        <w:tc>
          <w:tcPr>
            <w:tcW w:w="1341" w:type="dxa"/>
            <w:vMerge w:val="continue"/>
            <w:tcBorders>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其他类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不满足以上分类的其他科技咨询类服务项目。</w:t>
            </w:r>
          </w:p>
        </w:tc>
      </w:tr>
      <w:tr>
        <w:tblPrEx>
          <w:tblCellMar>
            <w:top w:w="15" w:type="dxa"/>
            <w:left w:w="15" w:type="dxa"/>
            <w:bottom w:w="15" w:type="dxa"/>
            <w:right w:w="15" w:type="dxa"/>
          </w:tblCellMar>
        </w:tblPrEx>
        <w:trPr>
          <w:trHeight w:val="549" w:hRule="atLeast"/>
        </w:trPr>
        <w:tc>
          <w:tcPr>
            <w:tcW w:w="1341" w:type="dxa"/>
            <w:vMerge w:val="restart"/>
            <w:tcBorders>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设备</w:t>
            </w:r>
          </w:p>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管理</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技术支持类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设备管理相关的技术支持与技术咨询等服务。</w:t>
            </w:r>
          </w:p>
        </w:tc>
      </w:tr>
      <w:tr>
        <w:tblPrEx>
          <w:tblCellMar>
            <w:top w:w="15" w:type="dxa"/>
            <w:left w:w="15" w:type="dxa"/>
            <w:bottom w:w="15" w:type="dxa"/>
            <w:right w:w="15" w:type="dxa"/>
          </w:tblCellMar>
        </w:tblPrEx>
        <w:trPr>
          <w:trHeight w:val="90" w:hRule="atLeast"/>
        </w:trPr>
        <w:tc>
          <w:tcPr>
            <w:tcW w:w="1341" w:type="dxa"/>
            <w:vMerge w:val="continue"/>
            <w:tcBorders>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研究分析类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设备管理相关的仿真计算，分析评价等非试验研究类服务。</w:t>
            </w:r>
          </w:p>
        </w:tc>
      </w:tr>
      <w:tr>
        <w:tblPrEx>
          <w:tblCellMar>
            <w:top w:w="15" w:type="dxa"/>
            <w:left w:w="15" w:type="dxa"/>
            <w:bottom w:w="15" w:type="dxa"/>
            <w:right w:w="15" w:type="dxa"/>
          </w:tblCellMar>
        </w:tblPrEx>
        <w:trPr>
          <w:trHeight w:val="549" w:hRule="atLeast"/>
        </w:trPr>
        <w:tc>
          <w:tcPr>
            <w:tcW w:w="1341" w:type="dxa"/>
            <w:vMerge w:val="continue"/>
            <w:tcBorders>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试验研究类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设备管理相关的各类试验、检测分析等服务。</w:t>
            </w:r>
          </w:p>
        </w:tc>
      </w:tr>
      <w:tr>
        <w:tblPrEx>
          <w:tblCellMar>
            <w:top w:w="15" w:type="dxa"/>
            <w:left w:w="15" w:type="dxa"/>
            <w:bottom w:w="15" w:type="dxa"/>
            <w:right w:w="15" w:type="dxa"/>
          </w:tblCellMar>
        </w:tblPrEx>
        <w:trPr>
          <w:trHeight w:val="549" w:hRule="atLeast"/>
        </w:trPr>
        <w:tc>
          <w:tcPr>
            <w:tcW w:w="1341" w:type="dxa"/>
            <w:vMerge w:val="continue"/>
            <w:tcBorders>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其他类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不满足以上分类的其他设备管理类服务项目。</w:t>
            </w:r>
          </w:p>
        </w:tc>
      </w:tr>
      <w:tr>
        <w:tblPrEx>
          <w:tblCellMar>
            <w:top w:w="15" w:type="dxa"/>
            <w:left w:w="15" w:type="dxa"/>
            <w:bottom w:w="15" w:type="dxa"/>
            <w:right w:w="15" w:type="dxa"/>
          </w:tblCellMar>
        </w:tblPrEx>
        <w:trPr>
          <w:trHeight w:val="549" w:hRule="atLeast"/>
        </w:trPr>
        <w:tc>
          <w:tcPr>
            <w:tcW w:w="13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电网</w:t>
            </w:r>
          </w:p>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运行</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技术支持类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电网运行相关的技术支持与技术咨询等服务。</w:t>
            </w:r>
          </w:p>
        </w:tc>
      </w:tr>
      <w:tr>
        <w:tblPrEx>
          <w:tblCellMar>
            <w:top w:w="15" w:type="dxa"/>
            <w:left w:w="15" w:type="dxa"/>
            <w:bottom w:w="15" w:type="dxa"/>
            <w:right w:w="15" w:type="dxa"/>
          </w:tblCellMar>
        </w:tblPrEx>
        <w:trPr>
          <w:trHeight w:val="894" w:hRule="atLeast"/>
        </w:trPr>
        <w:tc>
          <w:tcPr>
            <w:tcW w:w="1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研究分析类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电网运行相关的专题研究，模型搭建及分析等非试验研究类服务项目。</w:t>
            </w:r>
          </w:p>
        </w:tc>
      </w:tr>
      <w:tr>
        <w:tblPrEx>
          <w:tblCellMar>
            <w:top w:w="15" w:type="dxa"/>
            <w:left w:w="15" w:type="dxa"/>
            <w:bottom w:w="15" w:type="dxa"/>
            <w:right w:w="15" w:type="dxa"/>
          </w:tblCellMar>
        </w:tblPrEx>
        <w:trPr>
          <w:trHeight w:val="894" w:hRule="atLeast"/>
        </w:trPr>
        <w:tc>
          <w:tcPr>
            <w:tcW w:w="1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试验研究类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电网运行相关的仿真试验、仿真计算、RTDS试验、研究验证等服务。</w:t>
            </w:r>
          </w:p>
        </w:tc>
      </w:tr>
      <w:tr>
        <w:tblPrEx>
          <w:tblCellMar>
            <w:top w:w="15" w:type="dxa"/>
            <w:left w:w="15" w:type="dxa"/>
            <w:bottom w:w="15" w:type="dxa"/>
            <w:right w:w="15" w:type="dxa"/>
          </w:tblCellMar>
        </w:tblPrEx>
        <w:trPr>
          <w:trHeight w:val="549" w:hRule="atLeast"/>
        </w:trPr>
        <w:tc>
          <w:tcPr>
            <w:tcW w:w="1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其他类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不满足以上分类的其他电网运行类服务项目。</w:t>
            </w:r>
          </w:p>
        </w:tc>
      </w:tr>
      <w:tr>
        <w:tblPrEx>
          <w:tblCellMar>
            <w:top w:w="15" w:type="dxa"/>
            <w:left w:w="15" w:type="dxa"/>
            <w:bottom w:w="15" w:type="dxa"/>
            <w:right w:w="15" w:type="dxa"/>
          </w:tblCellMar>
        </w:tblPrEx>
        <w:trPr>
          <w:trHeight w:val="549" w:hRule="atLeast"/>
        </w:trPr>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eastAsia="zh-CN"/>
              </w:rPr>
              <w:t>供应链</w:t>
            </w:r>
          </w:p>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管理</w:t>
            </w:r>
          </w:p>
        </w:tc>
        <w:tc>
          <w:tcPr>
            <w:tcW w:w="7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提供的采购服务</w:t>
            </w:r>
            <w:r>
              <w:rPr>
                <w:rFonts w:hint="eastAsia" w:ascii="仿宋" w:hAnsi="仿宋" w:eastAsia="仿宋" w:cs="仿宋"/>
                <w:color w:val="000000"/>
                <w:kern w:val="0"/>
                <w:sz w:val="24"/>
                <w:szCs w:val="24"/>
                <w:highlight w:val="none"/>
              </w:rPr>
              <w:t>、合约</w:t>
            </w:r>
            <w:r>
              <w:rPr>
                <w:rFonts w:hint="eastAsia" w:ascii="仿宋" w:hAnsi="仿宋" w:eastAsia="仿宋" w:cs="仿宋"/>
                <w:color w:val="000000"/>
                <w:kern w:val="0"/>
                <w:sz w:val="24"/>
                <w:szCs w:val="24"/>
                <w:highlight w:val="none"/>
                <w:lang w:eastAsia="zh-CN"/>
              </w:rPr>
              <w:t>服务</w:t>
            </w:r>
            <w:r>
              <w:rPr>
                <w:rFonts w:hint="eastAsia" w:ascii="仿宋" w:hAnsi="仿宋" w:eastAsia="仿宋" w:cs="仿宋"/>
                <w:color w:val="000000"/>
                <w:kern w:val="0"/>
                <w:sz w:val="24"/>
                <w:szCs w:val="24"/>
                <w:highlight w:val="none"/>
              </w:rPr>
              <w:t>、供应商</w:t>
            </w:r>
            <w:r>
              <w:rPr>
                <w:rFonts w:hint="eastAsia" w:ascii="仿宋" w:hAnsi="仿宋" w:eastAsia="仿宋" w:cs="仿宋"/>
                <w:color w:val="000000"/>
                <w:kern w:val="0"/>
                <w:sz w:val="24"/>
                <w:szCs w:val="24"/>
                <w:highlight w:val="none"/>
                <w:lang w:eastAsia="zh-CN"/>
              </w:rPr>
              <w:t>服务等。</w:t>
            </w:r>
          </w:p>
        </w:tc>
      </w:tr>
      <w:tr>
        <w:tblPrEx>
          <w:tblCellMar>
            <w:top w:w="15" w:type="dxa"/>
            <w:left w:w="15" w:type="dxa"/>
            <w:bottom w:w="15" w:type="dxa"/>
            <w:right w:w="15" w:type="dxa"/>
          </w:tblCellMar>
        </w:tblPrEx>
        <w:trPr>
          <w:trHeight w:val="809"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其他管理咨询类</w:t>
            </w:r>
          </w:p>
        </w:tc>
        <w:tc>
          <w:tcPr>
            <w:tcW w:w="5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上述项目子类中未涵盖的其他管理咨询项目。</w:t>
            </w:r>
          </w:p>
        </w:tc>
      </w:tr>
    </w:tbl>
    <w:p>
      <w:r>
        <w:rPr>
          <w:rFonts w:hint="eastAsia" w:ascii="仿宋" w:hAnsi="仿宋" w:eastAsia="仿宋" w:cs="仿宋"/>
          <w:sz w:val="24"/>
          <w:szCs w:val="24"/>
        </w:rPr>
        <w:br w:type="page"/>
      </w:r>
    </w:p>
    <w:p>
      <w:pPr>
        <w:pStyle w:val="2"/>
        <w:numPr>
          <w:ilvl w:val="0"/>
          <w:numId w:val="1"/>
        </w:numPr>
        <w:spacing w:before="240" w:line="360" w:lineRule="auto"/>
        <w:jc w:val="both"/>
        <w:rPr>
          <w:rFonts w:asciiTheme="minorEastAsia" w:hAnsiTheme="minorEastAsia" w:eastAsiaTheme="minorEastAsia" w:cstheme="minorEastAsia"/>
          <w:bCs w:val="0"/>
          <w:sz w:val="32"/>
          <w:szCs w:val="32"/>
          <w:highlight w:val="none"/>
        </w:rPr>
      </w:pPr>
      <w:bookmarkStart w:id="7" w:name="_Toc27661"/>
      <w:r>
        <w:rPr>
          <w:rFonts w:hint="eastAsia" w:asciiTheme="minorEastAsia" w:hAnsiTheme="minorEastAsia" w:eastAsiaTheme="minorEastAsia" w:cstheme="minorEastAsia"/>
          <w:bCs w:val="0"/>
          <w:sz w:val="32"/>
          <w:szCs w:val="32"/>
          <w:highlight w:val="none"/>
          <w:lang w:eastAsia="zh-CN"/>
        </w:rPr>
        <w:t>公司某年度</w:t>
      </w:r>
      <w:r>
        <w:rPr>
          <w:rFonts w:hint="eastAsia" w:asciiTheme="minorEastAsia" w:hAnsiTheme="minorEastAsia" w:eastAsiaTheme="minorEastAsia" w:cstheme="minorEastAsia"/>
          <w:bCs w:val="0"/>
          <w:sz w:val="32"/>
          <w:szCs w:val="32"/>
          <w:highlight w:val="none"/>
        </w:rPr>
        <w:t>重点课题预算测算示例</w:t>
      </w:r>
      <w:bookmarkEnd w:id="7"/>
    </w:p>
    <w:p>
      <w:pPr>
        <w:widowControl w:val="0"/>
        <w:autoSpaceDE w:val="0"/>
        <w:autoSpaceDN w:val="0"/>
        <w:spacing w:before="174" w:after="0" w:line="338" w:lineRule="auto"/>
        <w:ind w:left="231" w:right="244"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以公司系统某单位承接公司年度年度重点课题为例，按照本标准中年度重点课题费用测算方法，其项目费用测算过程如下：</w:t>
      </w:r>
    </w:p>
    <w:p>
      <w:pPr>
        <w:widowControl w:val="0"/>
        <w:autoSpaceDE w:val="0"/>
        <w:autoSpaceDN w:val="0"/>
        <w:spacing w:before="174" w:after="0" w:line="338" w:lineRule="auto"/>
        <w:ind w:left="231" w:right="244"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第一步：确定工日</w:t>
      </w:r>
    </w:p>
    <w:p>
      <w:pPr>
        <w:widowControl w:val="0"/>
        <w:autoSpaceDE w:val="0"/>
        <w:autoSpaceDN w:val="0"/>
        <w:spacing w:before="174" w:after="0" w:line="338" w:lineRule="auto"/>
        <w:ind w:left="231" w:right="244"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根据项目研究内容、项目性质及工作计划，该工作需4名高级工和2名中级工共同完成，按照项目研究内容和需求部门的工期安排，确定项目所需高级工日为264工日，中级工日为176工日。</w:t>
      </w:r>
    </w:p>
    <w:p>
      <w:pPr>
        <w:widowControl w:val="0"/>
        <w:autoSpaceDE w:val="0"/>
        <w:autoSpaceDN w:val="0"/>
        <w:spacing w:before="174" w:after="0" w:line="338" w:lineRule="auto"/>
        <w:ind w:left="231" w:right="244"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第二步：计算其他费用</w:t>
      </w:r>
    </w:p>
    <w:p>
      <w:pPr>
        <w:widowControl w:val="0"/>
        <w:autoSpaceDE w:val="0"/>
        <w:autoSpaceDN w:val="0"/>
        <w:spacing w:before="174" w:after="0" w:line="338" w:lineRule="auto"/>
        <w:ind w:left="231" w:right="244"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根据工作计划，本重点课题需开展4次调研工作，每次2人，每次调研时间为3天，则差旅费用估算为：4次×2人×3天×4000元/次*人*天/10000＝9.6万元，文献出版等费用按1万元估列，则本项目的其他费用共计为10.6万元。</w:t>
      </w:r>
    </w:p>
    <w:p>
      <w:pPr>
        <w:widowControl w:val="0"/>
        <w:autoSpaceDE w:val="0"/>
        <w:autoSpaceDN w:val="0"/>
        <w:spacing w:before="174" w:after="0" w:line="338" w:lineRule="auto"/>
        <w:ind w:left="231" w:right="244"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第三步：计算项目总费用</w:t>
      </w:r>
    </w:p>
    <w:p>
      <w:pPr>
        <w:widowControl w:val="0"/>
        <w:autoSpaceDE w:val="0"/>
        <w:autoSpaceDN w:val="0"/>
        <w:spacing w:before="174" w:after="0" w:line="338" w:lineRule="auto"/>
        <w:ind w:left="231" w:right="244" w:firstLine="631"/>
        <w:jc w:val="both"/>
        <w:rPr>
          <w:rFonts w:hint="eastAsia" w:ascii="仿宋" w:hAnsi="仿宋" w:eastAsia="仿宋" w:cs="仿宋"/>
          <w:spacing w:val="-5"/>
          <w:w w:val="95"/>
          <w:kern w:val="0"/>
          <w:sz w:val="32"/>
          <w:szCs w:val="32"/>
          <w:lang w:val="en-US" w:eastAsia="zh-CN" w:bidi="zh-CN"/>
        </w:rPr>
      </w:pPr>
      <w:r>
        <w:rPr>
          <w:rFonts w:hint="eastAsia" w:ascii="仿宋" w:hAnsi="仿宋" w:eastAsia="仿宋" w:cs="仿宋"/>
          <w:spacing w:val="-5"/>
          <w:w w:val="95"/>
          <w:kern w:val="0"/>
          <w:sz w:val="32"/>
          <w:szCs w:val="32"/>
          <w:lang w:val="en-US" w:eastAsia="zh-CN" w:bidi="zh-CN"/>
        </w:rPr>
        <w:t>项目总费用预算＝高级工日人工综合单价×高级工日＋中级工日人工综合单价×中级工日＋其他费用＝（4660×264＋3580×176）×1.2/10000＋10.6＝233.84万元。</w:t>
      </w: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29268718"/>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229268718"/>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C06E82"/>
    <w:multiLevelType w:val="multilevel"/>
    <w:tmpl w:val="13C06E82"/>
    <w:lvl w:ilvl="0" w:tentative="0">
      <w:start w:val="1"/>
      <w:numFmt w:val="upperLetter"/>
      <w:lvlText w:val="附录%1："/>
      <w:lvlJc w:val="left"/>
      <w:pPr>
        <w:ind w:left="420" w:hanging="420"/>
      </w:pPr>
      <w:rPr>
        <w:rFonts w:hint="eastAsia"/>
      </w:rPr>
    </w:lvl>
    <w:lvl w:ilvl="1" w:tentative="0">
      <w:start w:val="1"/>
      <w:numFmt w:val="decimal"/>
      <w:lvlText w:val="%1.%2"/>
      <w:lvlJc w:val="left"/>
      <w:pPr>
        <w:ind w:left="840" w:hanging="420"/>
      </w:pPr>
      <w:rPr>
        <w:rFonts w:hint="eastAsia"/>
      </w:rPr>
    </w:lvl>
    <w:lvl w:ilvl="2" w:tentative="0">
      <w:start w:val="1"/>
      <w:numFmt w:val="decimal"/>
      <w:lvlText w:val="%1.%2.%3"/>
      <w:lvlJc w:val="right"/>
      <w:pPr>
        <w:ind w:left="1260" w:hanging="420"/>
      </w:pPr>
      <w:rPr>
        <w:rFonts w:hint="eastAsia"/>
      </w:rPr>
    </w:lvl>
    <w:lvl w:ilvl="3" w:tentative="0">
      <w:start w:val="1"/>
      <w:numFmt w:val="decimal"/>
      <w:lvlText w:val="%1.%2.%3.%4"/>
      <w:lvlJc w:val="left"/>
      <w:pPr>
        <w:ind w:left="1680" w:hanging="420"/>
      </w:pPr>
      <w:rPr>
        <w:rFonts w:hint="eastAsia"/>
      </w:rPr>
    </w:lvl>
    <w:lvl w:ilvl="4" w:tentative="0">
      <w:start w:val="1"/>
      <w:numFmt w:val="decimal"/>
      <w:lvlText w:val="%1.%2.%3.%4.%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10C"/>
    <w:rsid w:val="00031755"/>
    <w:rsid w:val="00051125"/>
    <w:rsid w:val="00054E8F"/>
    <w:rsid w:val="00066D04"/>
    <w:rsid w:val="00074688"/>
    <w:rsid w:val="00074897"/>
    <w:rsid w:val="00082956"/>
    <w:rsid w:val="000D3CF6"/>
    <w:rsid w:val="000D4F5B"/>
    <w:rsid w:val="000F6F0F"/>
    <w:rsid w:val="00110E18"/>
    <w:rsid w:val="001208F7"/>
    <w:rsid w:val="00140142"/>
    <w:rsid w:val="00150582"/>
    <w:rsid w:val="001664AA"/>
    <w:rsid w:val="00172A27"/>
    <w:rsid w:val="001A7DA0"/>
    <w:rsid w:val="001E2345"/>
    <w:rsid w:val="001F11B2"/>
    <w:rsid w:val="001F2484"/>
    <w:rsid w:val="0023238F"/>
    <w:rsid w:val="00247913"/>
    <w:rsid w:val="00273F73"/>
    <w:rsid w:val="0027667A"/>
    <w:rsid w:val="002B3EF7"/>
    <w:rsid w:val="002E6613"/>
    <w:rsid w:val="003127B8"/>
    <w:rsid w:val="00314730"/>
    <w:rsid w:val="00327F97"/>
    <w:rsid w:val="00344369"/>
    <w:rsid w:val="003B6893"/>
    <w:rsid w:val="003C044E"/>
    <w:rsid w:val="003C264D"/>
    <w:rsid w:val="003C2F35"/>
    <w:rsid w:val="003C716E"/>
    <w:rsid w:val="003D153C"/>
    <w:rsid w:val="00483C16"/>
    <w:rsid w:val="004D4589"/>
    <w:rsid w:val="004F24E6"/>
    <w:rsid w:val="0050284A"/>
    <w:rsid w:val="00510EB2"/>
    <w:rsid w:val="005112FC"/>
    <w:rsid w:val="005430BD"/>
    <w:rsid w:val="00554329"/>
    <w:rsid w:val="00555FBF"/>
    <w:rsid w:val="00594A04"/>
    <w:rsid w:val="00597FA8"/>
    <w:rsid w:val="005C279E"/>
    <w:rsid w:val="005D604C"/>
    <w:rsid w:val="005E199C"/>
    <w:rsid w:val="0060667D"/>
    <w:rsid w:val="0063772A"/>
    <w:rsid w:val="006C1A71"/>
    <w:rsid w:val="006D2D2D"/>
    <w:rsid w:val="00704619"/>
    <w:rsid w:val="0070685A"/>
    <w:rsid w:val="00720C7F"/>
    <w:rsid w:val="00726694"/>
    <w:rsid w:val="007A597C"/>
    <w:rsid w:val="007B333D"/>
    <w:rsid w:val="007C79C8"/>
    <w:rsid w:val="007E5372"/>
    <w:rsid w:val="007F5C8B"/>
    <w:rsid w:val="0082453A"/>
    <w:rsid w:val="00852D7A"/>
    <w:rsid w:val="00864B88"/>
    <w:rsid w:val="00876F7B"/>
    <w:rsid w:val="008A6957"/>
    <w:rsid w:val="008D0649"/>
    <w:rsid w:val="008D5420"/>
    <w:rsid w:val="008D726F"/>
    <w:rsid w:val="008F06AF"/>
    <w:rsid w:val="008F2BCC"/>
    <w:rsid w:val="008F48CC"/>
    <w:rsid w:val="00927E4A"/>
    <w:rsid w:val="00936AB2"/>
    <w:rsid w:val="00972330"/>
    <w:rsid w:val="009935E2"/>
    <w:rsid w:val="009A4ADD"/>
    <w:rsid w:val="009E4BBC"/>
    <w:rsid w:val="00A0445B"/>
    <w:rsid w:val="00A12243"/>
    <w:rsid w:val="00A41235"/>
    <w:rsid w:val="00A70DA0"/>
    <w:rsid w:val="00A76887"/>
    <w:rsid w:val="00B06FA3"/>
    <w:rsid w:val="00B1151C"/>
    <w:rsid w:val="00B35CC7"/>
    <w:rsid w:val="00BA18F4"/>
    <w:rsid w:val="00BA5208"/>
    <w:rsid w:val="00BE6F21"/>
    <w:rsid w:val="00BF5C57"/>
    <w:rsid w:val="00C12E01"/>
    <w:rsid w:val="00C30995"/>
    <w:rsid w:val="00C47421"/>
    <w:rsid w:val="00C526AB"/>
    <w:rsid w:val="00C76708"/>
    <w:rsid w:val="00CA4691"/>
    <w:rsid w:val="00D003C0"/>
    <w:rsid w:val="00D246E9"/>
    <w:rsid w:val="00D40127"/>
    <w:rsid w:val="00D65D35"/>
    <w:rsid w:val="00D722C2"/>
    <w:rsid w:val="00D94A00"/>
    <w:rsid w:val="00D972B6"/>
    <w:rsid w:val="00DC7EE8"/>
    <w:rsid w:val="00DF10DF"/>
    <w:rsid w:val="00DF450A"/>
    <w:rsid w:val="00E15FD6"/>
    <w:rsid w:val="00E74A84"/>
    <w:rsid w:val="00EC1282"/>
    <w:rsid w:val="00EE1D6A"/>
    <w:rsid w:val="00EF6E16"/>
    <w:rsid w:val="00F1347F"/>
    <w:rsid w:val="00F248B8"/>
    <w:rsid w:val="00F50278"/>
    <w:rsid w:val="00F71BDC"/>
    <w:rsid w:val="00F806B0"/>
    <w:rsid w:val="00F87496"/>
    <w:rsid w:val="00FC0D12"/>
    <w:rsid w:val="00FF7AD9"/>
    <w:rsid w:val="011C7353"/>
    <w:rsid w:val="012C5625"/>
    <w:rsid w:val="013336EF"/>
    <w:rsid w:val="01411F20"/>
    <w:rsid w:val="0194265B"/>
    <w:rsid w:val="01E729DC"/>
    <w:rsid w:val="01E76A14"/>
    <w:rsid w:val="020D1E16"/>
    <w:rsid w:val="02413597"/>
    <w:rsid w:val="024E5BCB"/>
    <w:rsid w:val="02690F9A"/>
    <w:rsid w:val="026C0207"/>
    <w:rsid w:val="02777EEE"/>
    <w:rsid w:val="02A05858"/>
    <w:rsid w:val="02B43CB0"/>
    <w:rsid w:val="02F76248"/>
    <w:rsid w:val="03704C8F"/>
    <w:rsid w:val="03831278"/>
    <w:rsid w:val="038A5E19"/>
    <w:rsid w:val="03C72A00"/>
    <w:rsid w:val="03C774A7"/>
    <w:rsid w:val="03CD17D6"/>
    <w:rsid w:val="041C77C0"/>
    <w:rsid w:val="041D23D6"/>
    <w:rsid w:val="04242627"/>
    <w:rsid w:val="044253B6"/>
    <w:rsid w:val="0485347F"/>
    <w:rsid w:val="048E6E95"/>
    <w:rsid w:val="04D37A8E"/>
    <w:rsid w:val="053D049D"/>
    <w:rsid w:val="057F6389"/>
    <w:rsid w:val="05DD490E"/>
    <w:rsid w:val="06494C9A"/>
    <w:rsid w:val="069E7152"/>
    <w:rsid w:val="06E4023E"/>
    <w:rsid w:val="06FA513A"/>
    <w:rsid w:val="070A22CD"/>
    <w:rsid w:val="077A4E48"/>
    <w:rsid w:val="08034E88"/>
    <w:rsid w:val="08167895"/>
    <w:rsid w:val="082E08FA"/>
    <w:rsid w:val="085111AE"/>
    <w:rsid w:val="08D05A0B"/>
    <w:rsid w:val="09381AC0"/>
    <w:rsid w:val="096570BF"/>
    <w:rsid w:val="099F5C2C"/>
    <w:rsid w:val="09C172F9"/>
    <w:rsid w:val="0A28503F"/>
    <w:rsid w:val="0A9959AD"/>
    <w:rsid w:val="0AF343D2"/>
    <w:rsid w:val="0B1D2032"/>
    <w:rsid w:val="0B4C2D49"/>
    <w:rsid w:val="0C220A64"/>
    <w:rsid w:val="0C510C1D"/>
    <w:rsid w:val="0C933C61"/>
    <w:rsid w:val="0CD82C73"/>
    <w:rsid w:val="0CEE281F"/>
    <w:rsid w:val="0CFD3DF4"/>
    <w:rsid w:val="0D2A6004"/>
    <w:rsid w:val="0D354074"/>
    <w:rsid w:val="0DB65347"/>
    <w:rsid w:val="0E160874"/>
    <w:rsid w:val="0E240E42"/>
    <w:rsid w:val="0E3002F4"/>
    <w:rsid w:val="0E8954CA"/>
    <w:rsid w:val="0E9B367A"/>
    <w:rsid w:val="0E9C0C9E"/>
    <w:rsid w:val="0EBE2096"/>
    <w:rsid w:val="0F1575ED"/>
    <w:rsid w:val="0F2D6F97"/>
    <w:rsid w:val="0F6D6D89"/>
    <w:rsid w:val="0F745882"/>
    <w:rsid w:val="0F965FDC"/>
    <w:rsid w:val="0F975771"/>
    <w:rsid w:val="0FA44461"/>
    <w:rsid w:val="0FB04C05"/>
    <w:rsid w:val="0FD57569"/>
    <w:rsid w:val="0FED4493"/>
    <w:rsid w:val="102C4490"/>
    <w:rsid w:val="111246FB"/>
    <w:rsid w:val="11396836"/>
    <w:rsid w:val="116A6D38"/>
    <w:rsid w:val="11872287"/>
    <w:rsid w:val="11AD3F29"/>
    <w:rsid w:val="11CD5A08"/>
    <w:rsid w:val="12136768"/>
    <w:rsid w:val="12B00815"/>
    <w:rsid w:val="12E5107A"/>
    <w:rsid w:val="13354D89"/>
    <w:rsid w:val="13D610AD"/>
    <w:rsid w:val="145E46B9"/>
    <w:rsid w:val="14A75123"/>
    <w:rsid w:val="14BA603B"/>
    <w:rsid w:val="14E50701"/>
    <w:rsid w:val="15165439"/>
    <w:rsid w:val="15385898"/>
    <w:rsid w:val="15423CC8"/>
    <w:rsid w:val="154C5A3F"/>
    <w:rsid w:val="15CE7146"/>
    <w:rsid w:val="16092CC2"/>
    <w:rsid w:val="16230079"/>
    <w:rsid w:val="16576D21"/>
    <w:rsid w:val="16834441"/>
    <w:rsid w:val="17005526"/>
    <w:rsid w:val="17291009"/>
    <w:rsid w:val="172A553C"/>
    <w:rsid w:val="173663C4"/>
    <w:rsid w:val="173E3F33"/>
    <w:rsid w:val="17783588"/>
    <w:rsid w:val="1780020F"/>
    <w:rsid w:val="17D4424C"/>
    <w:rsid w:val="17DE6EFC"/>
    <w:rsid w:val="185A5E51"/>
    <w:rsid w:val="186B6DC8"/>
    <w:rsid w:val="18741BDA"/>
    <w:rsid w:val="18C54E8D"/>
    <w:rsid w:val="18E73AB6"/>
    <w:rsid w:val="18F30B7C"/>
    <w:rsid w:val="18F7117D"/>
    <w:rsid w:val="19263DA7"/>
    <w:rsid w:val="19791562"/>
    <w:rsid w:val="19F2253D"/>
    <w:rsid w:val="1A0B7905"/>
    <w:rsid w:val="1A265193"/>
    <w:rsid w:val="1A5A3F57"/>
    <w:rsid w:val="1B480DC9"/>
    <w:rsid w:val="1B8507F5"/>
    <w:rsid w:val="1BA13D4A"/>
    <w:rsid w:val="1CD3294F"/>
    <w:rsid w:val="1D0379E2"/>
    <w:rsid w:val="1D4F7257"/>
    <w:rsid w:val="1D5417C1"/>
    <w:rsid w:val="1D7118B2"/>
    <w:rsid w:val="1DBA6BA1"/>
    <w:rsid w:val="1DE16648"/>
    <w:rsid w:val="1E0D309C"/>
    <w:rsid w:val="1E482643"/>
    <w:rsid w:val="1E7D3A49"/>
    <w:rsid w:val="1EC60F04"/>
    <w:rsid w:val="1F6931A0"/>
    <w:rsid w:val="1F8F7208"/>
    <w:rsid w:val="20337735"/>
    <w:rsid w:val="206E21A0"/>
    <w:rsid w:val="207465C4"/>
    <w:rsid w:val="207D0794"/>
    <w:rsid w:val="20A916D2"/>
    <w:rsid w:val="20E95A03"/>
    <w:rsid w:val="2124258A"/>
    <w:rsid w:val="214640E7"/>
    <w:rsid w:val="21480524"/>
    <w:rsid w:val="215560EC"/>
    <w:rsid w:val="21B75A38"/>
    <w:rsid w:val="21E31E66"/>
    <w:rsid w:val="21E5106F"/>
    <w:rsid w:val="21E85159"/>
    <w:rsid w:val="21FE2D0C"/>
    <w:rsid w:val="22117BA2"/>
    <w:rsid w:val="223238FF"/>
    <w:rsid w:val="22600B0E"/>
    <w:rsid w:val="22762265"/>
    <w:rsid w:val="22C8413F"/>
    <w:rsid w:val="22D94A5C"/>
    <w:rsid w:val="22EF0221"/>
    <w:rsid w:val="23520A03"/>
    <w:rsid w:val="23604354"/>
    <w:rsid w:val="237F1FCB"/>
    <w:rsid w:val="239731F7"/>
    <w:rsid w:val="23CE30CE"/>
    <w:rsid w:val="2403284C"/>
    <w:rsid w:val="24437B90"/>
    <w:rsid w:val="2473184E"/>
    <w:rsid w:val="24A51815"/>
    <w:rsid w:val="24F143D9"/>
    <w:rsid w:val="255402A2"/>
    <w:rsid w:val="256A263D"/>
    <w:rsid w:val="25815161"/>
    <w:rsid w:val="25D44E2D"/>
    <w:rsid w:val="261A4A8D"/>
    <w:rsid w:val="266960FF"/>
    <w:rsid w:val="26774C74"/>
    <w:rsid w:val="2698796F"/>
    <w:rsid w:val="26DE176A"/>
    <w:rsid w:val="26FE490F"/>
    <w:rsid w:val="271A1D57"/>
    <w:rsid w:val="271D403B"/>
    <w:rsid w:val="27447E48"/>
    <w:rsid w:val="27570742"/>
    <w:rsid w:val="275A32BB"/>
    <w:rsid w:val="276A1617"/>
    <w:rsid w:val="27B95FD9"/>
    <w:rsid w:val="27E95084"/>
    <w:rsid w:val="282C5348"/>
    <w:rsid w:val="282C5F2F"/>
    <w:rsid w:val="283A6E12"/>
    <w:rsid w:val="28410938"/>
    <w:rsid w:val="2842174B"/>
    <w:rsid w:val="284804B7"/>
    <w:rsid w:val="2872006B"/>
    <w:rsid w:val="2888176E"/>
    <w:rsid w:val="28DC63A1"/>
    <w:rsid w:val="293C2832"/>
    <w:rsid w:val="29427C19"/>
    <w:rsid w:val="296740F9"/>
    <w:rsid w:val="29796172"/>
    <w:rsid w:val="29E5186D"/>
    <w:rsid w:val="29F76A29"/>
    <w:rsid w:val="2A02065D"/>
    <w:rsid w:val="2A032C67"/>
    <w:rsid w:val="2A715579"/>
    <w:rsid w:val="2A9037E3"/>
    <w:rsid w:val="2AA9074C"/>
    <w:rsid w:val="2B8615F5"/>
    <w:rsid w:val="2B872D66"/>
    <w:rsid w:val="2B914CB9"/>
    <w:rsid w:val="2C2706CA"/>
    <w:rsid w:val="2C512AEA"/>
    <w:rsid w:val="2C6F16D6"/>
    <w:rsid w:val="2C794686"/>
    <w:rsid w:val="2C9F1E25"/>
    <w:rsid w:val="2CAA51C0"/>
    <w:rsid w:val="2CF40D7D"/>
    <w:rsid w:val="2D05192B"/>
    <w:rsid w:val="2D7C46C3"/>
    <w:rsid w:val="2DCA4040"/>
    <w:rsid w:val="2E4B55E7"/>
    <w:rsid w:val="2E4F1250"/>
    <w:rsid w:val="2EB15E75"/>
    <w:rsid w:val="2EF1281C"/>
    <w:rsid w:val="2F04192C"/>
    <w:rsid w:val="2F355DE6"/>
    <w:rsid w:val="2F600AEB"/>
    <w:rsid w:val="300133DD"/>
    <w:rsid w:val="300525AA"/>
    <w:rsid w:val="300F1952"/>
    <w:rsid w:val="307E1549"/>
    <w:rsid w:val="3084501D"/>
    <w:rsid w:val="30CB57A7"/>
    <w:rsid w:val="30E05FD7"/>
    <w:rsid w:val="310615A0"/>
    <w:rsid w:val="31252EB8"/>
    <w:rsid w:val="313D200C"/>
    <w:rsid w:val="31595556"/>
    <w:rsid w:val="316B0F9D"/>
    <w:rsid w:val="31704702"/>
    <w:rsid w:val="31715C7C"/>
    <w:rsid w:val="31AD696D"/>
    <w:rsid w:val="31EC5E42"/>
    <w:rsid w:val="32012931"/>
    <w:rsid w:val="320F75E7"/>
    <w:rsid w:val="32490A91"/>
    <w:rsid w:val="325E4A54"/>
    <w:rsid w:val="32B2011F"/>
    <w:rsid w:val="32FD0B2E"/>
    <w:rsid w:val="3319101F"/>
    <w:rsid w:val="335C162C"/>
    <w:rsid w:val="33772AC6"/>
    <w:rsid w:val="33D03830"/>
    <w:rsid w:val="33D47C6C"/>
    <w:rsid w:val="33FD6C1F"/>
    <w:rsid w:val="34322EA8"/>
    <w:rsid w:val="34B8288B"/>
    <w:rsid w:val="35696F0C"/>
    <w:rsid w:val="35BE5676"/>
    <w:rsid w:val="36326FE4"/>
    <w:rsid w:val="363F5AF3"/>
    <w:rsid w:val="365B0DFE"/>
    <w:rsid w:val="36A73AB3"/>
    <w:rsid w:val="36CE6D4D"/>
    <w:rsid w:val="36F3257A"/>
    <w:rsid w:val="36FC4C50"/>
    <w:rsid w:val="36FD6443"/>
    <w:rsid w:val="371434D8"/>
    <w:rsid w:val="371878A6"/>
    <w:rsid w:val="37AF2781"/>
    <w:rsid w:val="37E00DAC"/>
    <w:rsid w:val="37F618EE"/>
    <w:rsid w:val="38073B52"/>
    <w:rsid w:val="380E2012"/>
    <w:rsid w:val="388B701E"/>
    <w:rsid w:val="38AC0FA4"/>
    <w:rsid w:val="38EC5F07"/>
    <w:rsid w:val="39174A6B"/>
    <w:rsid w:val="39325D1D"/>
    <w:rsid w:val="396A7D80"/>
    <w:rsid w:val="39B238E9"/>
    <w:rsid w:val="39C84F64"/>
    <w:rsid w:val="3A4B7198"/>
    <w:rsid w:val="3A8E4644"/>
    <w:rsid w:val="3ACB670B"/>
    <w:rsid w:val="3ACF7509"/>
    <w:rsid w:val="3AD13F47"/>
    <w:rsid w:val="3B01758C"/>
    <w:rsid w:val="3B1A5B4B"/>
    <w:rsid w:val="3B43758E"/>
    <w:rsid w:val="3B665F0F"/>
    <w:rsid w:val="3B690CE8"/>
    <w:rsid w:val="3B6E72B9"/>
    <w:rsid w:val="3B7D63B4"/>
    <w:rsid w:val="3B870DCE"/>
    <w:rsid w:val="3BB637C2"/>
    <w:rsid w:val="3BFA1C2C"/>
    <w:rsid w:val="3C0848FF"/>
    <w:rsid w:val="3C3C0CC1"/>
    <w:rsid w:val="3C455759"/>
    <w:rsid w:val="3C7174D6"/>
    <w:rsid w:val="3CE75DC9"/>
    <w:rsid w:val="3D2F5EE9"/>
    <w:rsid w:val="3D334624"/>
    <w:rsid w:val="3E317926"/>
    <w:rsid w:val="3EA9065F"/>
    <w:rsid w:val="3ECF0366"/>
    <w:rsid w:val="3EFA6AE4"/>
    <w:rsid w:val="3F7E239E"/>
    <w:rsid w:val="3F9A3371"/>
    <w:rsid w:val="3F9E340E"/>
    <w:rsid w:val="3FB502BE"/>
    <w:rsid w:val="3FF82323"/>
    <w:rsid w:val="4033728E"/>
    <w:rsid w:val="4035332A"/>
    <w:rsid w:val="403F4822"/>
    <w:rsid w:val="40987907"/>
    <w:rsid w:val="40E934B9"/>
    <w:rsid w:val="40FB4613"/>
    <w:rsid w:val="41070844"/>
    <w:rsid w:val="411B6E8F"/>
    <w:rsid w:val="412C1864"/>
    <w:rsid w:val="41453DF3"/>
    <w:rsid w:val="4165041F"/>
    <w:rsid w:val="41F74BEE"/>
    <w:rsid w:val="4206102A"/>
    <w:rsid w:val="4275634E"/>
    <w:rsid w:val="430202A2"/>
    <w:rsid w:val="432520F6"/>
    <w:rsid w:val="433721FC"/>
    <w:rsid w:val="433822CE"/>
    <w:rsid w:val="437F76DC"/>
    <w:rsid w:val="43C40E22"/>
    <w:rsid w:val="443536FB"/>
    <w:rsid w:val="446A7393"/>
    <w:rsid w:val="447C657A"/>
    <w:rsid w:val="44957D65"/>
    <w:rsid w:val="44CF6B25"/>
    <w:rsid w:val="44E079BB"/>
    <w:rsid w:val="44E22F8B"/>
    <w:rsid w:val="44E960E8"/>
    <w:rsid w:val="45353CEB"/>
    <w:rsid w:val="453A40CB"/>
    <w:rsid w:val="458C4D96"/>
    <w:rsid w:val="45AD7221"/>
    <w:rsid w:val="46022D13"/>
    <w:rsid w:val="463D14DE"/>
    <w:rsid w:val="46616BA3"/>
    <w:rsid w:val="46EF37F4"/>
    <w:rsid w:val="47794E77"/>
    <w:rsid w:val="47834F2B"/>
    <w:rsid w:val="47930AB2"/>
    <w:rsid w:val="4793212F"/>
    <w:rsid w:val="48203EB5"/>
    <w:rsid w:val="482806F5"/>
    <w:rsid w:val="482D3C7A"/>
    <w:rsid w:val="48516C45"/>
    <w:rsid w:val="485C4AB9"/>
    <w:rsid w:val="48902C7D"/>
    <w:rsid w:val="48A76673"/>
    <w:rsid w:val="48AB4DAA"/>
    <w:rsid w:val="48DF74A8"/>
    <w:rsid w:val="48E90D34"/>
    <w:rsid w:val="49062235"/>
    <w:rsid w:val="490D65A2"/>
    <w:rsid w:val="492777C2"/>
    <w:rsid w:val="49571BBA"/>
    <w:rsid w:val="49BE5E4F"/>
    <w:rsid w:val="4A2B34D7"/>
    <w:rsid w:val="4A3F2BF6"/>
    <w:rsid w:val="4AEF6B4A"/>
    <w:rsid w:val="4B0275CC"/>
    <w:rsid w:val="4B381E5B"/>
    <w:rsid w:val="4B9472B8"/>
    <w:rsid w:val="4B960716"/>
    <w:rsid w:val="4BB93320"/>
    <w:rsid w:val="4C0267D2"/>
    <w:rsid w:val="4C205A60"/>
    <w:rsid w:val="4C272DBD"/>
    <w:rsid w:val="4C4B78F2"/>
    <w:rsid w:val="4C666F3E"/>
    <w:rsid w:val="4C8E206E"/>
    <w:rsid w:val="4CBC4DF9"/>
    <w:rsid w:val="4D2917CA"/>
    <w:rsid w:val="4D51716B"/>
    <w:rsid w:val="4D66295F"/>
    <w:rsid w:val="4D66591F"/>
    <w:rsid w:val="4DA07015"/>
    <w:rsid w:val="4DDF07FA"/>
    <w:rsid w:val="4E2805CD"/>
    <w:rsid w:val="4E8C47D4"/>
    <w:rsid w:val="4EF16821"/>
    <w:rsid w:val="4F194B0C"/>
    <w:rsid w:val="4F65464E"/>
    <w:rsid w:val="4F7C3071"/>
    <w:rsid w:val="4FA01618"/>
    <w:rsid w:val="4FB0717D"/>
    <w:rsid w:val="4FB10AA2"/>
    <w:rsid w:val="4FBB043A"/>
    <w:rsid w:val="50034240"/>
    <w:rsid w:val="5008799B"/>
    <w:rsid w:val="50133C52"/>
    <w:rsid w:val="5049554B"/>
    <w:rsid w:val="50533857"/>
    <w:rsid w:val="508D5BD4"/>
    <w:rsid w:val="51017FC1"/>
    <w:rsid w:val="516B1F63"/>
    <w:rsid w:val="516F7121"/>
    <w:rsid w:val="518B57C7"/>
    <w:rsid w:val="51B713E6"/>
    <w:rsid w:val="52067460"/>
    <w:rsid w:val="520D4B21"/>
    <w:rsid w:val="521302F8"/>
    <w:rsid w:val="52244C52"/>
    <w:rsid w:val="52371C82"/>
    <w:rsid w:val="523F1D91"/>
    <w:rsid w:val="52D86350"/>
    <w:rsid w:val="537A0DEA"/>
    <w:rsid w:val="53AE0B09"/>
    <w:rsid w:val="53C55E6C"/>
    <w:rsid w:val="53DB07DD"/>
    <w:rsid w:val="5480181D"/>
    <w:rsid w:val="54A67C28"/>
    <w:rsid w:val="551B0C5D"/>
    <w:rsid w:val="55257DAC"/>
    <w:rsid w:val="55287581"/>
    <w:rsid w:val="559D34CA"/>
    <w:rsid w:val="56094AD5"/>
    <w:rsid w:val="56131377"/>
    <w:rsid w:val="562521FD"/>
    <w:rsid w:val="56571813"/>
    <w:rsid w:val="5670064A"/>
    <w:rsid w:val="56DB0CED"/>
    <w:rsid w:val="56E55FD8"/>
    <w:rsid w:val="56F101A8"/>
    <w:rsid w:val="572A5C36"/>
    <w:rsid w:val="57920349"/>
    <w:rsid w:val="57B22A6D"/>
    <w:rsid w:val="57B41ECF"/>
    <w:rsid w:val="57B64077"/>
    <w:rsid w:val="57E95A37"/>
    <w:rsid w:val="57F55AE4"/>
    <w:rsid w:val="57F82771"/>
    <w:rsid w:val="57FA3F38"/>
    <w:rsid w:val="5805085A"/>
    <w:rsid w:val="584F2E64"/>
    <w:rsid w:val="585211C7"/>
    <w:rsid w:val="5862524B"/>
    <w:rsid w:val="58E26DD6"/>
    <w:rsid w:val="59154AD1"/>
    <w:rsid w:val="59316A67"/>
    <w:rsid w:val="593678E5"/>
    <w:rsid w:val="59457394"/>
    <w:rsid w:val="594A5DC3"/>
    <w:rsid w:val="595107F3"/>
    <w:rsid w:val="59D16409"/>
    <w:rsid w:val="5A61715A"/>
    <w:rsid w:val="5A7D1F7B"/>
    <w:rsid w:val="5ABA37A0"/>
    <w:rsid w:val="5B3359C3"/>
    <w:rsid w:val="5BD446F7"/>
    <w:rsid w:val="5C192BD7"/>
    <w:rsid w:val="5C263A71"/>
    <w:rsid w:val="5C37091C"/>
    <w:rsid w:val="5CD9669C"/>
    <w:rsid w:val="5CF6439A"/>
    <w:rsid w:val="5D0C4290"/>
    <w:rsid w:val="5D4A414F"/>
    <w:rsid w:val="5DE46114"/>
    <w:rsid w:val="5DEE62F4"/>
    <w:rsid w:val="5E1B1125"/>
    <w:rsid w:val="5E650F4E"/>
    <w:rsid w:val="5E794E66"/>
    <w:rsid w:val="5EC649A5"/>
    <w:rsid w:val="5F4F40CA"/>
    <w:rsid w:val="5F8C1BA6"/>
    <w:rsid w:val="5F990613"/>
    <w:rsid w:val="5FDA4450"/>
    <w:rsid w:val="60B66784"/>
    <w:rsid w:val="60C665B1"/>
    <w:rsid w:val="60E671C5"/>
    <w:rsid w:val="61431A92"/>
    <w:rsid w:val="61725FC7"/>
    <w:rsid w:val="61BC3E92"/>
    <w:rsid w:val="61F0792B"/>
    <w:rsid w:val="620B6A55"/>
    <w:rsid w:val="623562AE"/>
    <w:rsid w:val="624E7294"/>
    <w:rsid w:val="62BE0552"/>
    <w:rsid w:val="62FA4DCF"/>
    <w:rsid w:val="632A2AB9"/>
    <w:rsid w:val="63F707F7"/>
    <w:rsid w:val="64327417"/>
    <w:rsid w:val="64661B9B"/>
    <w:rsid w:val="64932420"/>
    <w:rsid w:val="64C37BDA"/>
    <w:rsid w:val="64D53D69"/>
    <w:rsid w:val="64F14F10"/>
    <w:rsid w:val="652F3747"/>
    <w:rsid w:val="653064C3"/>
    <w:rsid w:val="655C7119"/>
    <w:rsid w:val="656D50A1"/>
    <w:rsid w:val="659303CC"/>
    <w:rsid w:val="66390BDA"/>
    <w:rsid w:val="66720ACA"/>
    <w:rsid w:val="66877710"/>
    <w:rsid w:val="66C7779B"/>
    <w:rsid w:val="66E709FF"/>
    <w:rsid w:val="66E9612A"/>
    <w:rsid w:val="67390C59"/>
    <w:rsid w:val="677E16F5"/>
    <w:rsid w:val="680E7CC0"/>
    <w:rsid w:val="681232EC"/>
    <w:rsid w:val="68314DD2"/>
    <w:rsid w:val="684D04DB"/>
    <w:rsid w:val="68902656"/>
    <w:rsid w:val="68BA3F17"/>
    <w:rsid w:val="68E448B3"/>
    <w:rsid w:val="68F64923"/>
    <w:rsid w:val="69181C3D"/>
    <w:rsid w:val="69650DD3"/>
    <w:rsid w:val="69680568"/>
    <w:rsid w:val="69884124"/>
    <w:rsid w:val="69E45AB1"/>
    <w:rsid w:val="69FE6709"/>
    <w:rsid w:val="6A4F1E6C"/>
    <w:rsid w:val="6A5923C1"/>
    <w:rsid w:val="6B120BDA"/>
    <w:rsid w:val="6B816877"/>
    <w:rsid w:val="6B884F9C"/>
    <w:rsid w:val="6BE03AA3"/>
    <w:rsid w:val="6BF454AC"/>
    <w:rsid w:val="6C5435F8"/>
    <w:rsid w:val="6C874E78"/>
    <w:rsid w:val="6CA44EA2"/>
    <w:rsid w:val="6D0E17D2"/>
    <w:rsid w:val="6D2E2540"/>
    <w:rsid w:val="6DB66450"/>
    <w:rsid w:val="6DF7202A"/>
    <w:rsid w:val="6E1D12CF"/>
    <w:rsid w:val="6EF14597"/>
    <w:rsid w:val="6EFE71EA"/>
    <w:rsid w:val="6F3B35A2"/>
    <w:rsid w:val="6FAA7F40"/>
    <w:rsid w:val="6FE011BF"/>
    <w:rsid w:val="6FE211BE"/>
    <w:rsid w:val="703D1A4C"/>
    <w:rsid w:val="70AA7C9C"/>
    <w:rsid w:val="70EC5E61"/>
    <w:rsid w:val="724D6B66"/>
    <w:rsid w:val="72884FD2"/>
    <w:rsid w:val="72923560"/>
    <w:rsid w:val="73346D37"/>
    <w:rsid w:val="7357692D"/>
    <w:rsid w:val="73802E6C"/>
    <w:rsid w:val="73A630CD"/>
    <w:rsid w:val="73B35022"/>
    <w:rsid w:val="73BF3A17"/>
    <w:rsid w:val="73D4684E"/>
    <w:rsid w:val="740E07D3"/>
    <w:rsid w:val="74103469"/>
    <w:rsid w:val="74250C3A"/>
    <w:rsid w:val="74470B69"/>
    <w:rsid w:val="74672A98"/>
    <w:rsid w:val="74F113A2"/>
    <w:rsid w:val="74F75113"/>
    <w:rsid w:val="751E63A5"/>
    <w:rsid w:val="76073BA6"/>
    <w:rsid w:val="760A0114"/>
    <w:rsid w:val="763502A4"/>
    <w:rsid w:val="765813C4"/>
    <w:rsid w:val="76E92C5B"/>
    <w:rsid w:val="76EE788A"/>
    <w:rsid w:val="77234FE2"/>
    <w:rsid w:val="77287A2A"/>
    <w:rsid w:val="775B3D00"/>
    <w:rsid w:val="77990967"/>
    <w:rsid w:val="77CA11BC"/>
    <w:rsid w:val="77CC575C"/>
    <w:rsid w:val="77E30F0C"/>
    <w:rsid w:val="780B3433"/>
    <w:rsid w:val="78191E20"/>
    <w:rsid w:val="785B38AB"/>
    <w:rsid w:val="787B7A22"/>
    <w:rsid w:val="78816354"/>
    <w:rsid w:val="78FA6847"/>
    <w:rsid w:val="791E490C"/>
    <w:rsid w:val="79821F60"/>
    <w:rsid w:val="79CC5BF4"/>
    <w:rsid w:val="7A0329C5"/>
    <w:rsid w:val="7A4E2568"/>
    <w:rsid w:val="7A683F30"/>
    <w:rsid w:val="7AE6064D"/>
    <w:rsid w:val="7B340B1E"/>
    <w:rsid w:val="7B72015C"/>
    <w:rsid w:val="7B761BC1"/>
    <w:rsid w:val="7B8E6546"/>
    <w:rsid w:val="7B9315DF"/>
    <w:rsid w:val="7B9D3441"/>
    <w:rsid w:val="7BB77A36"/>
    <w:rsid w:val="7BDE0F43"/>
    <w:rsid w:val="7BE85FCD"/>
    <w:rsid w:val="7C10329A"/>
    <w:rsid w:val="7C41691D"/>
    <w:rsid w:val="7C6B1C4B"/>
    <w:rsid w:val="7C870703"/>
    <w:rsid w:val="7CDE3BC4"/>
    <w:rsid w:val="7CFD58AF"/>
    <w:rsid w:val="7D322412"/>
    <w:rsid w:val="7D3279EE"/>
    <w:rsid w:val="7D3A25B5"/>
    <w:rsid w:val="7D654A00"/>
    <w:rsid w:val="7DC66D79"/>
    <w:rsid w:val="7DCD2D5D"/>
    <w:rsid w:val="7DD4604F"/>
    <w:rsid w:val="7E253447"/>
    <w:rsid w:val="7E2F7518"/>
    <w:rsid w:val="7ED13F02"/>
    <w:rsid w:val="7F480C04"/>
    <w:rsid w:val="7F6A1E03"/>
    <w:rsid w:val="7F6D3308"/>
    <w:rsid w:val="7F867CBA"/>
    <w:rsid w:val="7FFC1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120" w:after="120" w:line="578" w:lineRule="auto"/>
      <w:jc w:val="center"/>
      <w:outlineLvl w:val="0"/>
    </w:pPr>
    <w:rPr>
      <w:rFonts w:eastAsia="黑体"/>
      <w:b/>
      <w:bCs/>
      <w:kern w:val="44"/>
      <w:sz w:val="32"/>
      <w:szCs w:val="44"/>
    </w:rPr>
  </w:style>
  <w:style w:type="paragraph" w:styleId="3">
    <w:name w:val="heading 2"/>
    <w:basedOn w:val="1"/>
    <w:next w:val="1"/>
    <w:link w:val="25"/>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0"/>
    <w:pPr>
      <w:keepNext/>
      <w:keepLines/>
      <w:spacing w:before="260" w:after="260" w:line="416" w:lineRule="auto"/>
      <w:outlineLvl w:val="2"/>
    </w:pPr>
    <w:rPr>
      <w:b/>
      <w:bCs/>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5">
    <w:name w:val="toc 3"/>
    <w:basedOn w:val="1"/>
    <w:next w:val="1"/>
    <w:qFormat/>
    <w:uiPriority w:val="39"/>
    <w:pPr>
      <w:ind w:left="840" w:leftChars="400"/>
    </w:pPr>
  </w:style>
  <w:style w:type="paragraph" w:styleId="6">
    <w:name w:val="footer"/>
    <w:basedOn w:val="1"/>
    <w:link w:val="23"/>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8">
    <w:name w:val="toc 1"/>
    <w:basedOn w:val="1"/>
    <w:next w:val="1"/>
    <w:qFormat/>
    <w:uiPriority w:val="39"/>
  </w:style>
  <w:style w:type="paragraph" w:styleId="9">
    <w:name w:val="toc 2"/>
    <w:basedOn w:val="1"/>
    <w:next w:val="1"/>
    <w:qFormat/>
    <w:uiPriority w:val="39"/>
    <w:pPr>
      <w:ind w:left="420" w:leftChars="200"/>
    </w:pPr>
  </w:style>
  <w:style w:type="paragraph" w:styleId="10">
    <w:name w:val="Title"/>
    <w:basedOn w:val="1"/>
    <w:next w:val="1"/>
    <w:qFormat/>
    <w:uiPriority w:val="1"/>
    <w:pPr>
      <w:spacing w:after="156" w:afterLines="50"/>
      <w:jc w:val="center"/>
    </w:pPr>
    <w:rPr>
      <w:rFonts w:ascii="黑体" w:hAnsi="黑体" w:eastAsia="黑体"/>
      <w:sz w:val="36"/>
      <w:szCs w:val="36"/>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paragraph" w:customStyle="1" w:styleId="15">
    <w:name w:val="无间隔2"/>
    <w:basedOn w:val="1"/>
    <w:next w:val="1"/>
    <w:qFormat/>
    <w:uiPriority w:val="0"/>
    <w:pPr>
      <w:ind w:firstLine="200" w:firstLineChars="200"/>
    </w:pPr>
    <w:rPr>
      <w:rFonts w:hint="eastAsia" w:hAnsi="宋体" w:eastAsia="宋体" w:cs="Times New Roman"/>
    </w:rPr>
  </w:style>
  <w:style w:type="paragraph" w:customStyle="1" w:styleId="16">
    <w:name w:val="无间隔1"/>
    <w:basedOn w:val="1"/>
    <w:next w:val="1"/>
    <w:qFormat/>
    <w:uiPriority w:val="1"/>
    <w:pPr>
      <w:ind w:firstLine="200" w:firstLineChars="200"/>
    </w:pPr>
  </w:style>
  <w:style w:type="character" w:customStyle="1" w:styleId="17">
    <w:name w:val="font31"/>
    <w:basedOn w:val="13"/>
    <w:qFormat/>
    <w:uiPriority w:val="0"/>
    <w:rPr>
      <w:rFonts w:ascii="黑体" w:hAnsi="宋体" w:eastAsia="黑体" w:cs="黑体"/>
      <w:color w:val="000000"/>
      <w:sz w:val="22"/>
      <w:szCs w:val="22"/>
      <w:u w:val="none"/>
    </w:rPr>
  </w:style>
  <w:style w:type="character" w:customStyle="1" w:styleId="18">
    <w:name w:val="font41"/>
    <w:basedOn w:val="13"/>
    <w:qFormat/>
    <w:uiPriority w:val="0"/>
    <w:rPr>
      <w:rFonts w:hint="eastAsia" w:ascii="宋体" w:hAnsi="宋体" w:eastAsia="宋体" w:cs="宋体"/>
      <w:color w:val="000000"/>
      <w:sz w:val="22"/>
      <w:szCs w:val="22"/>
      <w:u w:val="none"/>
    </w:rPr>
  </w:style>
  <w:style w:type="paragraph" w:customStyle="1" w:styleId="19">
    <w:name w:val="居中"/>
    <w:basedOn w:val="16"/>
    <w:qFormat/>
    <w:uiPriority w:val="0"/>
    <w:pPr>
      <w:ind w:firstLine="0" w:firstLineChars="0"/>
      <w:jc w:val="center"/>
    </w:pPr>
  </w:style>
  <w:style w:type="paragraph" w:customStyle="1" w:styleId="20">
    <w:name w:val="WPSOffice手动目录 1"/>
    <w:qFormat/>
    <w:uiPriority w:val="0"/>
    <w:rPr>
      <w:rFonts w:asciiTheme="minorHAnsi" w:hAnsiTheme="minorHAnsi" w:eastAsiaTheme="minorEastAsia" w:cstheme="minorBidi"/>
      <w:lang w:val="en-US" w:eastAsia="zh-CN" w:bidi="ar-SA"/>
    </w:rPr>
  </w:style>
  <w:style w:type="paragraph" w:customStyle="1" w:styleId="21">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2">
    <w:name w:val="List Paragraph"/>
    <w:basedOn w:val="1"/>
    <w:qFormat/>
    <w:uiPriority w:val="99"/>
    <w:pPr>
      <w:ind w:firstLine="420" w:firstLineChars="200"/>
    </w:pPr>
  </w:style>
  <w:style w:type="character" w:customStyle="1" w:styleId="23">
    <w:name w:val="页脚 字符"/>
    <w:basedOn w:val="13"/>
    <w:link w:val="6"/>
    <w:qFormat/>
    <w:uiPriority w:val="99"/>
    <w:rPr>
      <w:kern w:val="2"/>
      <w:sz w:val="18"/>
      <w:szCs w:val="24"/>
    </w:rPr>
  </w:style>
  <w:style w:type="character" w:customStyle="1" w:styleId="24">
    <w:name w:val="标题 3 字符"/>
    <w:basedOn w:val="13"/>
    <w:link w:val="4"/>
    <w:semiHidden/>
    <w:qFormat/>
    <w:uiPriority w:val="0"/>
    <w:rPr>
      <w:b/>
      <w:bCs/>
      <w:kern w:val="2"/>
      <w:sz w:val="32"/>
      <w:szCs w:val="32"/>
    </w:rPr>
  </w:style>
  <w:style w:type="character" w:customStyle="1" w:styleId="25">
    <w:name w:val="标题 2 字符"/>
    <w:basedOn w:val="13"/>
    <w:link w:val="3"/>
    <w:semiHidden/>
    <w:qFormat/>
    <w:uiPriority w:val="0"/>
    <w:rPr>
      <w:rFonts w:asciiTheme="majorHAnsi" w:hAnsiTheme="majorHAnsi" w:eastAsiaTheme="majorEastAsia" w:cstheme="majorBidi"/>
      <w:b/>
      <w:bCs/>
      <w:kern w:val="2"/>
      <w:sz w:val="32"/>
      <w:szCs w:val="32"/>
    </w:rPr>
  </w:style>
  <w:style w:type="paragraph" w:customStyle="1" w:styleId="26">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Cs w:val="32"/>
    </w:rPr>
  </w:style>
  <w:style w:type="table" w:customStyle="1" w:styleId="27">
    <w:name w:val="TableGrid"/>
    <w:qFormat/>
    <w:uiPriority w:val="0"/>
    <w:tblPr>
      <w:tblCellMar>
        <w:top w:w="0" w:type="dxa"/>
        <w:left w:w="0" w:type="dxa"/>
        <w:bottom w:w="0" w:type="dxa"/>
        <w:right w:w="0" w:type="dxa"/>
      </w:tblCellMar>
    </w:tblPr>
  </w:style>
  <w:style w:type="paragraph" w:customStyle="1" w:styleId="28">
    <w:name w:val="单位L5"/>
    <w:basedOn w:val="1"/>
    <w:qFormat/>
    <w:uiPriority w:val="1"/>
    <w:pPr>
      <w:ind w:firstLine="560"/>
      <w:jc w:val="center"/>
    </w:pPr>
    <w:rPr>
      <w:rFonts w:ascii="黑体" w:eastAsia="黑体"/>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1959</Words>
  <Characters>11169</Characters>
  <Lines>93</Lines>
  <Paragraphs>26</Paragraphs>
  <TotalTime>12</TotalTime>
  <ScaleCrop>false</ScaleCrop>
  <LinksUpToDate>false</LinksUpToDate>
  <CharactersWithSpaces>13102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2018-11-06T05:59:00Z</dcterms:created>
  <dc:creator>zhangjg</dc:creator>
  <cp:lastModifiedBy>00206991_hn</cp:lastModifiedBy>
  <cp:lastPrinted>2021-02-18T09:10:00Z</cp:lastPrinted>
  <dcterms:modified xsi:type="dcterms:W3CDTF">2025-11-25T07:04:38Z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264A7CC521B94C1795E56FFD3D7865B0</vt:lpwstr>
  </property>
</Properties>
</file>