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20" w:lineRule="exact"/>
        <w:jc w:val="center"/>
        <w:rPr>
          <w:rFonts w:hint="default" w:eastAsia="仿宋_GB2312"/>
          <w:sz w:val="40"/>
          <w:szCs w:val="40"/>
          <w:lang w:val="en-US" w:eastAsia="zh-CN"/>
        </w:rPr>
      </w:pPr>
      <w:r>
        <w:rPr>
          <w:rFonts w:hint="eastAsia" w:ascii="方正小标宋简体" w:hAnsi="方正小标宋简体" w:eastAsia="方正小标宋简体" w:cs="方正小标宋简体"/>
          <w:bCs/>
          <w:sz w:val="40"/>
          <w:szCs w:val="40"/>
          <w:lang w:val="en-US" w:eastAsia="zh-CN"/>
        </w:rPr>
        <w:t>广州电力交易中心2026年电力交易大屏幕及附属设备日常维保维修服务采购技术规范书</w:t>
      </w:r>
    </w:p>
    <w:p>
      <w:pPr>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一、项目概况</w:t>
      </w:r>
    </w:p>
    <w:p>
      <w:pPr>
        <w:spacing w:line="520" w:lineRule="exact"/>
        <w:ind w:firstLine="560" w:firstLineChars="200"/>
        <w:jc w:val="lef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电力交易大屏幕由广州电力交易中心经营办公用房装修项目建设并于2018年投入运行，主要用于电力交易数据展示、汇报等重要业务场景，在设备质保期到期后，需采购设备的日常维保维修服务。</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二</w:t>
      </w:r>
      <w:r>
        <w:rPr>
          <w:rFonts w:hint="eastAsia" w:ascii="仿宋" w:hAnsi="仿宋" w:eastAsia="仿宋" w:cs="仿宋"/>
          <w:bCs/>
          <w:sz w:val="28"/>
          <w:szCs w:val="28"/>
        </w:rPr>
        <w:t>、</w:t>
      </w:r>
      <w:r>
        <w:rPr>
          <w:rFonts w:hint="eastAsia" w:ascii="仿宋" w:hAnsi="仿宋" w:eastAsia="仿宋" w:cs="仿宋"/>
          <w:bCs/>
          <w:sz w:val="28"/>
          <w:szCs w:val="28"/>
          <w:lang w:val="en-US" w:eastAsia="zh-CN"/>
        </w:rPr>
        <w:t>采购内容</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（一）</w:t>
      </w:r>
      <w:r>
        <w:rPr>
          <w:rFonts w:hint="eastAsia" w:ascii="仿宋" w:hAnsi="仿宋" w:eastAsia="仿宋" w:cs="仿宋"/>
          <w:bCs/>
          <w:sz w:val="28"/>
          <w:szCs w:val="28"/>
          <w:lang w:val="en-US" w:eastAsia="zh-CN"/>
        </w:rPr>
        <w:t>对电力交易大屏幕及附属设备开展日常的定检维保，并在重要时期开展保障人员驻点保障服务</w:t>
      </w:r>
      <w:r>
        <w:rPr>
          <w:rFonts w:hint="eastAsia" w:ascii="仿宋" w:hAnsi="仿宋" w:eastAsia="仿宋" w:cs="仿宋"/>
          <w:bCs/>
          <w:sz w:val="28"/>
          <w:szCs w:val="28"/>
        </w:rPr>
        <w:t>。</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（二）</w:t>
      </w:r>
      <w:r>
        <w:rPr>
          <w:rFonts w:hint="eastAsia" w:ascii="仿宋" w:hAnsi="仿宋" w:eastAsia="仿宋" w:cs="仿宋"/>
          <w:bCs/>
          <w:sz w:val="28"/>
          <w:szCs w:val="28"/>
          <w:lang w:val="en-US" w:eastAsia="zh-CN"/>
        </w:rPr>
        <w:t>对日常维保中发现的故障设备零配件（更换费用在1000元及以下）进行更换或维修</w:t>
      </w:r>
      <w:r>
        <w:rPr>
          <w:rFonts w:hint="eastAsia" w:ascii="仿宋" w:hAnsi="仿宋" w:eastAsia="仿宋" w:cs="仿宋"/>
          <w:bCs/>
          <w:sz w:val="28"/>
          <w:szCs w:val="28"/>
        </w:rPr>
        <w:t>。</w:t>
      </w:r>
    </w:p>
    <w:p>
      <w:pPr>
        <w:spacing w:line="520" w:lineRule="exact"/>
        <w:ind w:firstLine="560" w:firstLineChars="200"/>
        <w:jc w:val="left"/>
        <w:rPr>
          <w:rFonts w:hint="eastAsia" w:ascii="仿宋" w:hAnsi="仿宋" w:eastAsia="仿宋" w:cs="仿宋"/>
          <w:bCs/>
          <w:sz w:val="28"/>
          <w:szCs w:val="28"/>
          <w:lang w:eastAsia="zh-CN"/>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三</w:t>
      </w:r>
      <w:r>
        <w:rPr>
          <w:rFonts w:hint="eastAsia" w:ascii="仿宋" w:hAnsi="仿宋" w:eastAsia="仿宋" w:cs="仿宋"/>
          <w:bCs/>
          <w:sz w:val="28"/>
          <w:szCs w:val="28"/>
        </w:rPr>
        <w:t>）</w:t>
      </w:r>
      <w:r>
        <w:rPr>
          <w:rFonts w:hint="eastAsia" w:ascii="仿宋" w:hAnsi="仿宋" w:eastAsia="仿宋" w:cs="仿宋"/>
          <w:bCs/>
          <w:sz w:val="28"/>
          <w:szCs w:val="28"/>
          <w:lang w:val="en-US" w:eastAsia="zh-CN"/>
        </w:rPr>
        <w:t>本次采购的服务期1年，服务期间需确保设备正常稳定运行</w:t>
      </w:r>
      <w:r>
        <w:rPr>
          <w:rFonts w:hint="eastAsia" w:ascii="仿宋" w:hAnsi="仿宋" w:eastAsia="仿宋" w:cs="仿宋"/>
          <w:bCs/>
          <w:sz w:val="28"/>
          <w:szCs w:val="28"/>
        </w:rPr>
        <w:t>。</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lang w:val="en-US" w:eastAsia="zh-CN"/>
        </w:rPr>
        <w:t>三</w:t>
      </w:r>
      <w:r>
        <w:rPr>
          <w:rFonts w:hint="eastAsia" w:ascii="仿宋" w:hAnsi="仿宋" w:eastAsia="仿宋" w:cs="仿宋"/>
          <w:bCs/>
          <w:sz w:val="28"/>
          <w:szCs w:val="28"/>
        </w:rPr>
        <w:t>、报价须知</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（一）报价以人民币为货币单位，包含总价、分项报价。</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（二）报价人应提供支撑项目报价的相关证明文件（例如：企业营业执照、</w:t>
      </w:r>
      <w:r>
        <w:rPr>
          <w:rFonts w:hint="eastAsia" w:ascii="仿宋" w:hAnsi="仿宋" w:eastAsia="仿宋" w:cs="仿宋"/>
          <w:bCs/>
          <w:sz w:val="28"/>
          <w:szCs w:val="28"/>
          <w:lang w:val="en-US" w:eastAsia="zh-CN"/>
        </w:rPr>
        <w:t>安全生产许可证、质量管理体系认证</w:t>
      </w:r>
      <w:r>
        <w:rPr>
          <w:rFonts w:hint="eastAsia" w:ascii="仿宋" w:hAnsi="仿宋" w:eastAsia="仿宋" w:cs="仿宋"/>
          <w:bCs/>
          <w:sz w:val="28"/>
          <w:szCs w:val="28"/>
        </w:rPr>
        <w:t>、</w:t>
      </w:r>
      <w:r>
        <w:rPr>
          <w:rFonts w:hint="eastAsia" w:ascii="仿宋" w:hAnsi="仿宋" w:eastAsia="仿宋" w:cs="仿宋"/>
          <w:bCs/>
          <w:sz w:val="28"/>
          <w:szCs w:val="28"/>
          <w:lang w:val="en-US" w:eastAsia="zh-CN"/>
        </w:rPr>
        <w:t>电子与智能化工程专业承包贰级及以上资质</w:t>
      </w:r>
      <w:r>
        <w:rPr>
          <w:rFonts w:hint="eastAsia" w:ascii="仿宋" w:hAnsi="仿宋" w:eastAsia="仿宋" w:cs="仿宋"/>
          <w:bCs/>
          <w:sz w:val="28"/>
          <w:szCs w:val="28"/>
        </w:rPr>
        <w:t>等），报价文件格式见附件。</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三</w:t>
      </w:r>
      <w:r>
        <w:rPr>
          <w:rFonts w:hint="eastAsia" w:ascii="仿宋" w:hAnsi="仿宋" w:eastAsia="仿宋" w:cs="仿宋"/>
          <w:bCs/>
          <w:sz w:val="28"/>
          <w:szCs w:val="28"/>
        </w:rPr>
        <w:t>）询价成交原则：最低价中标原则。报价一经我公司认可，即为签订合同的最终依据。</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四</w:t>
      </w:r>
      <w:r>
        <w:rPr>
          <w:rFonts w:hint="eastAsia" w:ascii="仿宋" w:hAnsi="仿宋" w:eastAsia="仿宋" w:cs="仿宋"/>
          <w:bCs/>
          <w:sz w:val="28"/>
          <w:szCs w:val="28"/>
        </w:rPr>
        <w:t>）各报价人对上述条款均应作出响应，非响应性报价均作无效报价处理。</w:t>
      </w:r>
    </w:p>
    <w:p>
      <w:pPr>
        <w:widowControl/>
        <w:shd w:val="clear" w:color="auto" w:fill="FFFFFF"/>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三</w:t>
      </w:r>
      <w:r>
        <w:rPr>
          <w:rFonts w:hint="eastAsia" w:ascii="仿宋" w:hAnsi="仿宋" w:eastAsia="仿宋" w:cs="仿宋"/>
          <w:bCs/>
          <w:sz w:val="28"/>
          <w:szCs w:val="28"/>
          <w:lang w:eastAsia="zh-CN"/>
        </w:rPr>
        <w:t>、</w:t>
      </w:r>
      <w:r>
        <w:rPr>
          <w:rFonts w:hint="eastAsia" w:ascii="仿宋" w:hAnsi="仿宋" w:eastAsia="仿宋" w:cs="仿宋"/>
          <w:bCs/>
          <w:sz w:val="28"/>
          <w:szCs w:val="28"/>
        </w:rPr>
        <w:t>联系方法</w:t>
      </w:r>
    </w:p>
    <w:p>
      <w:pPr>
        <w:spacing w:line="52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rPr>
        <w:t>单位名称：</w:t>
      </w:r>
      <w:r>
        <w:rPr>
          <w:rFonts w:hint="eastAsia" w:ascii="仿宋" w:hAnsi="仿宋" w:eastAsia="仿宋" w:cs="仿宋"/>
          <w:bCs/>
          <w:sz w:val="28"/>
          <w:szCs w:val="28"/>
          <w:lang w:val="en-US" w:eastAsia="zh-CN"/>
        </w:rPr>
        <w:t>广州电力交易中心</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rPr>
        <w:t>地址：</w:t>
      </w:r>
      <w:r>
        <w:rPr>
          <w:rFonts w:hint="eastAsia" w:ascii="仿宋" w:hAnsi="仿宋" w:eastAsia="仿宋" w:cs="仿宋"/>
          <w:bCs/>
          <w:sz w:val="28"/>
          <w:szCs w:val="28"/>
          <w:lang w:val="en-US" w:eastAsia="zh-CN"/>
        </w:rPr>
        <w:t>广东省广州市黄埔区科翔路11号南网新基地3号楼</w:t>
      </w:r>
    </w:p>
    <w:p>
      <w:pPr>
        <w:spacing w:line="520" w:lineRule="exact"/>
        <w:ind w:firstLine="560" w:firstLineChars="200"/>
        <w:rPr>
          <w:rFonts w:ascii="仿宋" w:hAnsi="仿宋" w:eastAsia="仿宋" w:cs="仿宋"/>
          <w:sz w:val="28"/>
          <w:szCs w:val="28"/>
        </w:rPr>
      </w:pPr>
      <w:r>
        <w:rPr>
          <w:rFonts w:hint="eastAsia" w:ascii="仿宋" w:hAnsi="仿宋" w:eastAsia="仿宋" w:cs="仿宋"/>
          <w:bCs/>
          <w:sz w:val="28"/>
          <w:szCs w:val="28"/>
        </w:rPr>
        <w:t>附件：报价文件格式</w:t>
      </w:r>
    </w:p>
    <w:p>
      <w:pPr>
        <w:pStyle w:val="2"/>
      </w:pPr>
      <w:r>
        <w:br w:type="page"/>
      </w:r>
    </w:p>
    <w:p>
      <w:pPr>
        <w:pStyle w:val="2"/>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附件：报价文件格式</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jc w:val="center"/>
        <w:rPr>
          <w:rFonts w:ascii="黑体" w:hAnsi="黑体" w:eastAsia="黑体" w:cs="黑体"/>
          <w:bCs/>
          <w:sz w:val="32"/>
          <w:szCs w:val="32"/>
        </w:rPr>
      </w:pPr>
      <w:r>
        <w:rPr>
          <w:rFonts w:hint="eastAsia" w:ascii="黑体" w:hAnsi="黑体" w:eastAsia="黑体" w:cs="黑体"/>
          <w:bCs/>
          <w:sz w:val="44"/>
          <w:szCs w:val="44"/>
          <w:lang w:val="en-US" w:eastAsia="zh-CN"/>
        </w:rPr>
        <w:t>广州电力交易中心2026年电力交易大屏幕</w:t>
      </w:r>
      <w:r>
        <w:rPr>
          <w:rFonts w:hint="eastAsia" w:ascii="黑体" w:hAnsi="黑体" w:eastAsia="黑体" w:cs="黑体"/>
          <w:bCs/>
          <w:sz w:val="44"/>
          <w:szCs w:val="44"/>
          <w:lang w:val="en-US" w:eastAsia="zh-CN"/>
        </w:rPr>
        <w:br w:type="textWrapping"/>
      </w:r>
      <w:r>
        <w:rPr>
          <w:rFonts w:hint="eastAsia" w:ascii="黑体" w:hAnsi="黑体" w:eastAsia="黑体" w:cs="黑体"/>
          <w:bCs/>
          <w:sz w:val="44"/>
          <w:szCs w:val="44"/>
          <w:lang w:val="en-US" w:eastAsia="zh-CN"/>
        </w:rPr>
        <w:t>及附属设备日常维保维修服务采购</w:t>
      </w:r>
      <w:r>
        <w:rPr>
          <w:rFonts w:hint="eastAsia" w:ascii="黑体" w:hAnsi="黑体" w:eastAsia="黑体" w:cs="黑体"/>
          <w:bCs/>
          <w:sz w:val="44"/>
          <w:szCs w:val="44"/>
          <w:lang w:val="en-US" w:eastAsia="zh-CN"/>
        </w:rPr>
        <w:br w:type="textWrapping"/>
      </w:r>
      <w:r>
        <w:rPr>
          <w:rFonts w:hint="eastAsia" w:ascii="黑体" w:hAnsi="黑体" w:eastAsia="黑体" w:cs="黑体"/>
          <w:bCs/>
          <w:sz w:val="44"/>
          <w:szCs w:val="44"/>
          <w:lang w:val="en-US" w:eastAsia="zh-CN"/>
        </w:rPr>
        <w:t>执行报价</w:t>
      </w: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44"/>
          <w:szCs w:val="44"/>
        </w:rPr>
      </w:pPr>
      <w:r>
        <w:rPr>
          <w:rFonts w:hint="eastAsia" w:ascii="黑体" w:hAnsi="黑体" w:eastAsia="黑体" w:cs="黑体"/>
          <w:bCs/>
          <w:sz w:val="44"/>
          <w:szCs w:val="44"/>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2"/>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Pr>
        <w:pStyle w:val="2"/>
        <w:ind w:firstLine="1280" w:firstLineChars="40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u w:val="single"/>
        </w:rPr>
        <w:br w:type="page"/>
      </w: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报价表</w:t>
      </w:r>
    </w:p>
    <w:p>
      <w:pPr>
        <w:pStyle w:val="2"/>
        <w:numPr>
          <w:ilvl w:val="0"/>
          <w:numId w:val="2"/>
        </w:numPr>
        <w:spacing w:after="0" w:line="360" w:lineRule="auto"/>
        <w:rPr>
          <w:rFonts w:ascii="仿宋" w:hAnsi="仿宋" w:eastAsia="仿宋" w:cs="仿宋"/>
          <w:b/>
          <w:sz w:val="28"/>
          <w:szCs w:val="28"/>
        </w:rPr>
      </w:pPr>
      <w:r>
        <w:rPr>
          <w:rFonts w:hint="eastAsia" w:ascii="仿宋" w:hAnsi="仿宋" w:eastAsia="仿宋" w:cs="仿宋"/>
          <w:b/>
          <w:sz w:val="28"/>
          <w:szCs w:val="28"/>
        </w:rPr>
        <w:t>项目总报价：人民币</w:t>
      </w:r>
      <w:r>
        <w:rPr>
          <w:rFonts w:hint="eastAsia" w:ascii="仿宋" w:hAnsi="仿宋" w:eastAsia="仿宋" w:cs="仿宋"/>
          <w:b/>
          <w:sz w:val="28"/>
          <w:szCs w:val="28"/>
          <w:u w:val="single"/>
        </w:rPr>
        <w:t xml:space="preserve">               </w:t>
      </w:r>
      <w:r>
        <w:rPr>
          <w:rFonts w:hint="eastAsia" w:ascii="仿宋" w:hAnsi="仿宋" w:eastAsia="仿宋" w:cs="仿宋"/>
          <w:b/>
          <w:sz w:val="28"/>
          <w:szCs w:val="28"/>
        </w:rPr>
        <w:t>元</w:t>
      </w:r>
    </w:p>
    <w:p>
      <w:pPr>
        <w:pStyle w:val="2"/>
        <w:numPr>
          <w:ilvl w:val="0"/>
          <w:numId w:val="2"/>
        </w:numPr>
        <w:spacing w:after="0" w:line="360" w:lineRule="auto"/>
        <w:rPr>
          <w:rFonts w:ascii="仿宋" w:hAnsi="仿宋" w:eastAsia="仿宋" w:cs="仿宋"/>
          <w:b/>
          <w:sz w:val="28"/>
          <w:szCs w:val="28"/>
        </w:rPr>
      </w:pPr>
      <w:r>
        <w:rPr>
          <w:rFonts w:hint="eastAsia" w:ascii="仿宋" w:hAnsi="仿宋" w:eastAsia="仿宋" w:cs="仿宋"/>
          <w:b/>
          <w:sz w:val="28"/>
          <w:szCs w:val="28"/>
          <w:lang w:val="en-US" w:eastAsia="zh-CN"/>
        </w:rPr>
        <w:t>维保范围</w:t>
      </w:r>
      <w:r>
        <w:rPr>
          <w:rFonts w:hint="eastAsia" w:ascii="仿宋" w:hAnsi="仿宋" w:eastAsia="仿宋" w:cs="仿宋"/>
          <w:b/>
          <w:sz w:val="28"/>
          <w:szCs w:val="28"/>
        </w:rPr>
        <w:t>：</w:t>
      </w: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3285"/>
        <w:gridCol w:w="3902"/>
        <w:gridCol w:w="13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bdr w:val="none" w:color="auto" w:sz="0" w:space="0"/>
                <w:lang w:val="en-US" w:eastAsia="zh-CN" w:bidi="ar"/>
              </w:rPr>
            </w:pPr>
            <w:r>
              <w:rPr>
                <w:rFonts w:hint="eastAsia" w:ascii="宋体" w:hAnsi="宋体" w:eastAsia="宋体" w:cs="宋体"/>
                <w:b/>
                <w:bCs/>
                <w:i w:val="0"/>
                <w:iCs w:val="0"/>
                <w:color w:val="000000"/>
                <w:kern w:val="0"/>
                <w:sz w:val="24"/>
                <w:szCs w:val="24"/>
                <w:u w:val="none"/>
                <w:bdr w:val="none" w:color="auto" w:sz="0" w:space="0"/>
                <w:lang w:val="en-US" w:eastAsia="zh-CN" w:bidi="ar"/>
              </w:rPr>
              <w:t>品名</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bdr w:val="none" w:color="auto" w:sz="0" w:space="0"/>
                <w:lang w:val="en-US" w:eastAsia="zh-CN" w:bidi="ar"/>
              </w:rPr>
            </w:pPr>
            <w:r>
              <w:rPr>
                <w:rFonts w:hint="eastAsia" w:ascii="宋体" w:hAnsi="宋体" w:eastAsia="宋体" w:cs="宋体"/>
                <w:b/>
                <w:bCs/>
                <w:i w:val="0"/>
                <w:iCs w:val="0"/>
                <w:color w:val="000000"/>
                <w:kern w:val="0"/>
                <w:sz w:val="24"/>
                <w:szCs w:val="24"/>
                <w:u w:val="none"/>
                <w:bdr w:val="none" w:color="auto" w:sz="0" w:space="0"/>
                <w:lang w:val="en-US" w:eastAsia="zh-CN" w:bidi="ar"/>
              </w:rPr>
              <w:t>型号</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bdr w:val="none" w:color="auto" w:sz="0" w:space="0"/>
                <w:lang w:val="en-US" w:eastAsia="zh-CN" w:bidi="ar"/>
              </w:rPr>
            </w:pPr>
            <w:r>
              <w:rPr>
                <w:rFonts w:hint="eastAsia" w:ascii="宋体" w:hAnsi="宋体" w:eastAsia="宋体" w:cs="宋体"/>
                <w:b/>
                <w:bCs/>
                <w:i w:val="0"/>
                <w:iCs w:val="0"/>
                <w:color w:val="000000"/>
                <w:kern w:val="0"/>
                <w:sz w:val="24"/>
                <w:szCs w:val="24"/>
                <w:u w:val="none"/>
                <w:bdr w:val="none" w:color="auto" w:sz="0" w:space="0"/>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bdr w:val="none" w:color="auto" w:sz="0" w:space="0"/>
                <w:lang w:val="en-US" w:eastAsia="zh-CN" w:bidi="ar"/>
              </w:rPr>
            </w:pPr>
            <w:r>
              <w:rPr>
                <w:rFonts w:hint="eastAsia" w:ascii="宋体" w:hAnsi="宋体" w:eastAsia="宋体" w:cs="宋体"/>
                <w:b/>
                <w:bCs/>
                <w:i w:val="0"/>
                <w:iCs w:val="0"/>
                <w:color w:val="000000"/>
                <w:kern w:val="0"/>
                <w:sz w:val="24"/>
                <w:szCs w:val="24"/>
                <w:u w:val="none"/>
                <w:bdr w:val="none" w:color="auto" w:sz="0" w:space="0"/>
                <w:lang w:val="en-US" w:eastAsia="zh-CN" w:bidi="ar"/>
              </w:rPr>
              <w:t>大屏图像系统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投影机</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UDX-4K32</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投影机镜头</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TLD+ Ultra</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投影幕</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久壬</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反射镜</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久壬定制</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8"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融合处理器</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小鸟科技DB-EBC2</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bdr w:val="none" w:color="auto" w:sz="0" w:space="0"/>
                <w:lang w:val="en-US" w:eastAsia="zh-CN" w:bidi="ar"/>
              </w:rPr>
            </w:pPr>
            <w:r>
              <w:rPr>
                <w:rFonts w:hint="eastAsia" w:ascii="宋体" w:hAnsi="宋体" w:eastAsia="宋体" w:cs="宋体"/>
                <w:b/>
                <w:bCs/>
                <w:i w:val="0"/>
                <w:iCs w:val="0"/>
                <w:color w:val="000000"/>
                <w:kern w:val="0"/>
                <w:sz w:val="24"/>
                <w:szCs w:val="24"/>
                <w:u w:val="none"/>
                <w:bdr w:val="none" w:color="auto" w:sz="0" w:space="0"/>
                <w:lang w:val="en-US" w:eastAsia="zh-CN" w:bidi="ar"/>
              </w:rPr>
              <w:t>扩声系统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吸顶音箱</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Control 18CT</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主扩声功放</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DAMEIS HE8000</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数字音频处理器</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BSS BLU-103</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无线手持话筒</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BLX24/SM58</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电源时序器</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S108A Bitmap</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领夹无线话筒</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dga-ur501</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中控主机</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creator CR-PGMIII</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会议话筒</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dga-tm45</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机柜</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42U设备机柜</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bdr w:val="none" w:color="auto" w:sz="0" w:space="0"/>
                <w:lang w:val="en-US" w:eastAsia="zh-CN" w:bidi="ar"/>
              </w:rPr>
            </w:pPr>
            <w:r>
              <w:rPr>
                <w:rFonts w:hint="eastAsia" w:ascii="宋体" w:hAnsi="宋体" w:eastAsia="宋体" w:cs="宋体"/>
                <w:b/>
                <w:bCs/>
                <w:i w:val="0"/>
                <w:iCs w:val="0"/>
                <w:color w:val="000000"/>
                <w:kern w:val="0"/>
                <w:sz w:val="24"/>
                <w:szCs w:val="24"/>
                <w:u w:val="none"/>
                <w:bdr w:val="none" w:color="auto" w:sz="0" w:space="0"/>
                <w:lang w:val="en-US" w:eastAsia="zh-CN" w:bidi="ar"/>
              </w:rPr>
              <w:t>UPS电源系统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UPS电源系统</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山特20KVA</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蓄电池</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山特12V/100AH</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32节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机柜</w:t>
            </w:r>
          </w:p>
        </w:tc>
        <w:tc>
          <w:tcPr>
            <w:tcW w:w="2290"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47U设备机构</w:t>
            </w:r>
          </w:p>
        </w:tc>
        <w:tc>
          <w:tcPr>
            <w:tcW w:w="781"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r>
    </w:tbl>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企业营业执照</w:t>
      </w:r>
    </w:p>
    <w:p>
      <w:pPr>
        <w:pStyle w:val="2"/>
        <w:spacing w:after="0" w:line="360" w:lineRule="auto"/>
        <w:rPr>
          <w:rFonts w:ascii="黑体" w:hAnsi="黑体" w:eastAsia="黑体" w:cs="黑体"/>
          <w:bCs/>
          <w:sz w:val="30"/>
          <w:szCs w:val="30"/>
        </w:rPr>
      </w:pPr>
      <w:bookmarkStart w:id="0" w:name="_GoBack"/>
      <w:bookmarkEnd w:id="0"/>
    </w:p>
    <w:p>
      <w:pPr>
        <w:pStyle w:val="2"/>
        <w:numPr>
          <w:ilvl w:val="0"/>
          <w:numId w:val="1"/>
        </w:numPr>
        <w:spacing w:after="0" w:line="360" w:lineRule="auto"/>
        <w:rPr>
          <w:rFonts w:hint="eastAsia" w:ascii="黑体" w:hAnsi="黑体" w:eastAsia="黑体" w:cs="黑体"/>
          <w:bCs/>
          <w:sz w:val="30"/>
          <w:szCs w:val="30"/>
        </w:rPr>
      </w:pPr>
      <w:r>
        <w:rPr>
          <w:rFonts w:hint="eastAsia" w:ascii="黑体" w:hAnsi="黑体" w:eastAsia="黑体" w:cs="黑体"/>
          <w:bCs/>
          <w:sz w:val="30"/>
          <w:szCs w:val="30"/>
        </w:rPr>
        <w:t>安全生产许可证</w:t>
      </w:r>
    </w:p>
    <w:p>
      <w:pPr>
        <w:pStyle w:val="2"/>
        <w:spacing w:after="0" w:line="360" w:lineRule="auto"/>
        <w:rPr>
          <w:rFonts w:hint="eastAsia" w:ascii="黑体" w:hAnsi="黑体" w:eastAsia="黑体" w:cs="黑体"/>
          <w:bCs/>
          <w:sz w:val="30"/>
          <w:szCs w:val="30"/>
        </w:rPr>
      </w:pP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质量管理体系认证</w:t>
      </w:r>
      <w:r>
        <w:rPr>
          <w:rFonts w:hint="eastAsia" w:ascii="黑体" w:hAnsi="黑体" w:eastAsia="黑体" w:cs="黑体"/>
          <w:bCs/>
          <w:sz w:val="30"/>
          <w:szCs w:val="30"/>
          <w:lang w:val="en-US" w:eastAsia="zh-CN"/>
        </w:rPr>
        <w:t>资质</w:t>
      </w:r>
    </w:p>
    <w:p>
      <w:pPr>
        <w:pStyle w:val="2"/>
        <w:spacing w:after="0" w:line="360" w:lineRule="auto"/>
        <w:rPr>
          <w:rFonts w:ascii="黑体" w:hAnsi="黑体" w:eastAsia="黑体" w:cs="黑体"/>
          <w:bCs/>
          <w:sz w:val="30"/>
          <w:szCs w:val="30"/>
        </w:rPr>
      </w:pP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lang w:val="en-US" w:eastAsia="zh-CN"/>
        </w:rPr>
        <w:t>电子与智能化工程专业承包贰级及以上资质</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4</w:t>
    </w:r>
    <w:r>
      <w:rPr>
        <w:rStyle w:val="6"/>
      </w:rP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72D628"/>
    <w:multiLevelType w:val="singleLevel"/>
    <w:tmpl w:val="5E72D628"/>
    <w:lvl w:ilvl="0" w:tentative="0">
      <w:start w:val="1"/>
      <w:numFmt w:val="chineseCounting"/>
      <w:suff w:val="nothing"/>
      <w:lvlText w:val="%1、"/>
      <w:lvlJc w:val="left"/>
    </w:lvl>
  </w:abstractNum>
  <w:abstractNum w:abstractNumId="1">
    <w:nsid w:val="5E72D7B8"/>
    <w:multiLevelType w:val="singleLevel"/>
    <w:tmpl w:val="5E72D7B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lYTg3MDc3ZGMwZjRiYzgzYzQ3MGJmYTBmMGQyZjYifQ=="/>
  </w:docVars>
  <w:rsids>
    <w:rsidRoot w:val="03D56EE3"/>
    <w:rsid w:val="004F4207"/>
    <w:rsid w:val="03D56EE3"/>
    <w:rsid w:val="04941B58"/>
    <w:rsid w:val="06BF6017"/>
    <w:rsid w:val="084C38DA"/>
    <w:rsid w:val="095C7B4D"/>
    <w:rsid w:val="0A876E4C"/>
    <w:rsid w:val="0B0B182B"/>
    <w:rsid w:val="0B3F14D4"/>
    <w:rsid w:val="0D444B80"/>
    <w:rsid w:val="10836E26"/>
    <w:rsid w:val="197156AE"/>
    <w:rsid w:val="1A09162B"/>
    <w:rsid w:val="1DBE272D"/>
    <w:rsid w:val="1E556461"/>
    <w:rsid w:val="1EA47B74"/>
    <w:rsid w:val="1EF20697"/>
    <w:rsid w:val="210A7A37"/>
    <w:rsid w:val="21AD6D40"/>
    <w:rsid w:val="23FC6922"/>
    <w:rsid w:val="28B5472C"/>
    <w:rsid w:val="2919115F"/>
    <w:rsid w:val="2C273B93"/>
    <w:rsid w:val="2DD30FBE"/>
    <w:rsid w:val="2EB70E3F"/>
    <w:rsid w:val="2F1877C3"/>
    <w:rsid w:val="2F503401"/>
    <w:rsid w:val="371F5B92"/>
    <w:rsid w:val="3B9823B7"/>
    <w:rsid w:val="3BA96372"/>
    <w:rsid w:val="40167D4F"/>
    <w:rsid w:val="424B1F31"/>
    <w:rsid w:val="44A42CD9"/>
    <w:rsid w:val="44BF2A29"/>
    <w:rsid w:val="44E906A8"/>
    <w:rsid w:val="497A75A0"/>
    <w:rsid w:val="4BD22B48"/>
    <w:rsid w:val="4CC748AA"/>
    <w:rsid w:val="4FD73056"/>
    <w:rsid w:val="50465EA3"/>
    <w:rsid w:val="5564379C"/>
    <w:rsid w:val="571C57F3"/>
    <w:rsid w:val="5A427C66"/>
    <w:rsid w:val="5F2C640A"/>
    <w:rsid w:val="5F775CBC"/>
    <w:rsid w:val="624A2EE1"/>
    <w:rsid w:val="633345F0"/>
    <w:rsid w:val="689E22F3"/>
    <w:rsid w:val="69100B99"/>
    <w:rsid w:val="6C3311BD"/>
    <w:rsid w:val="705C5815"/>
    <w:rsid w:val="73041B05"/>
    <w:rsid w:val="750170DF"/>
    <w:rsid w:val="753A7689"/>
    <w:rsid w:val="79BF22E2"/>
    <w:rsid w:val="7A4701CC"/>
    <w:rsid w:val="7DE20C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765</Words>
  <Characters>893</Characters>
  <Lines>0</Lines>
  <Paragraphs>0</Paragraphs>
  <TotalTime>9</TotalTime>
  <ScaleCrop>false</ScaleCrop>
  <LinksUpToDate>false</LinksUpToDate>
  <CharactersWithSpaces>970</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2024-03-28T12:39:00Z</dcterms:created>
  <dc:creator>Lenovo</dc:creator>
  <cp:lastModifiedBy>Lenovo</cp:lastModifiedBy>
  <dcterms:modified xsi:type="dcterms:W3CDTF">2025-11-25T11:20:18Z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50B098C81A3D4CA68B25436C3E4F8EBD</vt:lpwstr>
  </property>
</Properties>
</file>