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F1D25B">
      <w:pPr>
        <w:jc w:val="center"/>
        <w:rPr>
          <w:b/>
        </w:rPr>
      </w:pPr>
      <w:r>
        <w:rPr>
          <w:b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-1409700</wp:posOffset>
            </wp:positionH>
            <wp:positionV relativeFrom="paragraph">
              <wp:posOffset>-942975</wp:posOffset>
            </wp:positionV>
            <wp:extent cx="8447405" cy="2895600"/>
            <wp:effectExtent l="0" t="0" r="10795" b="0"/>
            <wp:wrapNone/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9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844740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527EE3A6">
      <w:pPr>
        <w:jc w:val="center"/>
        <w:rPr>
          <w:b/>
        </w:rPr>
      </w:pPr>
    </w:p>
    <w:p w14:paraId="262B4B46">
      <w:pPr>
        <w:jc w:val="center"/>
        <w:rPr>
          <w:b/>
        </w:rPr>
      </w:pPr>
    </w:p>
    <w:p w14:paraId="7007A815">
      <w:pPr>
        <w:jc w:val="center"/>
        <w:rPr>
          <w:b/>
        </w:rPr>
      </w:pPr>
    </w:p>
    <w:p w14:paraId="162DF537">
      <w:pPr>
        <w:jc w:val="center"/>
        <w:rPr>
          <w:b/>
        </w:rPr>
      </w:pPr>
    </w:p>
    <w:p w14:paraId="7886BFBC">
      <w:pPr>
        <w:jc w:val="center"/>
        <w:rPr>
          <w:b/>
        </w:rPr>
      </w:pPr>
    </w:p>
    <w:p w14:paraId="68D5E6B1">
      <w:pPr>
        <w:spacing w:line="300" w:lineRule="auto"/>
        <w:jc w:val="center"/>
        <w:rPr>
          <w:b/>
          <w:sz w:val="36"/>
          <w:szCs w:val="36"/>
        </w:rPr>
      </w:pPr>
    </w:p>
    <w:p w14:paraId="40763427">
      <w:pPr>
        <w:spacing w:line="300" w:lineRule="auto"/>
        <w:jc w:val="center"/>
        <w:rPr>
          <w:b/>
          <w:sz w:val="36"/>
          <w:szCs w:val="36"/>
        </w:rPr>
      </w:pPr>
    </w:p>
    <w:p w14:paraId="03813257">
      <w:pPr>
        <w:spacing w:line="300" w:lineRule="auto"/>
        <w:jc w:val="center"/>
        <w:rPr>
          <w:b/>
          <w:sz w:val="36"/>
          <w:szCs w:val="36"/>
        </w:rPr>
      </w:pPr>
    </w:p>
    <w:p w14:paraId="1CFCA857">
      <w:pPr>
        <w:tabs>
          <w:tab w:val="left" w:pos="480"/>
        </w:tabs>
        <w:adjustRightInd w:val="0"/>
        <w:snapToGrid w:val="0"/>
        <w:jc w:val="center"/>
        <w:rPr>
          <w:rFonts w:hint="eastAsia" w:eastAsia="宋体"/>
          <w:b/>
          <w:sz w:val="44"/>
          <w:szCs w:val="44"/>
          <w:lang w:eastAsia="zh-CN"/>
        </w:rPr>
      </w:pPr>
      <w:r>
        <w:rPr>
          <w:rFonts w:hint="eastAsia"/>
          <w:b/>
          <w:sz w:val="44"/>
          <w:szCs w:val="44"/>
          <w:lang w:eastAsia="zh-CN"/>
        </w:rPr>
        <w:t>一种环网柜便捷工具套装</w:t>
      </w:r>
    </w:p>
    <w:p w14:paraId="6435E319">
      <w:pPr>
        <w:tabs>
          <w:tab w:val="left" w:pos="480"/>
        </w:tabs>
        <w:adjustRightInd w:val="0"/>
        <w:snapToGrid w:val="0"/>
        <w:jc w:val="center"/>
        <w:rPr>
          <w:b/>
          <w:sz w:val="44"/>
          <w:szCs w:val="44"/>
        </w:rPr>
      </w:pPr>
      <w:bookmarkStart w:id="0" w:name="_Toc2675"/>
      <w:r>
        <w:rPr>
          <w:b/>
          <w:sz w:val="44"/>
          <w:szCs w:val="44"/>
        </w:rPr>
        <w:t>技术规范</w:t>
      </w:r>
      <w:r>
        <w:rPr>
          <w:rFonts w:hint="eastAsia"/>
          <w:b/>
          <w:sz w:val="44"/>
          <w:szCs w:val="44"/>
        </w:rPr>
        <w:t>书</w:t>
      </w:r>
      <w:bookmarkEnd w:id="0"/>
    </w:p>
    <w:p w14:paraId="63A3F181">
      <w:pPr>
        <w:jc w:val="center"/>
        <w:rPr>
          <w:b/>
          <w:sz w:val="44"/>
          <w:szCs w:val="44"/>
        </w:rPr>
      </w:pPr>
    </w:p>
    <w:p w14:paraId="71084DC8">
      <w:pPr>
        <w:jc w:val="center"/>
        <w:rPr>
          <w:b/>
        </w:rPr>
      </w:pPr>
    </w:p>
    <w:p w14:paraId="0F890C3E">
      <w:pPr>
        <w:jc w:val="center"/>
        <w:rPr>
          <w:b/>
        </w:rPr>
      </w:pPr>
    </w:p>
    <w:p w14:paraId="70603189">
      <w:pPr>
        <w:jc w:val="center"/>
        <w:rPr>
          <w:b/>
        </w:rPr>
      </w:pPr>
    </w:p>
    <w:p w14:paraId="2863753C">
      <w:pPr>
        <w:jc w:val="center"/>
        <w:rPr>
          <w:b/>
        </w:rPr>
      </w:pPr>
    </w:p>
    <w:p w14:paraId="5400CC28">
      <w:pPr>
        <w:jc w:val="center"/>
        <w:rPr>
          <w:b/>
        </w:rPr>
      </w:pPr>
    </w:p>
    <w:p w14:paraId="38E96E60">
      <w:pPr>
        <w:rPr>
          <w:b/>
        </w:rPr>
      </w:pPr>
    </w:p>
    <w:p w14:paraId="3B31D9B1">
      <w:pPr>
        <w:rPr>
          <w:b/>
        </w:rPr>
      </w:pPr>
    </w:p>
    <w:p w14:paraId="3C4B9E87">
      <w:pPr>
        <w:jc w:val="center"/>
        <w:rPr>
          <w:b/>
          <w:sz w:val="44"/>
          <w:szCs w:val="44"/>
        </w:rPr>
      </w:pPr>
      <w:bookmarkStart w:id="1" w:name="_Toc16143"/>
      <w:r>
        <w:rPr>
          <w:b/>
          <w:sz w:val="44"/>
          <w:szCs w:val="44"/>
        </w:rPr>
        <w:t>海南电网</w:t>
      </w:r>
      <w:r>
        <w:rPr>
          <w:rFonts w:hint="eastAsia"/>
          <w:b/>
          <w:sz w:val="44"/>
          <w:szCs w:val="44"/>
        </w:rPr>
        <w:t>有限责任</w:t>
      </w:r>
      <w:r>
        <w:rPr>
          <w:b/>
          <w:sz w:val="44"/>
          <w:szCs w:val="44"/>
        </w:rPr>
        <w:t>公司</w:t>
      </w:r>
      <w:bookmarkEnd w:id="1"/>
    </w:p>
    <w:p w14:paraId="42B7B167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五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十一</w:t>
      </w:r>
      <w:r>
        <w:rPr>
          <w:b/>
          <w:sz w:val="30"/>
          <w:szCs w:val="30"/>
        </w:rPr>
        <w:t>月</w:t>
      </w:r>
    </w:p>
    <w:p w14:paraId="164730B9">
      <w:pPr>
        <w:jc w:val="center"/>
        <w:rPr>
          <w:b/>
          <w:sz w:val="30"/>
          <w:szCs w:val="30"/>
        </w:rPr>
      </w:pPr>
    </w:p>
    <w:p w14:paraId="025F8CBB">
      <w:pPr>
        <w:jc w:val="center"/>
        <w:rPr>
          <w:b/>
          <w:sz w:val="30"/>
          <w:szCs w:val="30"/>
        </w:rPr>
      </w:pPr>
    </w:p>
    <w:p w14:paraId="512549E3">
      <w:pPr>
        <w:jc w:val="center"/>
        <w:rPr>
          <w:b/>
          <w:sz w:val="30"/>
          <w:szCs w:val="30"/>
        </w:rPr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 w14:paraId="65BB164F">
      <w:pPr>
        <w:pStyle w:val="11"/>
        <w:tabs>
          <w:tab w:val="left" w:pos="420"/>
          <w:tab w:val="right" w:leader="dot" w:pos="8296"/>
        </w:tabs>
        <w:jc w:val="center"/>
        <w:rPr>
          <w:szCs w:val="28"/>
        </w:rPr>
      </w:pPr>
      <w:r>
        <w:rPr>
          <w:b/>
          <w:sz w:val="30"/>
          <w:szCs w:val="30"/>
        </w:rPr>
        <w:t>目  录</w:t>
      </w:r>
    </w:p>
    <w:p w14:paraId="64180673">
      <w:pPr>
        <w:pStyle w:val="12"/>
        <w:tabs>
          <w:tab w:val="right" w:leader="dot" w:pos="8306"/>
        </w:tabs>
      </w:pPr>
      <w:r>
        <w:rPr>
          <w:b/>
          <w:sz w:val="30"/>
          <w:szCs w:val="30"/>
        </w:rPr>
        <w:fldChar w:fldCharType="begin"/>
      </w:r>
      <w:r>
        <w:rPr>
          <w:b/>
          <w:sz w:val="30"/>
          <w:szCs w:val="30"/>
        </w:rPr>
        <w:instrText xml:space="preserve">TOC \o "1-3" \h \u </w:instrText>
      </w:r>
      <w:r>
        <w:rPr>
          <w:b/>
          <w:sz w:val="30"/>
          <w:szCs w:val="30"/>
        </w:rPr>
        <w:fldChar w:fldCharType="separate"/>
      </w:r>
      <w:r>
        <w:rPr>
          <w:szCs w:val="30"/>
        </w:rPr>
        <w:fldChar w:fldCharType="begin"/>
      </w:r>
      <w:r>
        <w:rPr>
          <w:szCs w:val="30"/>
        </w:rPr>
        <w:instrText xml:space="preserve"> HYPERLINK \l _Toc32676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1.总则</w:t>
      </w:r>
      <w:r>
        <w:tab/>
      </w:r>
      <w:r>
        <w:fldChar w:fldCharType="begin"/>
      </w:r>
      <w:r>
        <w:instrText xml:space="preserve"> PAGEREF _Toc32676 \h </w:instrText>
      </w:r>
      <w:r>
        <w:fldChar w:fldCharType="separate"/>
      </w:r>
      <w:r>
        <w:t>1</w:t>
      </w:r>
      <w:r>
        <w:fldChar w:fldCharType="end"/>
      </w:r>
      <w:r>
        <w:rPr>
          <w:szCs w:val="30"/>
        </w:rPr>
        <w:fldChar w:fldCharType="end"/>
      </w:r>
    </w:p>
    <w:p w14:paraId="4C9B9096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_Toc1374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2.项目目标</w:t>
      </w:r>
      <w:r>
        <w:tab/>
      </w:r>
      <w:r>
        <w:fldChar w:fldCharType="begin"/>
      </w:r>
      <w:r>
        <w:instrText xml:space="preserve"> PAGEREF _Toc1374 \h </w:instrText>
      </w:r>
      <w:r>
        <w:fldChar w:fldCharType="separate"/>
      </w:r>
      <w:r>
        <w:t>1</w:t>
      </w:r>
      <w:r>
        <w:fldChar w:fldCharType="end"/>
      </w:r>
      <w:r>
        <w:rPr>
          <w:szCs w:val="30"/>
        </w:rPr>
        <w:fldChar w:fldCharType="end"/>
      </w:r>
    </w:p>
    <w:p w14:paraId="4B00980A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_Toc11329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3.服务界限</w:t>
      </w:r>
      <w:r>
        <w:tab/>
      </w:r>
      <w:r>
        <w:fldChar w:fldCharType="begin"/>
      </w:r>
      <w:r>
        <w:instrText xml:space="preserve"> PAGEREF _Toc11329 \h </w:instrText>
      </w:r>
      <w:r>
        <w:fldChar w:fldCharType="separate"/>
      </w:r>
      <w:r>
        <w:t>1</w:t>
      </w:r>
      <w:r>
        <w:fldChar w:fldCharType="end"/>
      </w:r>
      <w:r>
        <w:rPr>
          <w:szCs w:val="30"/>
        </w:rPr>
        <w:fldChar w:fldCharType="end"/>
      </w:r>
    </w:p>
    <w:p w14:paraId="07F51F50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_Toc4307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4.项目总体要求</w:t>
      </w:r>
      <w:r>
        <w:tab/>
      </w:r>
      <w:r>
        <w:fldChar w:fldCharType="begin"/>
      </w:r>
      <w:r>
        <w:instrText xml:space="preserve"> PAGEREF _Toc4307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50909ACE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_Toc4890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5.</w:t>
      </w:r>
      <w:r>
        <w:rPr>
          <w:rFonts w:ascii="Times New Roman" w:hAnsi="Times New Roman"/>
          <w:szCs w:val="30"/>
        </w:rPr>
        <w:t xml:space="preserve"> </w:t>
      </w:r>
      <w:r>
        <w:rPr>
          <w:rFonts w:hint="eastAsia" w:ascii="Times New Roman" w:hAnsi="Times New Roman"/>
          <w:szCs w:val="30"/>
        </w:rPr>
        <w:t>技术要求与指标</w:t>
      </w:r>
      <w:r>
        <w:tab/>
      </w:r>
      <w:r>
        <w:fldChar w:fldCharType="begin"/>
      </w:r>
      <w:r>
        <w:instrText xml:space="preserve"> PAGEREF _Toc4890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4AC0DE66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_Toc2363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5.1功能说明及技术参数</w:t>
      </w:r>
      <w:r>
        <w:tab/>
      </w:r>
      <w:r>
        <w:fldChar w:fldCharType="begin"/>
      </w:r>
      <w:r>
        <w:instrText xml:space="preserve"> PAGEREF _Toc2363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5E5F7C7B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_Toc18732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5.2 所需专用材料使用条件</w:t>
      </w:r>
      <w:r>
        <w:tab/>
      </w:r>
      <w:r>
        <w:fldChar w:fldCharType="begin"/>
      </w:r>
      <w:r>
        <w:instrText xml:space="preserve"> PAGEREF _Toc18732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0815BDB8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_Toc5841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6.项目管理</w:t>
      </w:r>
      <w:r>
        <w:tab/>
      </w:r>
      <w:r>
        <w:fldChar w:fldCharType="begin"/>
      </w:r>
      <w:r>
        <w:instrText xml:space="preserve"> PAGEREF _Toc5841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77C6ADF4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_Toc26663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6.1</w:t>
      </w:r>
      <w:r>
        <w:rPr>
          <w:szCs w:val="28"/>
        </w:rPr>
        <w:t>项目管理</w:t>
      </w:r>
      <w:r>
        <w:tab/>
      </w:r>
      <w:r>
        <w:fldChar w:fldCharType="begin"/>
      </w:r>
      <w:r>
        <w:instrText xml:space="preserve"> PAGEREF _Toc26663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3F27DAC2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_Toc23876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6.2质量保证</w:t>
      </w:r>
      <w:r>
        <w:tab/>
      </w:r>
      <w:r>
        <w:fldChar w:fldCharType="begin"/>
      </w:r>
      <w:r>
        <w:instrText xml:space="preserve"> PAGEREF _Toc23876 \h </w:instrText>
      </w:r>
      <w:r>
        <w:fldChar w:fldCharType="separate"/>
      </w:r>
      <w:r>
        <w:t>3</w:t>
      </w:r>
      <w:r>
        <w:fldChar w:fldCharType="end"/>
      </w:r>
      <w:r>
        <w:rPr>
          <w:szCs w:val="30"/>
        </w:rPr>
        <w:fldChar w:fldCharType="end"/>
      </w:r>
    </w:p>
    <w:p w14:paraId="7736AC09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_Toc15036 </w:instrText>
      </w:r>
      <w:r>
        <w:rPr>
          <w:szCs w:val="30"/>
        </w:rPr>
        <w:fldChar w:fldCharType="separate"/>
      </w:r>
      <w:r>
        <w:rPr>
          <w:rFonts w:hint="eastAsia"/>
          <w:szCs w:val="28"/>
          <w:highlight w:val="none"/>
        </w:rPr>
        <w:t>6.3</w:t>
      </w:r>
      <w:r>
        <w:rPr>
          <w:szCs w:val="28"/>
          <w:highlight w:val="none"/>
        </w:rPr>
        <w:t>项目进度管理</w:t>
      </w:r>
      <w:r>
        <w:tab/>
      </w:r>
      <w:r>
        <w:fldChar w:fldCharType="begin"/>
      </w:r>
      <w:r>
        <w:instrText xml:space="preserve"> PAGEREF _Toc15036 \h </w:instrText>
      </w:r>
      <w:r>
        <w:fldChar w:fldCharType="separate"/>
      </w:r>
      <w:r>
        <w:t>3</w:t>
      </w:r>
      <w:r>
        <w:fldChar w:fldCharType="end"/>
      </w:r>
      <w:r>
        <w:rPr>
          <w:szCs w:val="30"/>
        </w:rPr>
        <w:fldChar w:fldCharType="end"/>
      </w:r>
    </w:p>
    <w:p w14:paraId="0CC3EE2D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_Toc17241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7.技术服务</w:t>
      </w:r>
      <w:r>
        <w:tab/>
      </w:r>
      <w:r>
        <w:fldChar w:fldCharType="begin"/>
      </w:r>
      <w:r>
        <w:instrText xml:space="preserve"> PAGEREF _Toc17241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15094235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_Toc41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8.验收</w:t>
      </w:r>
      <w:r>
        <w:tab/>
      </w:r>
      <w:r>
        <w:fldChar w:fldCharType="begin"/>
      </w:r>
      <w:r>
        <w:instrText xml:space="preserve"> PAGEREF _Toc41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7E4061C1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_Toc22704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9.预期成果</w:t>
      </w:r>
      <w:r>
        <w:tab/>
      </w:r>
      <w:r>
        <w:fldChar w:fldCharType="begin"/>
      </w:r>
      <w:r>
        <w:instrText xml:space="preserve"> PAGEREF _Toc22704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7760BF60">
      <w:pPr>
        <w:tabs>
          <w:tab w:val="left" w:pos="420"/>
          <w:tab w:val="right" w:leader="dot" w:pos="8296"/>
        </w:tabs>
        <w:ind w:left="480" w:leftChars="200"/>
        <w:jc w:val="center"/>
        <w:rPr>
          <w:b/>
          <w:sz w:val="30"/>
          <w:szCs w:val="30"/>
        </w:rPr>
      </w:pPr>
      <w:r>
        <w:rPr>
          <w:szCs w:val="30"/>
        </w:rPr>
        <w:fldChar w:fldCharType="end"/>
      </w:r>
    </w:p>
    <w:p w14:paraId="1F47740B">
      <w:pPr>
        <w:pStyle w:val="12"/>
        <w:ind w:left="480"/>
        <w:sectPr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 w14:paraId="1CB830AF">
      <w:pPr>
        <w:pStyle w:val="2"/>
        <w:rPr>
          <w:rFonts w:ascii="Times New Roman" w:hAnsi="Times New Roman"/>
          <w:szCs w:val="30"/>
        </w:rPr>
      </w:pPr>
      <w:bookmarkStart w:id="2" w:name="_Toc351722588"/>
      <w:bookmarkStart w:id="3" w:name="_Toc10800"/>
      <w:bookmarkStart w:id="4" w:name="_Toc32676"/>
      <w:bookmarkStart w:id="5" w:name="_Toc291690053"/>
      <w:bookmarkStart w:id="6" w:name="_Toc10814"/>
      <w:bookmarkStart w:id="7" w:name="_Toc25851"/>
      <w:r>
        <w:rPr>
          <w:rFonts w:hint="eastAsia" w:ascii="Times New Roman" w:hAnsi="Times New Roman"/>
          <w:szCs w:val="30"/>
        </w:rPr>
        <w:t>1.总则</w:t>
      </w:r>
      <w:bookmarkEnd w:id="2"/>
      <w:bookmarkEnd w:id="3"/>
      <w:bookmarkEnd w:id="4"/>
      <w:bookmarkEnd w:id="5"/>
      <w:bookmarkEnd w:id="6"/>
      <w:bookmarkEnd w:id="7"/>
    </w:p>
    <w:p w14:paraId="1F96786C">
      <w:pPr>
        <w:adjustRightInd w:val="0"/>
        <w:snapToGrid w:val="0"/>
        <w:ind w:firstLine="480" w:firstLineChars="200"/>
      </w:pPr>
      <w:bookmarkStart w:id="8" w:name="_Toc351722589"/>
      <w:r>
        <w:t>本技术规范仅针对</w:t>
      </w:r>
      <w:r>
        <w:rPr>
          <w:rFonts w:hint="eastAsia"/>
        </w:rPr>
        <w:t>“</w:t>
      </w:r>
      <w:r>
        <w:rPr>
          <w:rFonts w:hint="eastAsia" w:ascii="宋体" w:hAnsi="宋体" w:cs="宋体"/>
          <w:szCs w:val="21"/>
          <w:lang w:eastAsia="zh-CN"/>
        </w:rPr>
        <w:t>一种环网柜便捷工具套装</w:t>
      </w:r>
      <w:r>
        <w:rPr>
          <w:rFonts w:hint="eastAsia"/>
        </w:rPr>
        <w:t>”项目</w:t>
      </w:r>
      <w:r>
        <w:t>（以下简称项目）。</w:t>
      </w:r>
    </w:p>
    <w:p w14:paraId="1F2C2E10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本技术规范提出的是该项目最低限度的技术要求</w:t>
      </w:r>
      <w:r>
        <w:rPr>
          <w:rFonts w:hint="eastAsia"/>
        </w:rPr>
        <w:t>，如有与计划任务单研究要求有差异，投标人的响应应满足两者的最高研究要求。</w:t>
      </w:r>
    </w:p>
    <w:p w14:paraId="7EF7A00C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如果投标人以书面形式对本技术规范的条文提出异议</w:t>
      </w:r>
      <w:r>
        <w:rPr>
          <w:rFonts w:hint="eastAsia"/>
        </w:rPr>
        <w:t>，</w:t>
      </w:r>
      <w:r>
        <w:t>则招标人</w:t>
      </w:r>
      <w:r>
        <w:rPr>
          <w:rFonts w:hint="eastAsia"/>
        </w:rPr>
        <w:t>、</w:t>
      </w:r>
      <w:r>
        <w:t>投标人双方应达成一致意见后，方可修改研究方向。</w:t>
      </w:r>
    </w:p>
    <w:p w14:paraId="2258D348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投标人所执行的内容如与本技术规范</w:t>
      </w:r>
      <w:r>
        <w:rPr>
          <w:rFonts w:hint="eastAsia"/>
        </w:rPr>
        <w:t>书要求</w:t>
      </w:r>
      <w:r>
        <w:t>的项目研究内容</w:t>
      </w:r>
      <w:r>
        <w:rPr>
          <w:rFonts w:hint="eastAsia"/>
        </w:rPr>
        <w:t>有差异</w:t>
      </w:r>
      <w:r>
        <w:t>，投标人应按</w:t>
      </w:r>
      <w:r>
        <w:rPr>
          <w:rFonts w:hint="eastAsia"/>
        </w:rPr>
        <w:t>招标人认可的</w:t>
      </w:r>
      <w:r>
        <w:t>更</w:t>
      </w:r>
      <w:r>
        <w:rPr>
          <w:rFonts w:hint="eastAsia"/>
        </w:rPr>
        <w:t>高</w:t>
      </w:r>
      <w:r>
        <w:t>研究标准执行。</w:t>
      </w:r>
    </w:p>
    <w:p w14:paraId="13B0CACC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本技术规范未尽事宜</w:t>
      </w:r>
      <w:r>
        <w:rPr>
          <w:rFonts w:hint="eastAsia"/>
        </w:rPr>
        <w:t>，</w:t>
      </w:r>
      <w:r>
        <w:t>由招标人、投标人双方协商确定。</w:t>
      </w:r>
    </w:p>
    <w:p w14:paraId="6D8617A1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rPr>
          <w:rFonts w:hint="eastAsia"/>
        </w:rPr>
        <w:t>本规范书指标要求中，凡标有下划线或加“★”的地方均被视为重要的技术指标要求或性能要求，投标方必须做详细应答。</w:t>
      </w:r>
    </w:p>
    <w:p w14:paraId="62DF4239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rPr>
          <w:rFonts w:hint="eastAsia"/>
        </w:rPr>
        <w:t>★投标方应在投标文件中给出项目实施具体方案，需满足技术要求和功能要求。</w:t>
      </w:r>
    </w:p>
    <w:p w14:paraId="3863CED7">
      <w:pPr>
        <w:pStyle w:val="2"/>
        <w:rPr>
          <w:rFonts w:ascii="Times New Roman" w:hAnsi="Times New Roman"/>
          <w:szCs w:val="30"/>
        </w:rPr>
      </w:pPr>
      <w:bookmarkStart w:id="75" w:name="_GoBack"/>
      <w:bookmarkEnd w:id="75"/>
      <w:bookmarkStart w:id="9" w:name="_Toc13136"/>
      <w:bookmarkStart w:id="10" w:name="_Toc28325"/>
      <w:bookmarkStart w:id="11" w:name="_Toc1374"/>
      <w:bookmarkStart w:id="12" w:name="_Toc10585"/>
      <w:r>
        <w:rPr>
          <w:rFonts w:hint="eastAsia" w:ascii="Times New Roman" w:hAnsi="Times New Roman"/>
          <w:szCs w:val="30"/>
        </w:rPr>
        <w:t>2.项目目标</w:t>
      </w:r>
      <w:bookmarkEnd w:id="8"/>
      <w:bookmarkEnd w:id="9"/>
      <w:bookmarkEnd w:id="10"/>
      <w:bookmarkEnd w:id="11"/>
      <w:bookmarkEnd w:id="12"/>
    </w:p>
    <w:p w14:paraId="170CD7FB">
      <w:pPr>
        <w:spacing w:line="500" w:lineRule="exact"/>
        <w:ind w:firstLine="480" w:firstLineChars="200"/>
      </w:pPr>
      <w:bookmarkStart w:id="13" w:name="OLE_LINK2"/>
      <w:bookmarkStart w:id="14" w:name="OLE_LINK1"/>
      <w:bookmarkStart w:id="15" w:name="_Toc351722590"/>
      <w:bookmarkStart w:id="16" w:name="_Toc291690055"/>
      <w:r>
        <w:rPr>
          <w:rFonts w:hint="eastAsia"/>
        </w:rPr>
        <w:t>本项目研制</w:t>
      </w:r>
      <w:r>
        <w:rPr>
          <w:rFonts w:hint="eastAsia"/>
          <w:lang w:eastAsia="zh-CN"/>
        </w:rPr>
        <w:t>一种环网柜便捷工具套装</w:t>
      </w:r>
      <w:r>
        <w:rPr>
          <w:rFonts w:hint="eastAsia"/>
        </w:rPr>
        <w:t>，采用绝缘材料，配置防滑模块，作业人员站在平台上不易滑倒；可调整高度，承重100公斤，适应户外环境使用。</w:t>
      </w:r>
    </w:p>
    <w:bookmarkEnd w:id="13"/>
    <w:bookmarkEnd w:id="14"/>
    <w:p w14:paraId="07293CA5">
      <w:pPr>
        <w:pStyle w:val="2"/>
        <w:rPr>
          <w:rFonts w:ascii="Times New Roman" w:hAnsi="Times New Roman"/>
          <w:szCs w:val="30"/>
        </w:rPr>
      </w:pPr>
      <w:bookmarkStart w:id="17" w:name="_Toc30712"/>
      <w:bookmarkStart w:id="18" w:name="_Toc8705"/>
      <w:bookmarkStart w:id="19" w:name="_Toc11329"/>
      <w:bookmarkStart w:id="20" w:name="_Toc5893"/>
      <w:r>
        <w:rPr>
          <w:rFonts w:hint="eastAsia" w:ascii="Times New Roman" w:hAnsi="Times New Roman"/>
          <w:szCs w:val="30"/>
        </w:rPr>
        <w:t>3.服务界限</w:t>
      </w:r>
      <w:bookmarkEnd w:id="15"/>
      <w:bookmarkEnd w:id="16"/>
      <w:bookmarkEnd w:id="17"/>
      <w:bookmarkEnd w:id="18"/>
      <w:bookmarkEnd w:id="19"/>
      <w:bookmarkEnd w:id="20"/>
    </w:p>
    <w:p w14:paraId="509B70AE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投标方需完成本技术规范书规定的研究内容，包含但不限于功能开发及其他成果的集成。</w:t>
      </w:r>
    </w:p>
    <w:p w14:paraId="0ECA50DC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投标人配合招标人做好项目专利申请，论文编写，视频制作等工作。</w:t>
      </w:r>
    </w:p>
    <w:p w14:paraId="778E8FBE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投标方必须提供系统使用手册，负责招标方技术人员的培训，确保技术人员在培训后能熟练地掌握程序软件的运行、维护和管理。</w:t>
      </w:r>
    </w:p>
    <w:p w14:paraId="414C3828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投标人定期向建设单位汇报项目进展，并根据需求在项目实施现场开展相应的研发工作。</w:t>
      </w:r>
    </w:p>
    <w:p w14:paraId="084B3790">
      <w:pPr>
        <w:numPr>
          <w:ilvl w:val="0"/>
          <w:numId w:val="2"/>
        </w:numPr>
        <w:adjustRightInd w:val="0"/>
        <w:snapToGrid w:val="0"/>
        <w:ind w:left="0" w:firstLine="480" w:firstLineChars="200"/>
        <w:rPr>
          <w:szCs w:val="30"/>
        </w:rPr>
      </w:pPr>
      <w:r>
        <w:rPr>
          <w:rFonts w:hint="eastAsia"/>
        </w:rPr>
        <w:t>投标人应按项目计划进度，协助召开项目的检查、评审、验收等会议。</w:t>
      </w:r>
    </w:p>
    <w:p w14:paraId="29672834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投标人必须配合做好项目研究开发费的税前加计扣除工作，具体要求见《财政部关于企业加强研发费用财务管理的若干意见》和《企业研究开发费用税前扣除管理办法（试行）》。</w:t>
      </w:r>
      <w:bookmarkStart w:id="21" w:name="_Toc351722591"/>
    </w:p>
    <w:p w14:paraId="55B3CFB8">
      <w:pPr>
        <w:pStyle w:val="2"/>
        <w:rPr>
          <w:rFonts w:ascii="Times New Roman" w:hAnsi="Times New Roman"/>
          <w:szCs w:val="30"/>
        </w:rPr>
      </w:pPr>
      <w:bookmarkStart w:id="22" w:name="_Toc4126"/>
      <w:bookmarkStart w:id="23" w:name="_Toc4307"/>
      <w:bookmarkStart w:id="24" w:name="_Toc17978"/>
      <w:bookmarkStart w:id="25" w:name="_Toc25678"/>
      <w:r>
        <w:rPr>
          <w:rFonts w:hint="eastAsia" w:ascii="Times New Roman" w:hAnsi="Times New Roman"/>
          <w:szCs w:val="30"/>
        </w:rPr>
        <w:t>4.项目总体要求</w:t>
      </w:r>
      <w:bookmarkEnd w:id="21"/>
      <w:bookmarkEnd w:id="22"/>
      <w:bookmarkEnd w:id="23"/>
      <w:bookmarkEnd w:id="24"/>
      <w:bookmarkEnd w:id="25"/>
      <w:bookmarkStart w:id="26" w:name="_Toc229305439"/>
      <w:bookmarkStart w:id="27" w:name="_Toc247456250"/>
      <w:bookmarkStart w:id="28" w:name="_Toc260069638"/>
      <w:bookmarkStart w:id="29" w:name="_Toc351566765"/>
      <w:bookmarkStart w:id="30" w:name="_Toc247456321"/>
      <w:bookmarkStart w:id="31" w:name="_Toc351722592"/>
    </w:p>
    <w:p w14:paraId="24F36024">
      <w:pPr>
        <w:spacing w:line="500" w:lineRule="exact"/>
        <w:ind w:firstLine="480" w:firstLineChars="200"/>
      </w:pPr>
      <w:r>
        <w:rPr>
          <w:rFonts w:hint="eastAsia"/>
        </w:rPr>
        <w:t>★投标方需了解</w:t>
      </w:r>
      <w:r>
        <w:rPr>
          <w:rFonts w:hint="eastAsia"/>
          <w:lang w:val="en-US" w:eastAsia="zh-CN"/>
        </w:rPr>
        <w:t>且</w:t>
      </w:r>
      <w:r>
        <w:rPr>
          <w:rFonts w:hint="eastAsia"/>
        </w:rPr>
        <w:t>理解具体技术方向，并</w:t>
      </w:r>
      <w:r>
        <w:rPr>
          <w:rFonts w:hint="eastAsia"/>
          <w:lang w:val="en-US" w:eastAsia="zh-CN"/>
        </w:rPr>
        <w:t>根据项目目标</w:t>
      </w:r>
      <w:r>
        <w:rPr>
          <w:rFonts w:hint="eastAsia"/>
        </w:rPr>
        <w:t>提供具体解决方案以证明投标方具有本项目的研发和服务能力。</w:t>
      </w:r>
      <w:r>
        <w:rPr>
          <w:rFonts w:hint="eastAsia"/>
          <w:lang w:val="en-US" w:eastAsia="zh-CN"/>
        </w:rPr>
        <w:t>同时</w:t>
      </w:r>
      <w:r>
        <w:rPr>
          <w:rFonts w:hint="eastAsia"/>
        </w:rPr>
        <w:t>列出可能的材料清单。</w:t>
      </w:r>
    </w:p>
    <w:p w14:paraId="30E04A2E">
      <w:pPr>
        <w:pStyle w:val="2"/>
        <w:rPr>
          <w:rFonts w:ascii="Times New Roman" w:hAnsi="Times New Roman"/>
          <w:szCs w:val="30"/>
        </w:rPr>
      </w:pPr>
      <w:bookmarkStart w:id="32" w:name="_Toc17086"/>
      <w:bookmarkStart w:id="33" w:name="_Toc25694"/>
      <w:bookmarkStart w:id="34" w:name="_Toc24568"/>
      <w:bookmarkStart w:id="35" w:name="_Toc4890"/>
      <w:r>
        <w:rPr>
          <w:rFonts w:hint="eastAsia" w:ascii="Times New Roman" w:hAnsi="Times New Roman"/>
          <w:szCs w:val="30"/>
        </w:rPr>
        <w:t>5.</w:t>
      </w:r>
      <w:bookmarkEnd w:id="26"/>
      <w:bookmarkEnd w:id="27"/>
      <w:bookmarkEnd w:id="28"/>
      <w:bookmarkEnd w:id="29"/>
      <w:bookmarkEnd w:id="30"/>
      <w:bookmarkEnd w:id="31"/>
      <w:bookmarkStart w:id="36" w:name="_Toc351566768"/>
      <w:bookmarkStart w:id="37" w:name="_Toc351722593"/>
      <w:r>
        <w:rPr>
          <w:rFonts w:ascii="Times New Roman" w:hAnsi="Times New Roman"/>
          <w:szCs w:val="30"/>
        </w:rPr>
        <w:t xml:space="preserve"> </w:t>
      </w:r>
      <w:r>
        <w:rPr>
          <w:rFonts w:hint="eastAsia" w:ascii="Times New Roman" w:hAnsi="Times New Roman"/>
          <w:szCs w:val="30"/>
        </w:rPr>
        <w:t>技术要求与指标</w:t>
      </w:r>
      <w:bookmarkEnd w:id="32"/>
      <w:bookmarkEnd w:id="33"/>
      <w:bookmarkEnd w:id="34"/>
      <w:bookmarkEnd w:id="35"/>
    </w:p>
    <w:p w14:paraId="0F73F21F">
      <w:pPr>
        <w:pStyle w:val="4"/>
        <w:rPr>
          <w:rFonts w:hint="eastAsia"/>
          <w:szCs w:val="28"/>
        </w:rPr>
      </w:pPr>
      <w:bookmarkStart w:id="38" w:name="_Toc2363"/>
      <w:bookmarkStart w:id="39" w:name="_Toc8156"/>
      <w:bookmarkStart w:id="40" w:name="_Toc28395"/>
      <w:bookmarkStart w:id="41" w:name="_Toc29508"/>
      <w:r>
        <w:rPr>
          <w:rFonts w:hint="eastAsia"/>
          <w:szCs w:val="28"/>
        </w:rPr>
        <w:t>5.1功能说明及技术参数</w:t>
      </w:r>
      <w:bookmarkEnd w:id="38"/>
    </w:p>
    <w:p w14:paraId="4177E091">
      <w:pPr>
        <w:ind w:firstLine="480" w:firstLineChars="200"/>
        <w:rPr>
          <w:rFonts w:hint="eastAsia"/>
        </w:rPr>
      </w:pPr>
      <w:r>
        <w:rPr>
          <w:rFonts w:hint="eastAsia"/>
        </w:rPr>
        <w:t>★5.1.1 采用绝缘材料，配置防滑模块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可根据使用环境调节高度</w:t>
      </w:r>
      <w:r>
        <w:rPr>
          <w:rFonts w:hint="eastAsia"/>
        </w:rPr>
        <w:t>。</w:t>
      </w:r>
    </w:p>
    <w:p w14:paraId="55A1BCAE">
      <w:pPr>
        <w:ind w:firstLine="480" w:firstLineChars="200"/>
        <w:rPr>
          <w:rFonts w:hint="eastAsia" w:eastAsia="宋体"/>
          <w:lang w:eastAsia="zh-CN"/>
        </w:rPr>
      </w:pPr>
      <w:r>
        <w:rPr>
          <w:rFonts w:hint="eastAsia"/>
        </w:rPr>
        <w:t>★5.1.2 承重100公斤</w:t>
      </w:r>
      <w:r>
        <w:rPr>
          <w:rFonts w:hint="eastAsia"/>
          <w:lang w:eastAsia="zh-CN"/>
        </w:rPr>
        <w:t>。</w:t>
      </w:r>
    </w:p>
    <w:p w14:paraId="66052374">
      <w:pPr>
        <w:pStyle w:val="4"/>
        <w:rPr>
          <w:rFonts w:hint="eastAsia"/>
          <w:szCs w:val="28"/>
        </w:rPr>
      </w:pPr>
      <w:bookmarkStart w:id="42" w:name="_Toc18732"/>
      <w:r>
        <w:rPr>
          <w:rFonts w:hint="eastAsia"/>
          <w:szCs w:val="28"/>
        </w:rPr>
        <w:t>5.2 所需专用材料使用条件</w:t>
      </w:r>
      <w:bookmarkEnd w:id="42"/>
    </w:p>
    <w:p w14:paraId="67395A5A">
      <w:pPr>
        <w:ind w:firstLine="480" w:firstLineChars="200"/>
        <w:rPr>
          <w:rFonts w:hint="eastAsia"/>
        </w:rPr>
      </w:pPr>
      <w:r>
        <w:rPr>
          <w:rFonts w:hint="eastAsia"/>
        </w:rPr>
        <w:t>5.2.1使用温度范围：-20℃～+80℃。</w:t>
      </w:r>
    </w:p>
    <w:p w14:paraId="72FED471">
      <w:pPr>
        <w:ind w:firstLine="480" w:firstLineChars="200"/>
        <w:rPr>
          <w:rFonts w:hint="eastAsia"/>
        </w:rPr>
      </w:pPr>
      <w:r>
        <w:rPr>
          <w:rFonts w:hint="eastAsia"/>
        </w:rPr>
        <w:t>5.2.2湿度：日相对湿度平均值≤95%，月相对湿度平均值≤90%海拔：≤1000m。</w:t>
      </w:r>
    </w:p>
    <w:p w14:paraId="48D871E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textAlignment w:val="auto"/>
        <w:rPr>
          <w:rFonts w:hint="eastAsia" w:ascii="Times New Roman" w:hAnsi="Times New Roman"/>
          <w:szCs w:val="30"/>
        </w:rPr>
      </w:pPr>
      <w:bookmarkStart w:id="43" w:name="_Toc5841"/>
      <w:r>
        <w:rPr>
          <w:rFonts w:hint="eastAsia" w:ascii="Times New Roman" w:hAnsi="Times New Roman"/>
          <w:szCs w:val="30"/>
        </w:rPr>
        <w:t>6.项目管理</w:t>
      </w:r>
      <w:bookmarkEnd w:id="36"/>
      <w:bookmarkEnd w:id="37"/>
      <w:bookmarkEnd w:id="39"/>
      <w:bookmarkEnd w:id="40"/>
      <w:bookmarkEnd w:id="41"/>
      <w:bookmarkEnd w:id="43"/>
    </w:p>
    <w:p w14:paraId="655D1AB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textAlignment w:val="auto"/>
        <w:rPr>
          <w:szCs w:val="28"/>
        </w:rPr>
      </w:pPr>
      <w:bookmarkStart w:id="44" w:name="_Toc19642"/>
      <w:bookmarkStart w:id="45" w:name="_Toc350852856"/>
      <w:bookmarkStart w:id="46" w:name="_Toc350950913"/>
      <w:bookmarkStart w:id="47" w:name="_Toc28583"/>
      <w:bookmarkStart w:id="48" w:name="_Toc20047"/>
      <w:bookmarkStart w:id="49" w:name="_Toc329878717"/>
      <w:bookmarkStart w:id="50" w:name="_Toc26663"/>
      <w:r>
        <w:rPr>
          <w:rFonts w:hint="eastAsia"/>
          <w:szCs w:val="28"/>
        </w:rPr>
        <w:t>6.1</w:t>
      </w:r>
      <w:r>
        <w:rPr>
          <w:szCs w:val="28"/>
        </w:rPr>
        <w:t>项目管理</w:t>
      </w:r>
      <w:bookmarkEnd w:id="44"/>
      <w:bookmarkEnd w:id="45"/>
      <w:bookmarkEnd w:id="46"/>
      <w:bookmarkEnd w:id="47"/>
      <w:bookmarkEnd w:id="48"/>
      <w:bookmarkEnd w:id="49"/>
      <w:bookmarkEnd w:id="50"/>
    </w:p>
    <w:p w14:paraId="1F73B83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ind w:firstLine="480" w:firstLineChars="200"/>
        <w:textAlignment w:val="auto"/>
      </w:pPr>
      <w:r>
        <w:rPr>
          <w:rFonts w:hint="eastAsia"/>
        </w:rPr>
        <w:t>投标方</w:t>
      </w:r>
      <w:r>
        <w:t>设立项目负责人。项目负责人将全权负责与</w:t>
      </w:r>
      <w:r>
        <w:rPr>
          <w:rFonts w:hint="eastAsia"/>
        </w:rPr>
        <w:t>项目</w:t>
      </w:r>
      <w:r>
        <w:t>有关全部事务，包括：</w:t>
      </w:r>
    </w:p>
    <w:p w14:paraId="37A4399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ind w:firstLine="480" w:firstLineChars="200"/>
        <w:textAlignment w:val="auto"/>
      </w:pPr>
      <w:r>
        <w:rPr>
          <w:rFonts w:hint="eastAsia"/>
        </w:rPr>
        <w:t>（1）</w:t>
      </w:r>
      <w:r>
        <w:t>负责项目的流程设计、过程控制及综合成果</w:t>
      </w:r>
      <w:r>
        <w:rPr>
          <w:rFonts w:hint="eastAsia"/>
        </w:rPr>
        <w:t>。</w:t>
      </w:r>
    </w:p>
    <w:p w14:paraId="3E085B2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ind w:firstLine="480" w:firstLineChars="200"/>
        <w:textAlignment w:val="auto"/>
      </w:pPr>
      <w:r>
        <w:rPr>
          <w:rFonts w:hint="eastAsia"/>
        </w:rPr>
        <w:t>（2）</w:t>
      </w:r>
      <w:r>
        <w:t>负责项目实施进度安排等事务协调</w:t>
      </w:r>
      <w:r>
        <w:rPr>
          <w:rFonts w:hint="eastAsia"/>
        </w:rPr>
        <w:t>。</w:t>
      </w:r>
    </w:p>
    <w:p w14:paraId="15D4F2C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ind w:firstLine="480" w:firstLineChars="200"/>
        <w:textAlignment w:val="auto"/>
      </w:pPr>
      <w:r>
        <w:rPr>
          <w:rFonts w:hint="eastAsia"/>
        </w:rPr>
        <w:t>（3）</w:t>
      </w:r>
      <w:r>
        <w:t>作为与双方联络的全权代表，负责各种联系，研究协调和项目验收等事务的安排与协调</w:t>
      </w:r>
      <w:r>
        <w:rPr>
          <w:rFonts w:hint="eastAsia"/>
        </w:rPr>
        <w:t>。</w:t>
      </w:r>
    </w:p>
    <w:p w14:paraId="41E1287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ind w:firstLine="480" w:firstLineChars="200"/>
        <w:textAlignment w:val="auto"/>
      </w:pPr>
      <w:r>
        <w:rPr>
          <w:rFonts w:hint="eastAsia"/>
        </w:rPr>
        <w:t>（4）</w:t>
      </w:r>
      <w:r>
        <w:t>按</w:t>
      </w:r>
      <w:r>
        <w:rPr>
          <w:rFonts w:hint="eastAsia"/>
        </w:rPr>
        <w:t>季度</w:t>
      </w:r>
      <w:r>
        <w:t>提交项目进度报告</w:t>
      </w:r>
      <w:r>
        <w:rPr>
          <w:rFonts w:hint="eastAsia"/>
        </w:rPr>
        <w:t>，并接受阶段性检查</w:t>
      </w:r>
      <w:r>
        <w:t>。</w:t>
      </w:r>
    </w:p>
    <w:p w14:paraId="2B7DC7F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ind w:firstLine="480" w:firstLineChars="200"/>
        <w:textAlignment w:val="auto"/>
      </w:pPr>
      <w:r>
        <w:rPr>
          <w:rFonts w:hint="eastAsia"/>
        </w:rPr>
        <w:t>投标方应配备足够的项目组技术人员，技术人员将完成</w:t>
      </w:r>
      <w:r>
        <w:t>项目负责人</w:t>
      </w:r>
      <w:r>
        <w:rPr>
          <w:rFonts w:hint="eastAsia"/>
        </w:rPr>
        <w:t>交办</w:t>
      </w:r>
      <w:r>
        <w:t>的</w:t>
      </w:r>
      <w:r>
        <w:rPr>
          <w:rFonts w:hint="eastAsia"/>
        </w:rPr>
        <w:t>项目相关任务</w:t>
      </w:r>
      <w:r>
        <w:t>，包括：</w:t>
      </w:r>
    </w:p>
    <w:p w14:paraId="6DF28DC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ind w:firstLine="480" w:firstLineChars="200"/>
        <w:textAlignment w:val="auto"/>
      </w:pPr>
      <w:r>
        <w:rPr>
          <w:rFonts w:hint="eastAsia"/>
        </w:rPr>
        <w:t>（1）在</w:t>
      </w:r>
      <w:r>
        <w:t>项目负责</w:t>
      </w:r>
      <w:r>
        <w:rPr>
          <w:rFonts w:hint="eastAsia"/>
        </w:rPr>
        <w:t>人安排下，完成各阶段任务的实施。</w:t>
      </w:r>
    </w:p>
    <w:p w14:paraId="16461ED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ind w:firstLine="480" w:firstLineChars="200"/>
        <w:textAlignment w:val="auto"/>
      </w:pPr>
      <w:r>
        <w:rPr>
          <w:rFonts w:hint="eastAsia"/>
        </w:rPr>
        <w:t>（2）在项目实施过程中，按时向</w:t>
      </w:r>
      <w:r>
        <w:t>项目负责</w:t>
      </w:r>
      <w:r>
        <w:rPr>
          <w:rFonts w:hint="eastAsia"/>
        </w:rPr>
        <w:t>人反馈</w:t>
      </w:r>
      <w:r>
        <w:t>实施进度</w:t>
      </w:r>
      <w:r>
        <w:rPr>
          <w:rFonts w:hint="eastAsia"/>
        </w:rPr>
        <w:t>。</w:t>
      </w:r>
    </w:p>
    <w:p w14:paraId="0FABB1F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ind w:firstLine="480" w:firstLineChars="200"/>
        <w:textAlignment w:val="auto"/>
      </w:pPr>
      <w:r>
        <w:rPr>
          <w:rFonts w:hint="eastAsia"/>
        </w:rPr>
        <w:t>（3）遇有困难或项目执行与计划有偏差，及时向</w:t>
      </w:r>
      <w:r>
        <w:t>项目负责</w:t>
      </w:r>
      <w:r>
        <w:rPr>
          <w:rFonts w:hint="eastAsia"/>
        </w:rPr>
        <w:t>人汇报并主动提出解决方案。</w:t>
      </w:r>
    </w:p>
    <w:p w14:paraId="27239B7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ind w:firstLine="480" w:firstLineChars="200"/>
        <w:textAlignment w:val="auto"/>
      </w:pPr>
      <w:r>
        <w:rPr>
          <w:rFonts w:hint="eastAsia"/>
        </w:rPr>
        <w:t>（4）及时向项目负责人</w:t>
      </w:r>
      <w:r>
        <w:t>提交项目</w:t>
      </w:r>
      <w:r>
        <w:rPr>
          <w:rFonts w:hint="eastAsia"/>
        </w:rPr>
        <w:t>执行情况和阶段性研究小结</w:t>
      </w:r>
      <w:r>
        <w:t>。</w:t>
      </w:r>
    </w:p>
    <w:p w14:paraId="512F1D0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textAlignment w:val="auto"/>
        <w:rPr>
          <w:szCs w:val="28"/>
        </w:rPr>
      </w:pPr>
      <w:bookmarkStart w:id="51" w:name="_Toc350852857"/>
      <w:bookmarkStart w:id="52" w:name="_Toc23876"/>
      <w:bookmarkStart w:id="53" w:name="_Toc329878718"/>
      <w:bookmarkStart w:id="54" w:name="_Toc1149"/>
      <w:bookmarkStart w:id="55" w:name="_Toc12829"/>
      <w:bookmarkStart w:id="56" w:name="_Toc350950914"/>
      <w:bookmarkStart w:id="57" w:name="_Toc23534"/>
      <w:r>
        <w:rPr>
          <w:rFonts w:hint="eastAsia"/>
          <w:szCs w:val="28"/>
        </w:rPr>
        <w:t>6.2质量保证</w:t>
      </w:r>
      <w:bookmarkEnd w:id="51"/>
      <w:bookmarkEnd w:id="52"/>
      <w:bookmarkEnd w:id="53"/>
      <w:bookmarkEnd w:id="54"/>
      <w:bookmarkEnd w:id="55"/>
      <w:bookmarkEnd w:id="56"/>
      <w:bookmarkEnd w:id="57"/>
    </w:p>
    <w:p w14:paraId="28353D4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ind w:firstLine="480" w:firstLineChars="200"/>
        <w:textAlignment w:val="auto"/>
      </w:pPr>
      <w:r>
        <w:rPr>
          <w:rFonts w:hint="eastAsia"/>
        </w:rPr>
        <w:t xml:space="preserve">（1）正式签订合同后立即成立项目组，确定项目负责人和项目成员。 </w:t>
      </w:r>
    </w:p>
    <w:p w14:paraId="49CE331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ind w:firstLine="480" w:firstLineChars="200"/>
        <w:textAlignment w:val="auto"/>
      </w:pPr>
      <w:r>
        <w:rPr>
          <w:rFonts w:hint="eastAsia"/>
        </w:rPr>
        <w:t>（2）项目负责人合理安排工作，让项目组人员能全身心投入到项目的攻关中来。</w:t>
      </w:r>
    </w:p>
    <w:p w14:paraId="79307AF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ind w:firstLine="480" w:firstLineChars="200"/>
        <w:textAlignment w:val="auto"/>
      </w:pPr>
      <w:r>
        <w:rPr>
          <w:rFonts w:hint="eastAsia"/>
        </w:rPr>
        <w:t>（3）应按照项目管理要求开展项目实施，注重项目过程管理，定期召开项目讨论分析会，使项目能够按计划完成。</w:t>
      </w:r>
    </w:p>
    <w:p w14:paraId="5C8F3D6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ind w:firstLine="480" w:firstLineChars="200"/>
        <w:textAlignment w:val="auto"/>
      </w:pPr>
      <w:r>
        <w:rPr>
          <w:rFonts w:hint="eastAsia"/>
        </w:rPr>
        <w:t>（4）项目实施过程中，应该对照合同要求，及时检查各项研究内容和预期指标的完成情况。</w:t>
      </w:r>
    </w:p>
    <w:p w14:paraId="633ED14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（5）项目应按照预算使用经费，符合财务和审计要求。</w:t>
      </w:r>
      <w:bookmarkStart w:id="58" w:name="_Toc13788"/>
    </w:p>
    <w:p w14:paraId="6B24E13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textAlignment w:val="auto"/>
      </w:pPr>
      <w:bookmarkStart w:id="59" w:name="_Toc15036"/>
      <w:r>
        <w:rPr>
          <w:rFonts w:hint="eastAsia"/>
          <w:color w:val="auto"/>
          <w:szCs w:val="28"/>
          <w:highlight w:val="none"/>
        </w:rPr>
        <w:t>6.3</w:t>
      </w:r>
      <w:r>
        <w:rPr>
          <w:color w:val="auto"/>
          <w:szCs w:val="28"/>
          <w:highlight w:val="none"/>
        </w:rPr>
        <w:t>项目进度管理</w:t>
      </w:r>
      <w:bookmarkEnd w:id="59"/>
    </w:p>
    <w:tbl>
      <w:tblPr>
        <w:tblStyle w:val="14"/>
        <w:tblW w:w="108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7"/>
        <w:gridCol w:w="1474"/>
        <w:gridCol w:w="1247"/>
        <w:gridCol w:w="6633"/>
      </w:tblGrid>
      <w:tr w14:paraId="7CD25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noWrap w:val="0"/>
            <w:vAlign w:val="center"/>
          </w:tcPr>
          <w:p w14:paraId="69362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任务名称</w:t>
            </w:r>
          </w:p>
        </w:tc>
        <w:tc>
          <w:tcPr>
            <w:tcW w:w="1474" w:type="dxa"/>
            <w:noWrap w:val="0"/>
            <w:vAlign w:val="center"/>
          </w:tcPr>
          <w:p w14:paraId="71FBC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开始时间</w:t>
            </w:r>
          </w:p>
        </w:tc>
        <w:tc>
          <w:tcPr>
            <w:tcW w:w="1247" w:type="dxa"/>
            <w:noWrap w:val="0"/>
            <w:vAlign w:val="center"/>
          </w:tcPr>
          <w:p w14:paraId="07931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完成时间</w:t>
            </w:r>
          </w:p>
        </w:tc>
        <w:tc>
          <w:tcPr>
            <w:tcW w:w="6633" w:type="dxa"/>
            <w:noWrap w:val="0"/>
            <w:vAlign w:val="center"/>
          </w:tcPr>
          <w:p w14:paraId="33AE9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主要内容及交付物</w:t>
            </w:r>
          </w:p>
        </w:tc>
      </w:tr>
      <w:tr w14:paraId="050F8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restart"/>
            <w:noWrap w:val="0"/>
            <w:vAlign w:val="center"/>
          </w:tcPr>
          <w:p w14:paraId="76229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bCs/>
                <w:szCs w:val="21"/>
                <w:lang w:val="en-US" w:eastAsia="zh-CN"/>
              </w:rPr>
              <w:t>研制</w:t>
            </w:r>
            <w:r>
              <w:rPr>
                <w:rFonts w:hint="eastAsia" w:cs="Times New Roman"/>
                <w:bCs/>
                <w:szCs w:val="21"/>
                <w:lang w:val="en-US" w:eastAsia="zh-CN"/>
              </w:rPr>
              <w:t>一种环网柜便捷工具套装</w:t>
            </w:r>
          </w:p>
        </w:tc>
        <w:tc>
          <w:tcPr>
            <w:tcW w:w="1474" w:type="dxa"/>
            <w:noWrap w:val="0"/>
            <w:vAlign w:val="center"/>
          </w:tcPr>
          <w:p w14:paraId="01459A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noWrap w:val="0"/>
            <w:vAlign w:val="center"/>
          </w:tcPr>
          <w:p w14:paraId="4AF02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1个月内</w:t>
            </w:r>
          </w:p>
        </w:tc>
        <w:tc>
          <w:tcPr>
            <w:tcW w:w="6633" w:type="dxa"/>
            <w:noWrap w:val="0"/>
            <w:vAlign w:val="center"/>
          </w:tcPr>
          <w:p w14:paraId="24150513">
            <w:pPr>
              <w:pStyle w:val="2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  <w:t>主要内容：</w:t>
            </w:r>
          </w:p>
          <w:p w14:paraId="66BA3C9A">
            <w:pPr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开展</w:t>
            </w:r>
            <w:r>
              <w:rPr>
                <w:rFonts w:hint="eastAsia" w:cs="Times New Roman"/>
                <w:lang w:val="en-US" w:eastAsia="zh-CN"/>
              </w:rPr>
              <w:t>一种环网柜便捷工具套装设计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方案研究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 w14:paraId="4D01743B">
            <w:pPr>
              <w:pStyle w:val="2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 w:val="0"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  <w:t>交付项:</w:t>
            </w:r>
          </w:p>
          <w:p w14:paraId="761E5671">
            <w:pPr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</w:rPr>
              <w:t>需求规格说明书</w:t>
            </w:r>
            <w:r>
              <w:rPr>
                <w:rFonts w:hint="eastAsia"/>
                <w:lang w:val="en-US" w:eastAsia="zh-CN"/>
              </w:rPr>
              <w:t>1份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。</w:t>
            </w:r>
          </w:p>
        </w:tc>
      </w:tr>
      <w:tr w14:paraId="69655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continue"/>
            <w:vAlign w:val="center"/>
          </w:tcPr>
          <w:p w14:paraId="6B8268DC">
            <w:pPr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14:paraId="01270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A768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个月内</w:t>
            </w:r>
          </w:p>
        </w:tc>
        <w:tc>
          <w:tcPr>
            <w:tcW w:w="6633" w:type="dxa"/>
            <w:vAlign w:val="center"/>
          </w:tcPr>
          <w:p w14:paraId="2D124EB1">
            <w:pPr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19BCC95D">
            <w:pPr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完成</w:t>
            </w:r>
            <w:r>
              <w:rPr>
                <w:rFonts w:hint="eastAsia" w:cs="Times New Roman"/>
                <w:bCs/>
                <w:szCs w:val="21"/>
                <w:lang w:val="en-US" w:eastAsia="zh-CN"/>
              </w:rPr>
              <w:t>一种环网柜便捷工具套装研发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。</w:t>
            </w:r>
          </w:p>
          <w:p w14:paraId="34349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80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交付项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：</w:t>
            </w:r>
          </w:p>
          <w:p w14:paraId="2EE8C4B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Cs/>
                <w:szCs w:val="21"/>
                <w:lang w:val="en-US" w:eastAsia="zh-CN"/>
              </w:rPr>
              <w:t>一种环网柜便捷工具套装</w:t>
            </w:r>
            <w:r>
              <w:rPr>
                <w:rFonts w:hint="default" w:ascii="Times New Roman" w:hAnsi="Times New Roman" w:eastAsia="宋体" w:cs="Times New Roman"/>
                <w:bCs/>
                <w:szCs w:val="21"/>
                <w:lang w:val="en-US" w:eastAsia="zh-CN"/>
              </w:rPr>
              <w:t>1套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。</w:t>
            </w:r>
          </w:p>
        </w:tc>
      </w:tr>
      <w:tr w14:paraId="751FF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continue"/>
            <w:noWrap w:val="0"/>
            <w:vAlign w:val="center"/>
          </w:tcPr>
          <w:p w14:paraId="2A10A0A9">
            <w:pPr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74" w:type="dxa"/>
            <w:noWrap w:val="0"/>
            <w:vAlign w:val="center"/>
          </w:tcPr>
          <w:p w14:paraId="3443DF2A">
            <w:pPr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noWrap w:val="0"/>
            <w:vAlign w:val="center"/>
          </w:tcPr>
          <w:p w14:paraId="5AEC6FC6">
            <w:pPr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个月内</w:t>
            </w:r>
          </w:p>
        </w:tc>
        <w:tc>
          <w:tcPr>
            <w:tcW w:w="6633" w:type="dxa"/>
            <w:noWrap w:val="0"/>
            <w:vAlign w:val="center"/>
          </w:tcPr>
          <w:p w14:paraId="0AF3EF84">
            <w:pPr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6B80A648">
            <w:pPr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开展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项目验收相关工作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 w14:paraId="58BC07BB">
            <w:pPr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交付项：</w:t>
            </w:r>
          </w:p>
          <w:p w14:paraId="4B71527B">
            <w:pPr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项目验收资料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</w:tr>
      <w:bookmarkEnd w:id="58"/>
    </w:tbl>
    <w:p w14:paraId="0A9132C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textAlignment w:val="auto"/>
        <w:rPr>
          <w:rFonts w:ascii="Times New Roman" w:hAnsi="Times New Roman"/>
          <w:szCs w:val="30"/>
        </w:rPr>
      </w:pPr>
      <w:bookmarkStart w:id="60" w:name="_Toc20268"/>
      <w:bookmarkStart w:id="61" w:name="_Toc17241"/>
      <w:bookmarkStart w:id="62" w:name="_Toc351566769"/>
      <w:bookmarkStart w:id="63" w:name="_Toc28524"/>
      <w:bookmarkStart w:id="64" w:name="_Toc19742"/>
      <w:bookmarkStart w:id="65" w:name="_Toc351722594"/>
      <w:r>
        <w:rPr>
          <w:rFonts w:hint="eastAsia" w:ascii="Times New Roman" w:hAnsi="Times New Roman"/>
          <w:szCs w:val="30"/>
        </w:rPr>
        <w:t>7.技术服务</w:t>
      </w:r>
      <w:bookmarkEnd w:id="60"/>
      <w:bookmarkEnd w:id="61"/>
      <w:bookmarkEnd w:id="62"/>
      <w:bookmarkEnd w:id="63"/>
      <w:bookmarkEnd w:id="64"/>
      <w:bookmarkEnd w:id="65"/>
    </w:p>
    <w:p w14:paraId="3753269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 w:val="0"/>
        <w:ind w:firstLine="480" w:firstLineChars="200"/>
        <w:textAlignment w:val="auto"/>
      </w:pPr>
      <w:r>
        <w:rPr>
          <w:rFonts w:hint="eastAsia"/>
        </w:rPr>
        <w:t>（1）投标人配合开展</w:t>
      </w:r>
      <w:r>
        <w:rPr>
          <w:rFonts w:hint="eastAsia" w:ascii="宋体" w:hAnsi="宋体" w:cs="宋体"/>
          <w:szCs w:val="21"/>
          <w:lang w:eastAsia="zh-CN"/>
        </w:rPr>
        <w:t>一种环网柜便捷工具套装</w:t>
      </w:r>
      <w:r>
        <w:rPr>
          <w:rFonts w:hint="eastAsia"/>
        </w:rPr>
        <w:t>功能的研发设计与建设工作；</w:t>
      </w:r>
    </w:p>
    <w:p w14:paraId="1F34741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 w:val="0"/>
        <w:ind w:firstLine="480" w:firstLineChars="200"/>
        <w:textAlignment w:val="auto"/>
      </w:pPr>
      <w:r>
        <w:rPr>
          <w:rFonts w:hint="eastAsia"/>
        </w:rPr>
        <w:t>（2）</w:t>
      </w:r>
      <w:r>
        <w:t>投标人向招标人提供</w:t>
      </w:r>
      <w:r>
        <w:rPr>
          <w:rFonts w:hint="eastAsia" w:ascii="宋体" w:hAnsi="宋体" w:cs="宋体"/>
          <w:szCs w:val="21"/>
          <w:lang w:eastAsia="zh-CN"/>
        </w:rPr>
        <w:t>一种环网柜便捷工具套装</w:t>
      </w:r>
      <w:r>
        <w:rPr>
          <w:rFonts w:hint="eastAsia"/>
        </w:rPr>
        <w:t>研发</w:t>
      </w:r>
      <w:r>
        <w:t>相符的</w:t>
      </w:r>
      <w:r>
        <w:rPr>
          <w:rFonts w:hint="eastAsia"/>
        </w:rPr>
        <w:t>交付件</w:t>
      </w:r>
      <w:r>
        <w:t>、文档资料及明细表。提供的</w:t>
      </w:r>
      <w:r>
        <w:rPr>
          <w:rFonts w:hint="eastAsia"/>
        </w:rPr>
        <w:t>交付件</w:t>
      </w:r>
      <w:r>
        <w:t>主要包括：</w:t>
      </w:r>
      <w:r>
        <w:rPr>
          <w:rFonts w:hint="eastAsia"/>
        </w:rPr>
        <w:t>验收材料等。</w:t>
      </w:r>
    </w:p>
    <w:p w14:paraId="3673A9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 w:val="0"/>
        <w:ind w:firstLine="480" w:firstLineChars="200"/>
        <w:textAlignment w:val="auto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3</w:t>
      </w:r>
      <w:r>
        <w:t>）投标人</w:t>
      </w:r>
      <w:r>
        <w:rPr>
          <w:rFonts w:hint="eastAsia"/>
        </w:rPr>
        <w:t>负责</w:t>
      </w:r>
      <w:r>
        <w:t>完成</w:t>
      </w:r>
      <w:r>
        <w:rPr>
          <w:rFonts w:hint="eastAsia"/>
        </w:rPr>
        <w:t>部署及关键技术的交底工作，并开展的维护和培训工作；</w:t>
      </w:r>
    </w:p>
    <w:p w14:paraId="47221B6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 w:val="0"/>
        <w:ind w:firstLine="480" w:firstLineChars="200"/>
        <w:textAlignment w:val="auto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）</w:t>
      </w:r>
      <w:r>
        <w:t>投标人</w:t>
      </w:r>
      <w:r>
        <w:rPr>
          <w:rFonts w:hint="eastAsia"/>
        </w:rPr>
        <w:t>须配合项目结算工作并承担相关费用。</w:t>
      </w:r>
    </w:p>
    <w:p w14:paraId="68A258C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textAlignment w:val="auto"/>
        <w:rPr>
          <w:rFonts w:ascii="Times New Roman" w:hAnsi="Times New Roman"/>
          <w:szCs w:val="30"/>
        </w:rPr>
      </w:pPr>
      <w:bookmarkStart w:id="66" w:name="_Toc7678"/>
      <w:bookmarkStart w:id="67" w:name="_Toc41"/>
      <w:bookmarkStart w:id="68" w:name="_Toc20458"/>
      <w:bookmarkStart w:id="69" w:name="_Toc6858"/>
      <w:r>
        <w:rPr>
          <w:rFonts w:hint="eastAsia" w:ascii="Times New Roman" w:hAnsi="Times New Roman"/>
          <w:szCs w:val="30"/>
        </w:rPr>
        <w:t>8.验收</w:t>
      </w:r>
      <w:bookmarkEnd w:id="66"/>
      <w:bookmarkEnd w:id="67"/>
      <w:bookmarkEnd w:id="68"/>
      <w:bookmarkEnd w:id="69"/>
    </w:p>
    <w:p w14:paraId="646D777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 w:val="0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项目完成后，由甲方组织专家组对项目进行验收。</w:t>
      </w:r>
    </w:p>
    <w:p w14:paraId="4898699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textAlignment w:val="auto"/>
        <w:rPr>
          <w:rFonts w:ascii="Times New Roman" w:hAnsi="Times New Roman"/>
          <w:szCs w:val="30"/>
        </w:rPr>
      </w:pPr>
      <w:bookmarkStart w:id="70" w:name="_Toc1431"/>
      <w:bookmarkStart w:id="71" w:name="_Toc11201"/>
      <w:bookmarkStart w:id="72" w:name="_Toc1728"/>
      <w:bookmarkStart w:id="73" w:name="_Toc22704"/>
      <w:r>
        <w:rPr>
          <w:rFonts w:hint="eastAsia" w:ascii="Times New Roman" w:hAnsi="Times New Roman"/>
          <w:szCs w:val="30"/>
        </w:rPr>
        <w:t>9.预期成果</w:t>
      </w:r>
      <w:bookmarkEnd w:id="70"/>
      <w:bookmarkEnd w:id="71"/>
      <w:bookmarkEnd w:id="72"/>
      <w:bookmarkEnd w:id="73"/>
    </w:p>
    <w:p w14:paraId="12595FC3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bookmarkStart w:id="74" w:name="_Toc17119_WPSOffice_Level1"/>
      <w:r>
        <w:rPr>
          <w:rFonts w:hint="default" w:ascii="Times New Roman" w:hAnsi="Times New Roman" w:cs="Times New Roman"/>
          <w:lang w:val="en-US" w:eastAsia="zh-CN"/>
        </w:rPr>
        <w:t>供应商需配合完成项目相关技术资料编写。</w:t>
      </w:r>
    </w:p>
    <w:p w14:paraId="4ACEA3F3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</w:rPr>
        <w:t>研制</w:t>
      </w:r>
      <w:r>
        <w:rPr>
          <w:rFonts w:hint="eastAsia" w:cs="Times New Roman" w:eastAsiaTheme="minorEastAsia"/>
          <w:lang w:eastAsia="zh-CN"/>
        </w:rPr>
        <w:t>一种环网柜便捷工具套装</w:t>
      </w:r>
      <w:r>
        <w:rPr>
          <w:rFonts w:hint="default" w:ascii="Times New Roman" w:hAnsi="Times New Roman" w:cs="Times New Roman" w:eastAsiaTheme="minorEastAsia"/>
        </w:rPr>
        <w:t>一套</w:t>
      </w:r>
      <w:r>
        <w:rPr>
          <w:rFonts w:hint="default" w:ascii="Times New Roman" w:hAnsi="Times New Roman" w:cs="Times New Roman" w:eastAsiaTheme="minorEastAsia"/>
          <w:lang w:eastAsia="zh-CN"/>
        </w:rPr>
        <w:t>。</w:t>
      </w:r>
      <w:bookmarkEnd w:id="74"/>
    </w:p>
    <w:p w14:paraId="1DC3743F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  <w:lang w:val="en-US" w:eastAsia="zh-CN"/>
        </w:rPr>
        <w:t>供应商配合甲方至少完成1项发明专利技术交底书、并申请受理。</w:t>
      </w:r>
    </w:p>
    <w:p w14:paraId="25B264BD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  <w:lang w:val="en-US" w:eastAsia="zh-CN"/>
        </w:rPr>
        <w:t>供应商配合甲方至少完成1篇技术论文发表（录用通知）。</w:t>
      </w:r>
    </w:p>
    <w:p w14:paraId="3BC7C295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  <w:lang w:val="en-US" w:eastAsia="zh-CN"/>
        </w:rPr>
        <w:t>成果应用宣传小视频1份。</w:t>
      </w:r>
    </w:p>
    <w:sectPr>
      <w:footerReference r:id="rId7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BFC23B">
    <w:pPr>
      <w:pStyle w:val="9"/>
      <w:ind w:firstLine="4590" w:firstLineChars="255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E9FACB">
    <w:pPr>
      <w:pStyle w:val="9"/>
      <w:ind w:firstLine="4590" w:firstLineChars="255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BB81AC"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BB81AC"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321BFE">
    <w:pPr>
      <w:pStyle w:val="1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C86D79"/>
    <w:multiLevelType w:val="multilevel"/>
    <w:tmpl w:val="10C86D79"/>
    <w:lvl w:ilvl="0" w:tentative="0">
      <w:start w:val="1"/>
      <w:numFmt w:val="decimal"/>
      <w:lvlText w:val="（%1）"/>
      <w:lvlJc w:val="left"/>
      <w:pPr>
        <w:ind w:left="9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60" w:hanging="420"/>
      </w:pPr>
    </w:lvl>
    <w:lvl w:ilvl="2" w:tentative="0">
      <w:start w:val="1"/>
      <w:numFmt w:val="lowerRoman"/>
      <w:lvlText w:val="%3."/>
      <w:lvlJc w:val="right"/>
      <w:pPr>
        <w:ind w:left="1780" w:hanging="420"/>
      </w:pPr>
    </w:lvl>
    <w:lvl w:ilvl="3" w:tentative="0">
      <w:start w:val="1"/>
      <w:numFmt w:val="decimal"/>
      <w:lvlText w:val="%4."/>
      <w:lvlJc w:val="left"/>
      <w:pPr>
        <w:ind w:left="2200" w:hanging="420"/>
      </w:pPr>
    </w:lvl>
    <w:lvl w:ilvl="4" w:tentative="0">
      <w:start w:val="1"/>
      <w:numFmt w:val="lowerLetter"/>
      <w:lvlText w:val="%5)"/>
      <w:lvlJc w:val="left"/>
      <w:pPr>
        <w:ind w:left="2620" w:hanging="420"/>
      </w:pPr>
    </w:lvl>
    <w:lvl w:ilvl="5" w:tentative="0">
      <w:start w:val="1"/>
      <w:numFmt w:val="lowerRoman"/>
      <w:lvlText w:val="%6."/>
      <w:lvlJc w:val="right"/>
      <w:pPr>
        <w:ind w:left="3040" w:hanging="420"/>
      </w:pPr>
    </w:lvl>
    <w:lvl w:ilvl="6" w:tentative="0">
      <w:start w:val="1"/>
      <w:numFmt w:val="decimal"/>
      <w:lvlText w:val="%7."/>
      <w:lvlJc w:val="left"/>
      <w:pPr>
        <w:ind w:left="3460" w:hanging="420"/>
      </w:pPr>
    </w:lvl>
    <w:lvl w:ilvl="7" w:tentative="0">
      <w:start w:val="1"/>
      <w:numFmt w:val="lowerLetter"/>
      <w:lvlText w:val="%8)"/>
      <w:lvlJc w:val="left"/>
      <w:pPr>
        <w:ind w:left="3880" w:hanging="420"/>
      </w:pPr>
    </w:lvl>
    <w:lvl w:ilvl="8" w:tentative="0">
      <w:start w:val="1"/>
      <w:numFmt w:val="lowerRoman"/>
      <w:lvlText w:val="%9."/>
      <w:lvlJc w:val="right"/>
      <w:pPr>
        <w:ind w:left="4300" w:hanging="420"/>
      </w:pPr>
    </w:lvl>
  </w:abstractNum>
  <w:abstractNum w:abstractNumId="1">
    <w:nsid w:val="22C29E7B"/>
    <w:multiLevelType w:val="multilevel"/>
    <w:tmpl w:val="22C29E7B"/>
    <w:lvl w:ilvl="0" w:tentative="0">
      <w:start w:val="9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">
    <w:nsid w:val="34456B43"/>
    <w:multiLevelType w:val="multilevel"/>
    <w:tmpl w:val="34456B43"/>
    <w:lvl w:ilvl="0" w:tentative="0">
      <w:start w:val="1"/>
      <w:numFmt w:val="decimal"/>
      <w:lvlText w:val="（%1）"/>
      <w:lvlJc w:val="left"/>
      <w:pPr>
        <w:ind w:left="9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60" w:hanging="420"/>
      </w:pPr>
    </w:lvl>
    <w:lvl w:ilvl="2" w:tentative="0">
      <w:start w:val="1"/>
      <w:numFmt w:val="lowerRoman"/>
      <w:lvlText w:val="%3."/>
      <w:lvlJc w:val="right"/>
      <w:pPr>
        <w:ind w:left="1780" w:hanging="420"/>
      </w:pPr>
    </w:lvl>
    <w:lvl w:ilvl="3" w:tentative="0">
      <w:start w:val="1"/>
      <w:numFmt w:val="decimal"/>
      <w:lvlText w:val="%4."/>
      <w:lvlJc w:val="left"/>
      <w:pPr>
        <w:ind w:left="2200" w:hanging="420"/>
      </w:pPr>
    </w:lvl>
    <w:lvl w:ilvl="4" w:tentative="0">
      <w:start w:val="1"/>
      <w:numFmt w:val="lowerLetter"/>
      <w:lvlText w:val="%5)"/>
      <w:lvlJc w:val="left"/>
      <w:pPr>
        <w:ind w:left="2620" w:hanging="420"/>
      </w:pPr>
    </w:lvl>
    <w:lvl w:ilvl="5" w:tentative="0">
      <w:start w:val="1"/>
      <w:numFmt w:val="lowerRoman"/>
      <w:lvlText w:val="%6."/>
      <w:lvlJc w:val="right"/>
      <w:pPr>
        <w:ind w:left="3040" w:hanging="420"/>
      </w:pPr>
    </w:lvl>
    <w:lvl w:ilvl="6" w:tentative="0">
      <w:start w:val="1"/>
      <w:numFmt w:val="decimal"/>
      <w:lvlText w:val="%7."/>
      <w:lvlJc w:val="left"/>
      <w:pPr>
        <w:ind w:left="3460" w:hanging="420"/>
      </w:pPr>
    </w:lvl>
    <w:lvl w:ilvl="7" w:tentative="0">
      <w:start w:val="1"/>
      <w:numFmt w:val="lowerLetter"/>
      <w:lvlText w:val="%8)"/>
      <w:lvlJc w:val="left"/>
      <w:pPr>
        <w:ind w:left="3880" w:hanging="420"/>
      </w:pPr>
    </w:lvl>
    <w:lvl w:ilvl="8" w:tentative="0">
      <w:start w:val="1"/>
      <w:numFmt w:val="lowerRoman"/>
      <w:lvlText w:val="%9."/>
      <w:lvlJc w:val="right"/>
      <w:pPr>
        <w:ind w:left="430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QyZmZmNGI4MDM4ZTM1MmJiNTgzN2Q2MWFiM2JmNDMifQ=="/>
  </w:docVars>
  <w:rsids>
    <w:rsidRoot w:val="61000CEB"/>
    <w:rsid w:val="00270CDB"/>
    <w:rsid w:val="002F6161"/>
    <w:rsid w:val="00330BAF"/>
    <w:rsid w:val="00583B5F"/>
    <w:rsid w:val="0074245F"/>
    <w:rsid w:val="009161E1"/>
    <w:rsid w:val="00926024"/>
    <w:rsid w:val="009E0D18"/>
    <w:rsid w:val="00A14719"/>
    <w:rsid w:val="00FD0013"/>
    <w:rsid w:val="035F5B38"/>
    <w:rsid w:val="03C27252"/>
    <w:rsid w:val="046873F6"/>
    <w:rsid w:val="123401AD"/>
    <w:rsid w:val="1585220E"/>
    <w:rsid w:val="176B67C7"/>
    <w:rsid w:val="19087EBF"/>
    <w:rsid w:val="1BE06EC9"/>
    <w:rsid w:val="1CEC663C"/>
    <w:rsid w:val="1E5309C7"/>
    <w:rsid w:val="224433C0"/>
    <w:rsid w:val="23A50E2C"/>
    <w:rsid w:val="29354EDD"/>
    <w:rsid w:val="2A9D0761"/>
    <w:rsid w:val="2AAE6793"/>
    <w:rsid w:val="328D6C7F"/>
    <w:rsid w:val="32C7502C"/>
    <w:rsid w:val="348B4D2F"/>
    <w:rsid w:val="37073284"/>
    <w:rsid w:val="371E4B75"/>
    <w:rsid w:val="39B12CEE"/>
    <w:rsid w:val="3F9F10BE"/>
    <w:rsid w:val="42973F4D"/>
    <w:rsid w:val="42FC0191"/>
    <w:rsid w:val="47694319"/>
    <w:rsid w:val="51337D85"/>
    <w:rsid w:val="54A0158F"/>
    <w:rsid w:val="5A766B0A"/>
    <w:rsid w:val="5A83334A"/>
    <w:rsid w:val="5FCA25DF"/>
    <w:rsid w:val="60D66F9E"/>
    <w:rsid w:val="61000CEB"/>
    <w:rsid w:val="625A1E82"/>
    <w:rsid w:val="64170A56"/>
    <w:rsid w:val="65772AC0"/>
    <w:rsid w:val="688165BC"/>
    <w:rsid w:val="696E4E9F"/>
    <w:rsid w:val="69BD1081"/>
    <w:rsid w:val="6C016BE7"/>
    <w:rsid w:val="6D444818"/>
    <w:rsid w:val="6E3F13E3"/>
    <w:rsid w:val="6FAB422E"/>
    <w:rsid w:val="77A13FE0"/>
    <w:rsid w:val="79CB20B8"/>
    <w:rsid w:val="7A585555"/>
    <w:rsid w:val="7FE0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39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160" w:after="160"/>
      <w:contextualSpacing/>
      <w:outlineLvl w:val="1"/>
    </w:pPr>
    <w:rPr>
      <w:rFonts w:ascii="楷体_GB2312" w:hAnsi="Arial"/>
      <w:b/>
      <w:sz w:val="32"/>
      <w:szCs w:val="20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120" w:after="120"/>
      <w:contextualSpacing/>
      <w:outlineLvl w:val="2"/>
    </w:pPr>
    <w:rPr>
      <w:b/>
      <w:bCs/>
      <w:sz w:val="30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6"/>
    <w:next w:val="6"/>
    <w:qFormat/>
    <w:uiPriority w:val="0"/>
    <w:pPr>
      <w:adjustRightInd w:val="0"/>
      <w:spacing w:after="120" w:line="560" w:lineRule="exact"/>
      <w:textAlignment w:val="baseline"/>
    </w:pPr>
    <w:rPr>
      <w:rFonts w:ascii="Times New Roman" w:hAnsi="Times New Roman" w:eastAsia="仿宋_GB2312" w:cs="Times New Roman"/>
      <w:kern w:val="0"/>
      <w:sz w:val="30"/>
      <w:szCs w:val="20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toc 3"/>
    <w:basedOn w:val="1"/>
    <w:next w:val="1"/>
    <w:qFormat/>
    <w:uiPriority w:val="0"/>
    <w:pPr>
      <w:ind w:left="840" w:leftChars="400"/>
    </w:pPr>
  </w:style>
  <w:style w:type="paragraph" w:styleId="8">
    <w:name w:val="Plain Text"/>
    <w:basedOn w:val="1"/>
    <w:qFormat/>
    <w:uiPriority w:val="0"/>
    <w:pPr>
      <w:spacing w:line="240" w:lineRule="auto"/>
    </w:pPr>
    <w:rPr>
      <w:rFonts w:ascii="宋体" w:hAnsi="Courier New"/>
      <w:sz w:val="21"/>
      <w:szCs w:val="20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page number"/>
    <w:basedOn w:val="16"/>
    <w:qFormat/>
    <w:uiPriority w:val="0"/>
  </w:style>
  <w:style w:type="paragraph" w:customStyle="1" w:styleId="18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19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0">
    <w:name w:val="表格仿宋小四靠左"/>
    <w:basedOn w:val="1"/>
    <w:qFormat/>
    <w:uiPriority w:val="99"/>
    <w:rPr>
      <w:rFonts w:ascii="仿宋_GB2312" w:hAnsi="等线" w:eastAsia="仿宋_GB2312" w:cs="等线"/>
      <w:kern w:val="0"/>
    </w:rPr>
  </w:style>
  <w:style w:type="paragraph" w:customStyle="1" w:styleId="21">
    <w:name w:val="WPSOffice手动目录 3"/>
    <w:qFormat/>
    <w:uiPriority w:val="0"/>
    <w:pPr>
      <w:ind w:left="400" w:leftChars="400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1984</Words>
  <Characters>2055</Characters>
  <Lines>30</Lines>
  <Paragraphs>8</Paragraphs>
  <TotalTime>3</TotalTime>
  <ScaleCrop>false</ScaleCrop>
  <LinksUpToDate>false</LinksUpToDate>
  <CharactersWithSpaces>2078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2023-09-14T08:57:00Z</dcterms:created>
  <dc:creator>左边口袋</dc:creator>
  <cp:lastModifiedBy>e1b2b0e18ea64ceb929c1613b7df35a8</cp:lastModifiedBy>
  <dcterms:modified xsi:type="dcterms:W3CDTF">2025-11-10T01:11:52Z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C5B890A9D092479A8300C80AF0A5EE4C_13</vt:lpwstr>
  </property>
  <property fmtid="{D5CDD505-2E9C-101B-9397-08002B2CF9AE}" pid="4" name="KSOTemplateDocerSaveRecord">
    <vt:lpwstr>eyJoZGlkIjoiMmZmNjYxMGIwYmViNTFhN2NlMjEyZjliNGQzYTYxNmYifQ==</vt:lpwstr>
  </property>
</Properties>
</file>