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60FE3C">
      <w:pPr>
        <w:spacing w:before="156" w:beforeLines="50" w:after="156" w:afterLines="50" w:line="360" w:lineRule="auto"/>
        <w:jc w:val="center"/>
        <w:rPr>
          <w:rFonts w:ascii="宋体" w:hAnsi="宋体" w:eastAsia="宋体"/>
          <w:sz w:val="24"/>
          <w:szCs w:val="24"/>
        </w:rPr>
      </w:pPr>
      <w:r>
        <w:rPr>
          <w:rFonts w:ascii="宋体" w:hAnsi="宋体" w:eastAsia="宋体"/>
          <w:sz w:val="24"/>
          <w:szCs w:val="24"/>
        </w:rPr>
        <w:drawing>
          <wp:anchor distT="0" distB="0" distL="114300" distR="114300" simplePos="0" relativeHeight="251659264" behindDoc="0" locked="0" layoutInCell="1" allowOverlap="1">
            <wp:simplePos x="0" y="0"/>
            <wp:positionH relativeFrom="page">
              <wp:posOffset>-48260</wp:posOffset>
            </wp:positionH>
            <wp:positionV relativeFrom="page">
              <wp:posOffset>20320</wp:posOffset>
            </wp:positionV>
            <wp:extent cx="7658100" cy="5552440"/>
            <wp:effectExtent l="0" t="0" r="0" b="10160"/>
            <wp:wrapNone/>
            <wp:docPr id="3" name="图片 3"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02-L [Converted]"/>
                    <pic:cNvPicPr>
                      <a:picLocks noChangeAspect="1"/>
                    </pic:cNvPicPr>
                  </pic:nvPicPr>
                  <pic:blipFill>
                    <a:blip r:embed="rId5"/>
                    <a:stretch>
                      <a:fillRect/>
                    </a:stretch>
                  </pic:blipFill>
                  <pic:spPr>
                    <a:xfrm>
                      <a:off x="0" y="0"/>
                      <a:ext cx="7658100" cy="5552440"/>
                    </a:xfrm>
                    <a:prstGeom prst="rect">
                      <a:avLst/>
                    </a:prstGeom>
                    <a:noFill/>
                    <a:ln>
                      <a:noFill/>
                    </a:ln>
                  </pic:spPr>
                </pic:pic>
              </a:graphicData>
            </a:graphic>
          </wp:anchor>
        </w:drawing>
      </w:r>
    </w:p>
    <w:p w14:paraId="7F6267F8">
      <w:pPr>
        <w:spacing w:before="156" w:beforeLines="50" w:after="156" w:afterLines="50" w:line="360" w:lineRule="auto"/>
        <w:jc w:val="center"/>
        <w:rPr>
          <w:rFonts w:ascii="宋体" w:hAnsi="宋体" w:eastAsia="宋体"/>
          <w:sz w:val="24"/>
          <w:szCs w:val="24"/>
        </w:rPr>
      </w:pPr>
    </w:p>
    <w:p w14:paraId="74B2B7C3">
      <w:pPr>
        <w:spacing w:before="156" w:beforeLines="50" w:after="156" w:afterLines="50" w:line="360" w:lineRule="auto"/>
        <w:jc w:val="center"/>
        <w:rPr>
          <w:rFonts w:ascii="宋体" w:hAnsi="宋体" w:eastAsia="宋体"/>
          <w:sz w:val="24"/>
          <w:szCs w:val="24"/>
        </w:rPr>
      </w:pPr>
    </w:p>
    <w:p w14:paraId="07CF5871">
      <w:pPr>
        <w:spacing w:before="156" w:beforeLines="50" w:after="156" w:afterLines="50" w:line="360" w:lineRule="auto"/>
        <w:jc w:val="center"/>
        <w:rPr>
          <w:rFonts w:ascii="宋体" w:hAnsi="宋体" w:eastAsia="宋体"/>
          <w:sz w:val="24"/>
          <w:szCs w:val="24"/>
        </w:rPr>
      </w:pPr>
    </w:p>
    <w:p w14:paraId="6B2CB317">
      <w:pPr>
        <w:spacing w:before="156" w:beforeLines="50" w:after="156" w:afterLines="50" w:line="360" w:lineRule="auto"/>
        <w:jc w:val="center"/>
        <w:rPr>
          <w:rFonts w:ascii="宋体" w:hAnsi="宋体" w:eastAsia="宋体"/>
          <w:sz w:val="24"/>
          <w:szCs w:val="24"/>
        </w:rPr>
      </w:pPr>
    </w:p>
    <w:p w14:paraId="7CD81CFC">
      <w:pPr>
        <w:spacing w:before="156" w:beforeLines="50" w:after="156" w:afterLines="50" w:line="360" w:lineRule="auto"/>
        <w:jc w:val="center"/>
        <w:rPr>
          <w:rFonts w:ascii="宋体" w:hAnsi="宋体" w:eastAsia="宋体"/>
          <w:sz w:val="24"/>
          <w:szCs w:val="24"/>
        </w:rPr>
      </w:pPr>
      <w:r>
        <w:rPr>
          <w:rFonts w:ascii="宋体" w:hAnsi="宋体" w:eastAsia="宋体"/>
          <w:sz w:val="24"/>
          <w:szCs w:val="24"/>
        </w:rPr>
        <mc:AlternateContent>
          <mc:Choice Requires="wps">
            <w:drawing>
              <wp:anchor distT="0" distB="0" distL="114300" distR="114300" simplePos="0" relativeHeight="251660288" behindDoc="0" locked="0" layoutInCell="1" allowOverlap="1">
                <wp:simplePos x="0" y="0"/>
                <wp:positionH relativeFrom="column">
                  <wp:posOffset>-710565</wp:posOffset>
                </wp:positionH>
                <wp:positionV relativeFrom="paragraph">
                  <wp:posOffset>125730</wp:posOffset>
                </wp:positionV>
                <wp:extent cx="6066790" cy="15513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6066790" cy="15513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4EFB1">
                            <w:pPr>
                              <w:jc w:val="center"/>
                              <w:rPr>
                                <w:sz w:val="20"/>
                              </w:rPr>
                            </w:pPr>
                            <w:r>
                              <w:rPr>
                                <w:rFonts w:hint="eastAsia" w:ascii="微软雅黑" w:hAnsi="微软雅黑" w:eastAsia="微软雅黑"/>
                                <w:b/>
                                <w:color w:val="1F497D"/>
                                <w:sz w:val="52"/>
                                <w:szCs w:val="60"/>
                              </w:rPr>
                              <w:t>南方电网贵州电动汽车服务有限公司2025年通勤车内饰采购技术规范书</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95pt;margin-top:9.9pt;height:122.15pt;width:477.7pt;z-index:251660288;mso-width-relative:page;mso-height-relative:page;" filled="f" stroked="f" coordsize="21600,21600" o:gfxdata="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UF6+WNwAAAALAQAADwAAAAAAAAABACAA&#10;AAAiAAAAZHJzL2Rvd25yZXYueG1sUEsBAhQAFAAAAAgAh07iQHeAYAVCAgAAdQQAAA4AAAAAAAAA&#10;AQAgAAAAKwEAAGRycy9lMm9Eb2MueG1sUEsFBgAAAAAGAAYAWQEAAN8FAAAAAA==&#10;">
                <v:fill on="f" focussize="0,0"/>
                <v:stroke on="f" weight="0.5pt"/>
                <v:imagedata o:title=""/>
                <o:lock v:ext="edit" aspectratio="f"/>
                <v:textbox>
                  <w:txbxContent>
                    <w:p w14:paraId="1874EFB1">
                      <w:pPr>
                        <w:jc w:val="center"/>
                        <w:rPr>
                          <w:sz w:val="20"/>
                        </w:rPr>
                      </w:pPr>
                      <w:r>
                        <w:rPr>
                          <w:rFonts w:hint="eastAsia" w:ascii="微软雅黑" w:hAnsi="微软雅黑" w:eastAsia="微软雅黑"/>
                          <w:b/>
                          <w:color w:val="1F497D"/>
                          <w:sz w:val="52"/>
                          <w:szCs w:val="60"/>
                        </w:rPr>
                        <w:t>南方电网贵州电动汽车服务有限公司2025年通勤车内饰采购技术规范书</w:t>
                      </w:r>
                    </w:p>
                  </w:txbxContent>
                </v:textbox>
              </v:shape>
            </w:pict>
          </mc:Fallback>
        </mc:AlternateContent>
      </w:r>
    </w:p>
    <w:p w14:paraId="32516822">
      <w:pPr>
        <w:spacing w:before="156" w:beforeLines="50" w:after="156" w:afterLines="50" w:line="360" w:lineRule="auto"/>
        <w:jc w:val="center"/>
        <w:rPr>
          <w:rFonts w:ascii="宋体" w:hAnsi="宋体" w:eastAsia="宋体"/>
          <w:sz w:val="24"/>
          <w:szCs w:val="24"/>
        </w:rPr>
      </w:pPr>
    </w:p>
    <w:p w14:paraId="0FA7BBD2">
      <w:pPr>
        <w:spacing w:before="156" w:beforeLines="50" w:after="156" w:afterLines="50" w:line="360" w:lineRule="auto"/>
        <w:jc w:val="center"/>
        <w:rPr>
          <w:rFonts w:ascii="宋体" w:hAnsi="宋体" w:eastAsia="宋体"/>
          <w:sz w:val="24"/>
          <w:szCs w:val="24"/>
        </w:rPr>
      </w:pPr>
    </w:p>
    <w:p w14:paraId="3DE4EDF3">
      <w:pPr>
        <w:spacing w:before="156" w:beforeLines="50" w:after="156" w:afterLines="50" w:line="360" w:lineRule="auto"/>
        <w:jc w:val="center"/>
        <w:rPr>
          <w:rFonts w:ascii="宋体" w:hAnsi="宋体" w:eastAsia="宋体"/>
          <w:sz w:val="24"/>
          <w:szCs w:val="24"/>
        </w:rPr>
      </w:pPr>
    </w:p>
    <w:p w14:paraId="340FF3AF">
      <w:pPr>
        <w:spacing w:before="156" w:beforeLines="50" w:after="156" w:afterLines="50" w:line="360" w:lineRule="auto"/>
        <w:jc w:val="center"/>
        <w:rPr>
          <w:rFonts w:ascii="宋体" w:hAnsi="宋体" w:eastAsia="宋体"/>
          <w:sz w:val="24"/>
          <w:szCs w:val="24"/>
        </w:rPr>
      </w:pPr>
    </w:p>
    <w:p w14:paraId="55F418BE">
      <w:pPr>
        <w:spacing w:before="156" w:beforeLines="50" w:after="156" w:afterLines="50" w:line="360" w:lineRule="auto"/>
        <w:jc w:val="center"/>
        <w:rPr>
          <w:rFonts w:ascii="宋体" w:hAnsi="宋体" w:eastAsia="宋体"/>
          <w:sz w:val="24"/>
          <w:szCs w:val="24"/>
        </w:rPr>
      </w:pPr>
    </w:p>
    <w:p w14:paraId="7B5723CF">
      <w:pPr>
        <w:spacing w:before="156" w:beforeLines="50" w:after="156" w:afterLines="50" w:line="360" w:lineRule="auto"/>
        <w:jc w:val="center"/>
        <w:rPr>
          <w:rFonts w:ascii="宋体" w:hAnsi="宋体" w:eastAsia="宋体"/>
          <w:sz w:val="24"/>
          <w:szCs w:val="24"/>
        </w:rPr>
      </w:pPr>
    </w:p>
    <w:p w14:paraId="70938EE4">
      <w:pPr>
        <w:spacing w:before="156" w:beforeLines="50" w:after="156" w:afterLines="50" w:line="360" w:lineRule="auto"/>
        <w:jc w:val="center"/>
        <w:rPr>
          <w:rFonts w:ascii="宋体" w:hAnsi="宋体" w:eastAsia="宋体"/>
          <w:sz w:val="24"/>
          <w:szCs w:val="24"/>
        </w:rPr>
      </w:pPr>
    </w:p>
    <w:p w14:paraId="7E697D78">
      <w:pPr>
        <w:spacing w:before="156" w:beforeLines="50" w:after="156" w:afterLines="50" w:line="360" w:lineRule="auto"/>
        <w:jc w:val="center"/>
        <w:rPr>
          <w:rFonts w:ascii="宋体" w:hAnsi="宋体" w:eastAsia="宋体"/>
          <w:sz w:val="24"/>
          <w:szCs w:val="24"/>
        </w:rPr>
      </w:pPr>
    </w:p>
    <w:p w14:paraId="6822639E">
      <w:pPr>
        <w:spacing w:before="156" w:beforeLines="50" w:after="156" w:afterLines="50" w:line="360" w:lineRule="auto"/>
        <w:jc w:val="center"/>
        <w:rPr>
          <w:rFonts w:ascii="宋体" w:hAnsi="宋体" w:eastAsia="宋体"/>
          <w:sz w:val="24"/>
          <w:szCs w:val="24"/>
        </w:rPr>
      </w:pPr>
    </w:p>
    <w:p w14:paraId="7D7A449D">
      <w:pPr>
        <w:spacing w:before="156" w:beforeLines="50" w:after="156" w:afterLines="50" w:line="360" w:lineRule="auto"/>
        <w:jc w:val="center"/>
        <w:rPr>
          <w:rFonts w:ascii="宋体" w:hAnsi="宋体" w:eastAsia="宋体"/>
          <w:sz w:val="24"/>
          <w:szCs w:val="24"/>
        </w:rPr>
      </w:pPr>
    </w:p>
    <w:p w14:paraId="5725A509">
      <w:pPr>
        <w:spacing w:before="156" w:beforeLines="50" w:after="156" w:afterLines="50" w:line="360" w:lineRule="auto"/>
        <w:rPr>
          <w:rFonts w:ascii="宋体" w:hAnsi="宋体" w:eastAsia="宋体"/>
          <w:b/>
          <w:color w:val="000000"/>
          <w:sz w:val="24"/>
          <w:szCs w:val="24"/>
        </w:rPr>
      </w:pPr>
    </w:p>
    <w:p w14:paraId="32BB63DC">
      <w:pPr>
        <w:pStyle w:val="5"/>
        <w:keepNext w:val="0"/>
        <w:keepLines w:val="0"/>
        <w:widowControl/>
        <w:suppressLineNumbers w:val="0"/>
        <w:jc w:val="both"/>
        <w:outlineLvl w:val="9"/>
        <w:rPr>
          <w:rFonts w:hint="eastAsia" w:ascii="黑体" w:hAnsi="黑体" w:eastAsia="黑体" w:cs="黑体"/>
          <w:b/>
          <w:bCs/>
          <w:sz w:val="44"/>
          <w:szCs w:val="44"/>
          <w:lang w:val="en-US" w:eastAsia="zh-CN"/>
        </w:rPr>
      </w:pPr>
    </w:p>
    <w:p w14:paraId="2F25E76C">
      <w:pPr>
        <w:spacing w:line="560" w:lineRule="exact"/>
        <w:jc w:val="center"/>
        <w:outlineLvl w:val="9"/>
        <w:rPr>
          <w:rFonts w:hint="eastAsia" w:ascii="楷体_GB2312" w:hAnsi="宋体" w:eastAsia="楷体_GB2312"/>
          <w:sz w:val="32"/>
          <w:szCs w:val="32"/>
          <w:lang w:val="en-US" w:eastAsia="zh-CN"/>
        </w:rPr>
      </w:pPr>
    </w:p>
    <w:p w14:paraId="2154A7E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南方电网贵州电动汽车服务有限公司</w:t>
      </w:r>
    </w:p>
    <w:p w14:paraId="7DFB40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color w:val="000000"/>
          <w:sz w:val="28"/>
          <w:szCs w:val="28"/>
        </w:rPr>
        <w:sectPr>
          <w:footerReference r:id="rId3" w:type="default"/>
          <w:pgSz w:w="11906" w:h="16838"/>
          <w:pgMar w:top="1440" w:right="1800" w:bottom="1440" w:left="1800" w:header="851" w:footer="992" w:gutter="0"/>
          <w:cols w:space="720" w:num="1"/>
          <w:docGrid w:type="lines" w:linePitch="312" w:charSpace="0"/>
        </w:sectPr>
      </w:pPr>
      <w:r>
        <w:rPr>
          <w:rFonts w:hint="eastAsia" w:ascii="仿宋" w:hAnsi="仿宋" w:eastAsia="仿宋" w:cs="仿宋"/>
          <w:b/>
          <w:color w:val="000000"/>
          <w:sz w:val="28"/>
          <w:szCs w:val="28"/>
          <w:lang w:val="en-US" w:eastAsia="zh-CN"/>
        </w:rPr>
        <w:t>2025</w:t>
      </w:r>
      <w:r>
        <w:rPr>
          <w:rFonts w:hint="eastAsia" w:ascii="仿宋" w:hAnsi="仿宋" w:eastAsia="仿宋" w:cs="仿宋"/>
          <w:b/>
          <w:color w:val="000000"/>
          <w:sz w:val="28"/>
          <w:szCs w:val="28"/>
        </w:rPr>
        <w:t>年</w:t>
      </w:r>
      <w:r>
        <w:rPr>
          <w:rFonts w:hint="eastAsia" w:ascii="仿宋" w:hAnsi="仿宋" w:eastAsia="仿宋" w:cs="仿宋"/>
          <w:b/>
          <w:color w:val="000000"/>
          <w:sz w:val="28"/>
          <w:szCs w:val="28"/>
          <w:lang w:val="en-US" w:eastAsia="zh-CN"/>
        </w:rPr>
        <w:t>11</w:t>
      </w:r>
      <w:r>
        <w:rPr>
          <w:rFonts w:hint="eastAsia" w:ascii="仿宋" w:hAnsi="仿宋" w:eastAsia="仿宋" w:cs="仿宋"/>
          <w:b/>
          <w:color w:val="000000"/>
          <w:sz w:val="28"/>
          <w:szCs w:val="28"/>
        </w:rPr>
        <w:t>月</w:t>
      </w:r>
    </w:p>
    <w:p w14:paraId="2B946E29">
      <w:pPr>
        <w:spacing w:line="348" w:lineRule="auto"/>
        <w:jc w:val="center"/>
        <w:rPr>
          <w:rFonts w:hint="eastAsia" w:ascii="方正小标宋_GBK" w:hAnsi="方正小标宋简体" w:eastAsia="方正小标宋_GBK" w:cs="方正小标宋简体"/>
          <w:sz w:val="44"/>
          <w:szCs w:val="44"/>
          <w:lang w:val="en-US" w:eastAsia="zh-CN"/>
        </w:rPr>
      </w:pPr>
      <w:r>
        <w:rPr>
          <w:rFonts w:hint="eastAsia" w:ascii="方正小标宋_GBK" w:hAnsi="方正小标宋简体" w:eastAsia="方正小标宋_GBK" w:cs="方正小标宋简体"/>
          <w:sz w:val="44"/>
          <w:szCs w:val="44"/>
        </w:rPr>
        <w:t>南方电网贵州电动汽车服务有限公司2025年通勤车内饰</w:t>
      </w:r>
      <w:bookmarkStart w:id="0" w:name="_GoBack"/>
      <w:bookmarkEnd w:id="0"/>
      <w:r>
        <w:rPr>
          <w:rFonts w:hint="eastAsia" w:ascii="方正小标宋_GBK" w:hAnsi="方正小标宋简体" w:eastAsia="方正小标宋_GBK" w:cs="方正小标宋简体"/>
          <w:sz w:val="44"/>
          <w:szCs w:val="44"/>
        </w:rPr>
        <w:t>采购技术规范书</w:t>
      </w:r>
    </w:p>
    <w:p w14:paraId="15D21696">
      <w:pPr>
        <w:numPr>
          <w:ilvl w:val="0"/>
          <w:numId w:val="0"/>
        </w:numPr>
        <w:jc w:val="both"/>
        <w:rPr>
          <w:rFonts w:hint="eastAsia"/>
          <w:sz w:val="32"/>
          <w:szCs w:val="32"/>
          <w:lang w:val="en-US" w:eastAsia="zh-CN"/>
        </w:rPr>
      </w:pPr>
    </w:p>
    <w:p w14:paraId="4F67868C">
      <w:pPr>
        <w:spacing w:line="560" w:lineRule="exact"/>
        <w:ind w:firstLine="640" w:firstLineChars="200"/>
        <w:rPr>
          <w:rFonts w:hint="eastAsia" w:ascii="黑体" w:hAnsi="宋体" w:eastAsia="黑体" w:cs="Times New Roman"/>
          <w:sz w:val="32"/>
          <w:szCs w:val="32"/>
          <w:lang w:val="en-US" w:eastAsia="zh-CN"/>
        </w:rPr>
      </w:pPr>
      <w:r>
        <w:rPr>
          <w:rFonts w:hint="eastAsia" w:ascii="黑体" w:hAnsi="宋体" w:eastAsia="黑体" w:cs="Times New Roman"/>
          <w:sz w:val="32"/>
          <w:szCs w:val="32"/>
          <w:lang w:val="en-US" w:eastAsia="zh-CN"/>
        </w:rPr>
        <w:t>一、资格要求</w:t>
      </w:r>
    </w:p>
    <w:p w14:paraId="7918FBC2">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1、需是依法注册的法人或其他组织，具有独立承担民事责任的能力，能提供有效的营业执照证明文件。</w:t>
      </w:r>
    </w:p>
    <w:p w14:paraId="34D9C25E">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2、经营范围需涵盖汽车配件、汽车用品销售等。</w:t>
      </w:r>
    </w:p>
    <w:p w14:paraId="2FA69380">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3、具备良好的商业信誉，拥有履行合同的专业技术能力。</w:t>
      </w:r>
    </w:p>
    <w:p w14:paraId="3914F19B">
      <w:pPr>
        <w:spacing w:line="560" w:lineRule="exact"/>
        <w:ind w:firstLine="640" w:firstLineChars="200"/>
        <w:rPr>
          <w:rFonts w:hint="eastAsia"/>
          <w:b/>
          <w:bCs/>
          <w:sz w:val="32"/>
          <w:szCs w:val="32"/>
          <w:lang w:val="en-US" w:eastAsia="zh-CN"/>
        </w:rPr>
      </w:pPr>
      <w:r>
        <w:rPr>
          <w:rFonts w:hint="eastAsia" w:ascii="黑体" w:hAnsi="宋体" w:eastAsia="黑体" w:cs="Times New Roman"/>
          <w:sz w:val="32"/>
          <w:szCs w:val="32"/>
          <w:lang w:val="en-US" w:eastAsia="zh-CN"/>
        </w:rPr>
        <w:t>二、产品要求</w:t>
      </w:r>
    </w:p>
    <w:p w14:paraId="740D66A4">
      <w:pPr>
        <w:spacing w:line="560" w:lineRule="exact"/>
        <w:ind w:firstLine="643" w:firstLineChars="200"/>
        <w:rPr>
          <w:rFonts w:hint="default"/>
          <w:b/>
          <w:bCs/>
          <w:sz w:val="32"/>
          <w:szCs w:val="32"/>
          <w:lang w:val="en-US" w:eastAsia="zh-CN"/>
        </w:rPr>
      </w:pPr>
      <w:r>
        <w:rPr>
          <w:rFonts w:hint="eastAsia" w:ascii="仿宋_GB2312" w:hAnsi="仿宋_GB2312" w:eastAsia="仿宋_GB2312" w:cs="仿宋_GB2312"/>
          <w:b/>
          <w:sz w:val="32"/>
          <w:szCs w:val="32"/>
          <w:lang w:val="en-US" w:eastAsia="zh-CN"/>
        </w:rPr>
        <w:t>（一）通勤车座椅套</w:t>
      </w:r>
    </w:p>
    <w:p w14:paraId="19929D9B">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1、座椅套需符合新能源通勤车辆专用标准，材质要求耐磨、耐拉伸，具备防污、防泼水性能，易清洁，不易起球、变形。</w:t>
      </w:r>
    </w:p>
    <w:p w14:paraId="3E81B77E">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2、需适配我司现使用车型，安装后需贴合座椅外形，不得影响安全带、侧气囊、头枕等原车功能使用。</w:t>
      </w:r>
    </w:p>
    <w:p w14:paraId="59A981B1">
      <w:pPr>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3、座椅套材料需具备阻燃性能，满足公共交通车辆内饰材料燃烧性能相关国家标准要求。</w:t>
      </w:r>
    </w:p>
    <w:p w14:paraId="5A2B5BC2">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4、产品应环保无异味，无刺激性气体挥发，符合国家环保标准要求，提供符合性检测或第三方质检报告。</w:t>
      </w:r>
    </w:p>
    <w:p w14:paraId="75464405">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5、保证所供座椅套为全新正品，做工平整，无明显拉痕、跳线、破损，缝线牢固可靠，使用寿命不低于2年。</w:t>
      </w:r>
    </w:p>
    <w:p w14:paraId="40A91775">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sz w:val="32"/>
          <w:szCs w:val="32"/>
          <w:lang w:val="en-US" w:eastAsia="zh-CN"/>
        </w:rPr>
      </w:pPr>
    </w:p>
    <w:p w14:paraId="705024D5">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default"/>
          <w:b/>
          <w:bCs/>
          <w:sz w:val="32"/>
          <w:szCs w:val="32"/>
          <w:lang w:val="en-US" w:eastAsia="zh-CN"/>
        </w:rPr>
      </w:pPr>
      <w:r>
        <w:rPr>
          <w:rFonts w:hint="eastAsia" w:ascii="仿宋_GB2312" w:hAnsi="仿宋_GB2312" w:eastAsia="仿宋_GB2312" w:cs="仿宋_GB2312"/>
          <w:b/>
          <w:sz w:val="32"/>
          <w:szCs w:val="32"/>
          <w:lang w:val="en-US" w:eastAsia="zh-CN"/>
        </w:rPr>
        <w:t>（</w:t>
      </w:r>
      <w:r>
        <w:rPr>
          <w:rFonts w:hint="default" w:ascii="仿宋_GB2312" w:hAnsi="仿宋_GB2312" w:eastAsia="仿宋_GB2312" w:cs="仿宋_GB2312"/>
          <w:b/>
          <w:sz w:val="32"/>
          <w:szCs w:val="32"/>
          <w:lang w:val="en-US" w:eastAsia="zh-CN"/>
        </w:rPr>
        <w:t>二</w:t>
      </w:r>
      <w:r>
        <w:rPr>
          <w:rFonts w:hint="eastAsia" w:ascii="仿宋_GB2312" w:hAnsi="仿宋_GB2312" w:eastAsia="仿宋_GB2312" w:cs="仿宋_GB2312"/>
          <w:b/>
          <w:sz w:val="32"/>
          <w:szCs w:val="32"/>
          <w:lang w:val="en-US" w:eastAsia="zh-CN"/>
        </w:rPr>
        <w:t>）</w:t>
      </w:r>
      <w:r>
        <w:rPr>
          <w:rFonts w:hint="default" w:ascii="仿宋_GB2312" w:hAnsi="仿宋_GB2312" w:eastAsia="仿宋_GB2312" w:cs="仿宋_GB2312"/>
          <w:b/>
          <w:sz w:val="32"/>
          <w:szCs w:val="32"/>
          <w:lang w:val="en-US" w:eastAsia="zh-CN"/>
        </w:rPr>
        <w:t>通勤车窗帘</w:t>
      </w:r>
    </w:p>
    <w:p w14:paraId="1EBDA363">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1、材质需具备良好的遮光、防晒、防褪色性能，不得影响司乘视野和车辆通风效果，不得影响玻璃升降轨迹。</w:t>
      </w:r>
    </w:p>
    <w:p w14:paraId="2113C2D6">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2、需与现有车型原配窗轨或安装结构兼容，滑轨运行顺畅，无卡顿、脱轨现象，安装方式不得破坏原车结构。</w:t>
      </w:r>
    </w:p>
    <w:p w14:paraId="23350EBA">
      <w:pPr>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3、窗帘布料需耐磨、抗老化，具备阻燃性能，符合国家公共车辆类内饰阻燃安全标准产品且需提供质量证明文件及检测报告，材料需环保、无刺激性气味，不含对人体有害成分。</w:t>
      </w:r>
    </w:p>
    <w:p w14:paraId="7A5DC46C">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4、保证所供货品为全新正品，开合顺畅，缝线均匀牢固，不得存在抽丝、破损、变形等质量问题；产品安装后外观整洁美观，使用寿命不低于2年。</w:t>
      </w:r>
    </w:p>
    <w:p w14:paraId="2D60936C">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sz w:val="32"/>
          <w:szCs w:val="32"/>
          <w:lang w:val="en-US" w:eastAsia="zh-CN"/>
        </w:rPr>
      </w:pPr>
    </w:p>
    <w:p w14:paraId="15CC6A85">
      <w:pPr>
        <w:spacing w:line="560" w:lineRule="exact"/>
        <w:ind w:firstLine="640" w:firstLineChars="200"/>
        <w:rPr>
          <w:rFonts w:hint="eastAsia" w:ascii="黑体" w:hAnsi="宋体" w:eastAsia="黑体" w:cs="Times New Roman"/>
          <w:sz w:val="32"/>
          <w:szCs w:val="32"/>
          <w:lang w:val="en-US" w:eastAsia="zh-CN"/>
        </w:rPr>
      </w:pPr>
      <w:r>
        <w:rPr>
          <w:rFonts w:hint="eastAsia" w:ascii="黑体" w:hAnsi="宋体" w:eastAsia="黑体" w:cs="Times New Roman"/>
          <w:sz w:val="32"/>
          <w:szCs w:val="32"/>
          <w:lang w:val="en-US" w:eastAsia="zh-CN"/>
        </w:rPr>
        <w:t>三、服务要求</w:t>
      </w:r>
    </w:p>
    <w:p w14:paraId="29A86A39">
      <w:pPr>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1、根据我司需求，将货物配送至指定地点，地点包含贵州省各市、县供电局等。</w:t>
      </w:r>
    </w:p>
    <w:p w14:paraId="2689EBA0">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2、配送过程中需妥善包装，避免产品破损、泄漏；交货时需提供送货单，注明产品名称、规格、数量、批号等信息，供我方核对验收。</w:t>
      </w:r>
    </w:p>
    <w:p w14:paraId="430BB35E">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3、产品若存在质量问题，需在24小时内响应，2天内免费退换货，并承担由此产生的运输费用。</w:t>
      </w:r>
    </w:p>
    <w:p w14:paraId="451CBC55">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Chars="0" w:firstLine="640" w:firstLineChars="200"/>
        <w:jc w:val="both"/>
        <w:textAlignment w:val="auto"/>
        <w:rPr>
          <w:rFonts w:hint="eastAsia"/>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CF5482D-8043-4707-91C7-977C3356EA7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D3ACB63C-DBA0-4250-A451-E534AF575972}"/>
  </w:font>
  <w:font w:name="仿宋_GB2312">
    <w:altName w:val="仿宋"/>
    <w:panose1 w:val="02010609030101010101"/>
    <w:charset w:val="86"/>
    <w:family w:val="modern"/>
    <w:pitch w:val="default"/>
    <w:sig w:usb0="00000000" w:usb1="00000000" w:usb2="00000000" w:usb3="00000000" w:csb0="00040000" w:csb1="00000000"/>
    <w:embedRegular r:id="rId3" w:fontKey="{E37AC53F-8BE9-44B3-A7EC-56A4EF6BEC5D}"/>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embedRegular r:id="rId4" w:fontKey="{C9DA0AF9-7987-4D58-A2BD-32112C9B77E5}"/>
  </w:font>
  <w:font w:name="方正小标宋简体">
    <w:panose1 w:val="02000000000000000000"/>
    <w:charset w:val="86"/>
    <w:family w:val="script"/>
    <w:pitch w:val="default"/>
    <w:sig w:usb0="00000001" w:usb1="08000000" w:usb2="00000000" w:usb3="00000000" w:csb0="00040000" w:csb1="00000000"/>
    <w:embedRegular r:id="rId5" w:fontKey="{263B7D32-B316-497C-A262-17994F55EA08}"/>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0E318">
    <w:pPr>
      <w:pStyle w:val="4"/>
      <w:jc w:val="center"/>
    </w:pPr>
    <w:r>
      <w:fldChar w:fldCharType="begin"/>
    </w:r>
    <w:r>
      <w:instrText xml:space="preserve">PAGE   \* MERGEFORMAT</w:instrText>
    </w:r>
    <w:r>
      <w:fldChar w:fldCharType="separate"/>
    </w:r>
    <w:r>
      <w:rPr>
        <w:lang w:val="zh-CN"/>
      </w:rPr>
      <w:t>2</w:t>
    </w:r>
    <w:r>
      <w:fldChar w:fldCharType="end"/>
    </w:r>
  </w:p>
  <w:p w14:paraId="5681130E">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0C30BB"/>
    <w:rsid w:val="09C14D8C"/>
    <w:rsid w:val="0CE8253A"/>
    <w:rsid w:val="117143B2"/>
    <w:rsid w:val="13CF4530"/>
    <w:rsid w:val="1DAE4A84"/>
    <w:rsid w:val="245861E5"/>
    <w:rsid w:val="268F7CC9"/>
    <w:rsid w:val="2A7B0204"/>
    <w:rsid w:val="339000D3"/>
    <w:rsid w:val="349E2E8C"/>
    <w:rsid w:val="3BDC19FF"/>
    <w:rsid w:val="4224370E"/>
    <w:rsid w:val="456E7CCA"/>
    <w:rsid w:val="472E4381"/>
    <w:rsid w:val="4A476AF8"/>
    <w:rsid w:val="4A750119"/>
    <w:rsid w:val="4AEB5531"/>
    <w:rsid w:val="4FB21842"/>
    <w:rsid w:val="4FC17F68"/>
    <w:rsid w:val="52462D3F"/>
    <w:rsid w:val="52874BB0"/>
    <w:rsid w:val="55455F3D"/>
    <w:rsid w:val="6D724695"/>
    <w:rsid w:val="779F3EFE"/>
    <w:rsid w:val="7C0C3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rPr>
      <w:rFonts w:eastAsia="仿宋_GB2312"/>
      <w:color w:val="000000"/>
      <w:sz w:val="32"/>
    </w:rPr>
  </w:style>
  <w:style w:type="paragraph" w:styleId="3">
    <w:name w:val="Title"/>
    <w:basedOn w:val="1"/>
    <w:next w:val="1"/>
    <w:qFormat/>
    <w:uiPriority w:val="9"/>
    <w:pPr>
      <w:keepNext/>
      <w:keepLines/>
      <w:spacing w:before="0" w:after="0" w:line="408" w:lineRule="auto"/>
      <w:jc w:val="center"/>
      <w:outlineLvl w:val="0"/>
    </w:pPr>
    <w:rPr>
      <w:b/>
      <w:bCs/>
      <w:color w:val="1A1A1A"/>
      <w:sz w:val="48"/>
      <w:szCs w:val="4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801</Words>
  <Characters>809</Characters>
  <Lines>0</Lines>
  <Paragraphs>0</Paragraphs>
  <TotalTime>0</TotalTime>
  <ScaleCrop>false</ScaleCrop>
  <LinksUpToDate>false</LinksUpToDate>
  <CharactersWithSpaces>809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2025-07-03T08:42:00Z</dcterms:created>
  <dc:creator>72607FA1CE7042BB95F861D817CA7739</dc:creator>
  <cp:lastModifiedBy>爱吹泡泡的我</cp:lastModifiedBy>
  <cp:lastPrinted>2025-07-17T05:55:00Z</cp:lastPrinted>
  <dcterms:modified xsi:type="dcterms:W3CDTF">2025-11-21T07:03:23Z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623EBD994DC44FD69EC86711C20A3A01_13</vt:lpwstr>
  </property>
  <property fmtid="{D5CDD505-2E9C-101B-9397-08002B2CF9AE}" pid="4" name="KSOTemplateDocerSaveRecord">
    <vt:lpwstr>eyJoZGlkIjoiMTBhMjhhODgzNTg3OGJlZTg4MmQ3YzVlNDUzZWE0ZGIiLCJ1c2VySWQiOiI2NzA0MjI0NTYifQ==</vt:lpwstr>
  </property>
</Properties>
</file>