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>
      <w:pPr>
        <w:pStyle w:val="18"/>
        <w:shd w:val="clear"/>
        <w:rPr>
          <w:rFonts w:hint="eastAsia" w:ascii="黑体" w:hAnsi="黑体" w:eastAsia="黑体" w:cs="黑体"/>
          <w:b/>
          <w:bCs/>
          <w:color w:val="auto"/>
          <w:szCs w:val="52"/>
          <w:highlight w:val="none"/>
        </w:rPr>
      </w:pPr>
      <w:bookmarkStart w:id="22" w:name="_GoBack"/>
      <w:r>
        <w:rPr>
          <w:rFonts w:hint="eastAsia" w:ascii="黑体" w:hAnsi="黑体" w:eastAsia="黑体" w:cs="黑体"/>
          <w:b/>
          <w:bCs/>
          <w:color w:val="auto"/>
          <w:szCs w:val="52"/>
          <w:highlight w:val="none"/>
          <w:lang w:val="en-US" w:eastAsia="zh-CN"/>
        </w:rPr>
        <w:t>数字电网公司2025年电鸿物联设备适配自动化测试技术服务项目</w:t>
      </w:r>
    </w:p>
    <w:bookmarkEnd w:id="22"/>
    <w:p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8"/>
        <w:shd w:val="clear"/>
        <w:jc w:val="center"/>
        <w:rPr>
          <w:rFonts w:ascii="黑体" w:hAnsi="黑体" w:eastAsia="黑体" w:cs="黑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Fonts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  <w:bookmarkStart w:id="0" w:name="_Toc29868"/>
      <w:bookmarkStart w:id="1" w:name="_Toc6059"/>
      <w:bookmarkStart w:id="2" w:name="_Toc26266"/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</w:pPr>
      <w:r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  <w:t>二〇二五年十一月</w:t>
      </w:r>
    </w:p>
    <w:bookmarkEnd w:id="0"/>
    <w:bookmarkEnd w:id="1"/>
    <w:bookmarkEnd w:id="2"/>
    <w:p>
      <w:pPr>
        <w:rPr>
          <w:rFonts w:hint="eastAsia" w:ascii="宋体" w:hAnsi="宋体"/>
          <w:b/>
          <w:color w:val="auto"/>
          <w:sz w:val="32"/>
          <w:highlight w:val="none"/>
        </w:rPr>
      </w:pPr>
      <w:bookmarkStart w:id="3" w:name="_Toc19589"/>
      <w:bookmarkStart w:id="4" w:name="_Toc17611"/>
      <w:bookmarkStart w:id="5" w:name="_Toc9243"/>
      <w:bookmarkStart w:id="6" w:name="_Toc266713645"/>
      <w:bookmarkStart w:id="7" w:name="_Toc32342"/>
      <w:r>
        <w:rPr>
          <w:rFonts w:hint="eastAsia" w:ascii="宋体" w:hAnsi="宋体"/>
          <w:b/>
          <w:color w:val="auto"/>
          <w:sz w:val="32"/>
          <w:highlight w:val="none"/>
        </w:rPr>
        <w:br w:type="page"/>
      </w:r>
    </w:p>
    <w:p>
      <w:pPr>
        <w:shd w:val="clear"/>
        <w:spacing w:line="480" w:lineRule="auto"/>
        <w:jc w:val="center"/>
        <w:outlineLvl w:val="0"/>
        <w:rPr>
          <w:rFonts w:ascii="宋体" w:hAnsi="宋体"/>
          <w:b/>
          <w:color w:val="auto"/>
          <w:sz w:val="32"/>
          <w:highlight w:val="none"/>
        </w:rPr>
      </w:pPr>
      <w:r>
        <w:rPr>
          <w:rFonts w:hint="eastAsia" w:ascii="宋体" w:hAnsi="宋体"/>
          <w:b/>
          <w:color w:val="auto"/>
          <w:sz w:val="32"/>
          <w:highlight w:val="none"/>
        </w:rPr>
        <w:t>总则</w:t>
      </w:r>
      <w:bookmarkEnd w:id="3"/>
      <w:bookmarkEnd w:id="4"/>
      <w:bookmarkEnd w:id="5"/>
      <w:bookmarkEnd w:id="6"/>
      <w:bookmarkEnd w:id="7"/>
    </w:p>
    <w:p>
      <w:pPr>
        <w:numPr>
          <w:ilvl w:val="0"/>
          <w:numId w:val="2"/>
        </w:numPr>
        <w:shd w:val="clear"/>
        <w:spacing w:line="360" w:lineRule="auto"/>
        <w:rPr>
          <w:rFonts w:hint="eastAsia"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本文件为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“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电鸿物联设备适配自动化测试技术服务项目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采购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本文件所描述的各</w:t>
      </w:r>
      <w:r>
        <w:rPr>
          <w:rFonts w:hint="eastAsia" w:hAnsi="宋体"/>
          <w:bCs/>
          <w:color w:val="auto"/>
          <w:sz w:val="24"/>
          <w:highlight w:val="none"/>
        </w:rPr>
        <w:t>项技术要求</w:t>
      </w:r>
      <w:r>
        <w:rPr>
          <w:rFonts w:hint="eastAsia" w:ascii="宋体" w:hAnsi="宋体"/>
          <w:bCs/>
          <w:color w:val="auto"/>
          <w:sz w:val="24"/>
          <w:highlight w:val="none"/>
        </w:rPr>
        <w:t>仅供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编制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报价技术</w:t>
      </w:r>
      <w:r>
        <w:rPr>
          <w:rFonts w:hint="eastAsia" w:ascii="宋体" w:hAnsi="宋体"/>
          <w:bCs/>
          <w:color w:val="auto"/>
          <w:sz w:val="24"/>
          <w:highlight w:val="none"/>
        </w:rPr>
        <w:t>文件之用。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本文件仅描述基本的技术需求，并未对一切技术细节做出规定，也未充分引述有关标准和技术条文，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应根据需求目标提供进一步具体的可满足要求的</w:t>
      </w:r>
      <w:r>
        <w:rPr>
          <w:rFonts w:hint="eastAsia" w:hAnsi="宋体"/>
          <w:bCs/>
          <w:color w:val="auto"/>
          <w:sz w:val="24"/>
          <w:highlight w:val="none"/>
        </w:rPr>
        <w:t>技术</w:t>
      </w:r>
      <w:r>
        <w:rPr>
          <w:rFonts w:hint="eastAsia" w:ascii="宋体" w:hAnsi="宋体"/>
          <w:bCs/>
          <w:color w:val="auto"/>
          <w:sz w:val="24"/>
          <w:highlight w:val="none"/>
        </w:rPr>
        <w:t>指标。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技术文件要求文字精练、数据准确、表述及图示清晰明确，具有针对性。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在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技术文件中应对本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文件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逐项予以说明和答复,应如实反映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与本技术规范书的技术差异。如果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没有提出技术差异，而在执行合同的过程中，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发现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提供的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技术文件的条文存在差异，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追究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违约责任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应在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技术部分按本技术规范书的要求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如实详细填写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，并在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部分按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进行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有矛盾之处，将按有利于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的条款执行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必须仔细阅读本技术规范书的全部条款，并作出明确响应。技术规范书中的条款及要求均为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highlight w:val="none"/>
        </w:rPr>
        <w:t>最低需求，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必须满足，若有一项不满足将否决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szCs w:val="22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本技术规范书未尽事宜，由买、卖双方协商确定。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技术规范书</w:t>
      </w:r>
      <w:r>
        <w:rPr>
          <w:rFonts w:hint="eastAsia" w:ascii="宋体" w:hAnsi="宋体"/>
          <w:bCs/>
          <w:color w:val="auto"/>
          <w:sz w:val="24"/>
          <w:highlight w:val="none"/>
        </w:rPr>
        <w:t>的最终解释权归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pStyle w:val="22"/>
        <w:shd w:val="clear"/>
        <w:spacing w:before="312"/>
        <w:rPr>
          <w:color w:val="auto"/>
          <w:szCs w:val="22"/>
          <w:highlight w:val="none"/>
        </w:rPr>
      </w:pPr>
      <w:r>
        <w:rPr>
          <w:rFonts w:hint="eastAsia"/>
          <w:color w:val="auto"/>
          <w:szCs w:val="22"/>
          <w:highlight w:val="none"/>
        </w:rPr>
        <w:br w:type="page"/>
      </w:r>
    </w:p>
    <w:p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8" w:name="_Toc10716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1  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概况</w:t>
      </w:r>
      <w:bookmarkEnd w:id="8"/>
      <w:bookmarkStart w:id="9" w:name="_Toc17049"/>
      <w:bookmarkStart w:id="10" w:name="_Toc7301"/>
    </w:p>
    <w:bookmarkEnd w:id="9"/>
    <w:bookmarkEnd w:id="10"/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2"/>
        <w:gridCol w:w="22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5862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主要工作内容</w:t>
            </w:r>
          </w:p>
        </w:tc>
        <w:tc>
          <w:tcPr>
            <w:tcW w:w="2277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完成期限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5862" w:type="dxa"/>
            <w:vAlign w:val="center"/>
          </w:tcPr>
          <w:p>
            <w:pPr>
              <w:pStyle w:val="8"/>
              <w:shd w:val="clear"/>
              <w:ind w:firstLine="480" w:firstLineChars="200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围绕电鸿操作系统适配</w:t>
            </w:r>
            <w:r>
              <w:rPr>
                <w:rFonts w:hint="eastAsia" w:hAnsi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电力物联</w:t>
            </w: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设备的兼容性测试需求，系统性地开展了电鸿OS XTS测试套件的架构分析与用例集构建，设计并实现了包含测试管理服务器、设备连接网关及电力外设模拟与真实模块的跨平台自动化测试环境，研发了设备完整性及一致性的自动化校验方案，设计了具备设备自动识别、任务分发、并行执行与实时监控能力的自动化测试执行引擎与调度平台，并最终建立了标准化的测试报告模板与设备适配认证指导体系，形成了一套完整的自动化测试技术解决方案。</w:t>
            </w:r>
          </w:p>
        </w:tc>
        <w:tc>
          <w:tcPr>
            <w:tcW w:w="2277" w:type="dxa"/>
            <w:vAlign w:val="center"/>
          </w:tcPr>
          <w:p>
            <w:pPr>
              <w:shd w:val="clear"/>
              <w:rPr>
                <w:rFonts w:hint="default" w:ascii="宋体" w:hAnsi="宋体" w:eastAsia="微软雅黑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自合同签订之日起至2026年1月30日</w:t>
            </w:r>
          </w:p>
        </w:tc>
      </w:tr>
    </w:tbl>
    <w:p>
      <w:pPr>
        <w:pStyle w:val="22"/>
        <w:shd w:val="clear"/>
        <w:spacing w:before="312"/>
        <w:outlineLvl w:val="0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bookmarkStart w:id="11" w:name="_Toc15062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2  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技术服务内容</w:t>
      </w:r>
      <w:bookmarkEnd w:id="11"/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2.1 提供电鸿操作系统XTS测试套件的深度分析与定制构建技术方案，涵盖系统架构拆解、版本差异对比、电力场景组件功能映射，并基于PHM、PHS、PHR三类内核设备特性，筛选与定制覆盖操作系统核心功能与电力专项业务的测试用例集，确保测试的针对性与有效性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2.2 提供跨平台自动化测试环境的整体设计与组网部署技术方案，包括测试管理服务器的硬件选型与分布式软件系统搭建、设备连接网关的串口与网络双链路通信架构配置、以及电力外设模拟与真实模块的集成，构建稳定可靠的自动化测试硬件支撑平台，实现多类型设备的统一接入与测试场景的灵活复现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2.3 提供设备完整性及一致性自动化校验工具的研发与方案技术方案，通过预设标准镜像清单与开发校验脚本，实现电鸿OS镜像组件、驱动与配置文件的完整性自动验证，并通过API行为、系统服务接口及安全策略的一致性测试，确保操作系统在不同硬件平台上的行为统一与适配质量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2.4 提供自动化测试执行引擎与调度平台的设计与开发技术方案，实现设备类型的自动识别、测试套件的精准匹配、测试任务的并行执行与实时监控、以及测试日志与结果的自动收集与初步分析，支持“一键式”启动全流程自动化测试，显著提升测试效率与执行一致性。</w:t>
      </w:r>
    </w:p>
    <w:p>
      <w:pPr>
        <w:shd w:val="clear"/>
        <w:spacing w:line="360" w:lineRule="auto"/>
        <w:ind w:firstLine="480" w:firstLineChars="200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2.5 提供标准化测试报告生成与设备适配认证指导体系的技术方案，设计涵盖测试基础信息、覆盖情况、结果详情及性能基线对比的标准化报告模板，并构建包含认证对象分级、核心量化标准、实施全流程规范及支撑保障的认证指导体系，为生态伙伴提供清晰的测试认证路径与质量保障依据。。</w:t>
      </w:r>
    </w:p>
    <w:p>
      <w:pPr>
        <w:shd w:val="clear"/>
        <w:spacing w:line="360" w:lineRule="auto"/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2.6 根据电鸿操作系统的兼容性XTS测试，完成相关测试的自动化技术研究，最终完成《电鸿物联设备适配自动化测试报告》1份。</w:t>
      </w:r>
    </w:p>
    <w:p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12" w:name="_Toc10515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3  技术服务的要求</w:t>
      </w:r>
      <w:bookmarkEnd w:id="12"/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3.1技术服务工作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从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合同签订后起，30个自然日内完成测试报告。</w:t>
      </w:r>
    </w:p>
    <w:p>
      <w:pPr>
        <w:pStyle w:val="22"/>
        <w:shd w:val="clear"/>
        <w:spacing w:before="312"/>
        <w:outlineLvl w:val="0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bookmarkStart w:id="13" w:name="_Toc11966"/>
      <w:bookmarkStart w:id="14" w:name="_Toc25153"/>
      <w:bookmarkStart w:id="15" w:name="_Toc30164"/>
      <w:bookmarkStart w:id="16" w:name="_Toc14113"/>
      <w:bookmarkStart w:id="17" w:name="_Toc22782"/>
      <w:bookmarkStart w:id="18" w:name="_Toc12669"/>
      <w:bookmarkStart w:id="19" w:name="_Toc27856"/>
      <w:bookmarkStart w:id="20" w:name="_Toc11470"/>
      <w:bookmarkStart w:id="21" w:name="_Toc12418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4 资质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要求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响应方</w:t>
      </w:r>
      <w:r>
        <w:rPr>
          <w:rFonts w:hint="default" w:ascii="Times New Roman" w:hAnsi="Times New Roman" w:eastAsia="宋体" w:cs="Times New Roman"/>
          <w:sz w:val="24"/>
          <w:szCs w:val="24"/>
        </w:rPr>
        <w:t>须具有下列资质：</w:t>
      </w:r>
    </w:p>
    <w:p>
      <w:pPr>
        <w:numPr>
          <w:ilvl w:val="0"/>
          <w:numId w:val="0"/>
        </w:numPr>
        <w:shd w:val="clear"/>
        <w:spacing w:line="360" w:lineRule="auto"/>
        <w:ind w:firstLine="420" w:firstLineChars="0"/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公司须具有电力鸿蒙操作系统的生态适配、测试等相关合同的成功交付经验。</w:t>
      </w:r>
    </w:p>
    <w:p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3MTBiMDBiY2Y2Mzg0ZGY2M2YyNGM2NTllMGMxYTQifQ=="/>
  </w:docVars>
  <w:rsids>
    <w:rsidRoot w:val="56112EA9"/>
    <w:rsid w:val="000C764F"/>
    <w:rsid w:val="006E05BE"/>
    <w:rsid w:val="0086790A"/>
    <w:rsid w:val="00A36D9C"/>
    <w:rsid w:val="00DE6232"/>
    <w:rsid w:val="01417E64"/>
    <w:rsid w:val="01565F86"/>
    <w:rsid w:val="017705FB"/>
    <w:rsid w:val="01D35542"/>
    <w:rsid w:val="027C11FC"/>
    <w:rsid w:val="0295401A"/>
    <w:rsid w:val="0303051E"/>
    <w:rsid w:val="041E2657"/>
    <w:rsid w:val="044514F2"/>
    <w:rsid w:val="044607DE"/>
    <w:rsid w:val="04593618"/>
    <w:rsid w:val="047B7BC4"/>
    <w:rsid w:val="049C7C9A"/>
    <w:rsid w:val="04BF0B83"/>
    <w:rsid w:val="04FE4EAD"/>
    <w:rsid w:val="05312146"/>
    <w:rsid w:val="05395645"/>
    <w:rsid w:val="054B3781"/>
    <w:rsid w:val="056D4E14"/>
    <w:rsid w:val="065110EC"/>
    <w:rsid w:val="06F52B3B"/>
    <w:rsid w:val="075626D2"/>
    <w:rsid w:val="07C94E02"/>
    <w:rsid w:val="07D43977"/>
    <w:rsid w:val="080B7B0D"/>
    <w:rsid w:val="08306EBA"/>
    <w:rsid w:val="08AB080B"/>
    <w:rsid w:val="09BF12C5"/>
    <w:rsid w:val="09F078C2"/>
    <w:rsid w:val="0A4A0996"/>
    <w:rsid w:val="0A9773AF"/>
    <w:rsid w:val="0B5E7643"/>
    <w:rsid w:val="0B715FA9"/>
    <w:rsid w:val="0B7D1AC3"/>
    <w:rsid w:val="0B9B6C9A"/>
    <w:rsid w:val="0BC25BB8"/>
    <w:rsid w:val="0BD1033B"/>
    <w:rsid w:val="0BFD7548"/>
    <w:rsid w:val="0C5E1872"/>
    <w:rsid w:val="0C8C1EEF"/>
    <w:rsid w:val="0CA42F0B"/>
    <w:rsid w:val="0CEC4CFB"/>
    <w:rsid w:val="0D090C53"/>
    <w:rsid w:val="0D0C14ED"/>
    <w:rsid w:val="0D4A0605"/>
    <w:rsid w:val="0D6039E5"/>
    <w:rsid w:val="0DA970D9"/>
    <w:rsid w:val="0DD4603A"/>
    <w:rsid w:val="0DDE0C6E"/>
    <w:rsid w:val="0E670CF6"/>
    <w:rsid w:val="0E884E6D"/>
    <w:rsid w:val="0EB63FD3"/>
    <w:rsid w:val="0EC81CAE"/>
    <w:rsid w:val="0EE82CF2"/>
    <w:rsid w:val="0F9C2440"/>
    <w:rsid w:val="0FBF064C"/>
    <w:rsid w:val="0FDB32CA"/>
    <w:rsid w:val="10011F66"/>
    <w:rsid w:val="107B4D5D"/>
    <w:rsid w:val="10811A74"/>
    <w:rsid w:val="10972384"/>
    <w:rsid w:val="11380F24"/>
    <w:rsid w:val="11402C86"/>
    <w:rsid w:val="1178213A"/>
    <w:rsid w:val="118130B9"/>
    <w:rsid w:val="118E381A"/>
    <w:rsid w:val="12AF03E6"/>
    <w:rsid w:val="12BB43B9"/>
    <w:rsid w:val="12CD0F99"/>
    <w:rsid w:val="12E31879"/>
    <w:rsid w:val="133B0193"/>
    <w:rsid w:val="13565710"/>
    <w:rsid w:val="13566E57"/>
    <w:rsid w:val="13A42991"/>
    <w:rsid w:val="14226099"/>
    <w:rsid w:val="14421D4B"/>
    <w:rsid w:val="144A2429"/>
    <w:rsid w:val="147F0C66"/>
    <w:rsid w:val="148404CD"/>
    <w:rsid w:val="14E80E3B"/>
    <w:rsid w:val="153B7463"/>
    <w:rsid w:val="1558413F"/>
    <w:rsid w:val="155E4129"/>
    <w:rsid w:val="159E2286"/>
    <w:rsid w:val="15CC6A4F"/>
    <w:rsid w:val="15DE301C"/>
    <w:rsid w:val="1615119E"/>
    <w:rsid w:val="16382D15"/>
    <w:rsid w:val="16CE51A3"/>
    <w:rsid w:val="16F75EAC"/>
    <w:rsid w:val="16F77748"/>
    <w:rsid w:val="17C03CC4"/>
    <w:rsid w:val="17C5148E"/>
    <w:rsid w:val="18543146"/>
    <w:rsid w:val="19B54AE3"/>
    <w:rsid w:val="1A164159"/>
    <w:rsid w:val="1A316175"/>
    <w:rsid w:val="1A830B36"/>
    <w:rsid w:val="1ADD4B0E"/>
    <w:rsid w:val="1B544749"/>
    <w:rsid w:val="1B843116"/>
    <w:rsid w:val="1B9D56A4"/>
    <w:rsid w:val="1BF021DF"/>
    <w:rsid w:val="1BFA3C82"/>
    <w:rsid w:val="1C672B50"/>
    <w:rsid w:val="1C9C3206"/>
    <w:rsid w:val="1D3C734D"/>
    <w:rsid w:val="1D8D437A"/>
    <w:rsid w:val="1DA01B05"/>
    <w:rsid w:val="1DC57489"/>
    <w:rsid w:val="1F45052A"/>
    <w:rsid w:val="1FBD1E67"/>
    <w:rsid w:val="1FD20C3C"/>
    <w:rsid w:val="1FD8526A"/>
    <w:rsid w:val="1FD9003C"/>
    <w:rsid w:val="1FE921AB"/>
    <w:rsid w:val="2023582D"/>
    <w:rsid w:val="209D2E2F"/>
    <w:rsid w:val="20C63E3C"/>
    <w:rsid w:val="21630E97"/>
    <w:rsid w:val="216337ED"/>
    <w:rsid w:val="21CA3C88"/>
    <w:rsid w:val="22586A0B"/>
    <w:rsid w:val="22AB3CC4"/>
    <w:rsid w:val="22E90D13"/>
    <w:rsid w:val="234277A0"/>
    <w:rsid w:val="234B187D"/>
    <w:rsid w:val="235B7824"/>
    <w:rsid w:val="23A116F1"/>
    <w:rsid w:val="23AE35D1"/>
    <w:rsid w:val="243536F6"/>
    <w:rsid w:val="24A069D0"/>
    <w:rsid w:val="24C9435F"/>
    <w:rsid w:val="24EA7C79"/>
    <w:rsid w:val="24ED319F"/>
    <w:rsid w:val="250F564D"/>
    <w:rsid w:val="25204EE2"/>
    <w:rsid w:val="252B1EB7"/>
    <w:rsid w:val="256870E0"/>
    <w:rsid w:val="25E42BF8"/>
    <w:rsid w:val="2639712F"/>
    <w:rsid w:val="265249D6"/>
    <w:rsid w:val="26877BF1"/>
    <w:rsid w:val="269F5118"/>
    <w:rsid w:val="26BF74C3"/>
    <w:rsid w:val="26D0779D"/>
    <w:rsid w:val="26EC1AF1"/>
    <w:rsid w:val="275D5D26"/>
    <w:rsid w:val="275F7D29"/>
    <w:rsid w:val="27D34242"/>
    <w:rsid w:val="27EC643E"/>
    <w:rsid w:val="27F81146"/>
    <w:rsid w:val="281A157A"/>
    <w:rsid w:val="289352A5"/>
    <w:rsid w:val="28A8423A"/>
    <w:rsid w:val="28BE48E2"/>
    <w:rsid w:val="295D095A"/>
    <w:rsid w:val="29D528D2"/>
    <w:rsid w:val="29EC5B99"/>
    <w:rsid w:val="29F81415"/>
    <w:rsid w:val="2A2E088F"/>
    <w:rsid w:val="2A441357"/>
    <w:rsid w:val="2A4D516F"/>
    <w:rsid w:val="2A874401"/>
    <w:rsid w:val="2A89001F"/>
    <w:rsid w:val="2B0B4F52"/>
    <w:rsid w:val="2B6721B0"/>
    <w:rsid w:val="2B6D01DF"/>
    <w:rsid w:val="2BA03769"/>
    <w:rsid w:val="2BD3124D"/>
    <w:rsid w:val="2C112C5C"/>
    <w:rsid w:val="2C191EA0"/>
    <w:rsid w:val="2C9E4EF3"/>
    <w:rsid w:val="2CA3124A"/>
    <w:rsid w:val="2CC46550"/>
    <w:rsid w:val="2D8F39A1"/>
    <w:rsid w:val="2D94572F"/>
    <w:rsid w:val="2DAC4578"/>
    <w:rsid w:val="2DB36870"/>
    <w:rsid w:val="2DEA6350"/>
    <w:rsid w:val="2E260032"/>
    <w:rsid w:val="2E2E5B4F"/>
    <w:rsid w:val="2E380045"/>
    <w:rsid w:val="2E8130E5"/>
    <w:rsid w:val="2EC278D4"/>
    <w:rsid w:val="2EE16229"/>
    <w:rsid w:val="2EE670A0"/>
    <w:rsid w:val="2EF2438F"/>
    <w:rsid w:val="2EFA1D2E"/>
    <w:rsid w:val="2EFB704A"/>
    <w:rsid w:val="2F2E6BFF"/>
    <w:rsid w:val="2F556EA0"/>
    <w:rsid w:val="2FBC128A"/>
    <w:rsid w:val="2FC241F2"/>
    <w:rsid w:val="2FE56DED"/>
    <w:rsid w:val="2FF720A0"/>
    <w:rsid w:val="30045C2F"/>
    <w:rsid w:val="30A7367B"/>
    <w:rsid w:val="30DF2B6C"/>
    <w:rsid w:val="310463AC"/>
    <w:rsid w:val="31267BCB"/>
    <w:rsid w:val="313E1E7A"/>
    <w:rsid w:val="31B01E0F"/>
    <w:rsid w:val="32421F4A"/>
    <w:rsid w:val="32653DEB"/>
    <w:rsid w:val="32887BF4"/>
    <w:rsid w:val="330E4E8B"/>
    <w:rsid w:val="33161353"/>
    <w:rsid w:val="334E3954"/>
    <w:rsid w:val="33727E3B"/>
    <w:rsid w:val="33EB5673"/>
    <w:rsid w:val="34255CC8"/>
    <w:rsid w:val="347E10AE"/>
    <w:rsid w:val="348D5B05"/>
    <w:rsid w:val="35347AD0"/>
    <w:rsid w:val="3559362F"/>
    <w:rsid w:val="35831D37"/>
    <w:rsid w:val="358955C5"/>
    <w:rsid w:val="358A1AD4"/>
    <w:rsid w:val="358B06A1"/>
    <w:rsid w:val="35DF4389"/>
    <w:rsid w:val="35E41FA9"/>
    <w:rsid w:val="360B40D3"/>
    <w:rsid w:val="3661221B"/>
    <w:rsid w:val="36A667E3"/>
    <w:rsid w:val="36DA1F19"/>
    <w:rsid w:val="376F4CD4"/>
    <w:rsid w:val="37A433E0"/>
    <w:rsid w:val="37AE0477"/>
    <w:rsid w:val="38004B22"/>
    <w:rsid w:val="384629CE"/>
    <w:rsid w:val="386E54D8"/>
    <w:rsid w:val="38721237"/>
    <w:rsid w:val="38D05FCB"/>
    <w:rsid w:val="38E627E6"/>
    <w:rsid w:val="38E74863"/>
    <w:rsid w:val="390A3500"/>
    <w:rsid w:val="39140E3A"/>
    <w:rsid w:val="39394001"/>
    <w:rsid w:val="395B5F73"/>
    <w:rsid w:val="395C5711"/>
    <w:rsid w:val="39665E8E"/>
    <w:rsid w:val="39855B4F"/>
    <w:rsid w:val="398C2739"/>
    <w:rsid w:val="39E07316"/>
    <w:rsid w:val="39E974DB"/>
    <w:rsid w:val="3A907B0F"/>
    <w:rsid w:val="3AC42D7F"/>
    <w:rsid w:val="3B411800"/>
    <w:rsid w:val="3B673936"/>
    <w:rsid w:val="3B705AB9"/>
    <w:rsid w:val="3C4C5078"/>
    <w:rsid w:val="3C585A10"/>
    <w:rsid w:val="3C614924"/>
    <w:rsid w:val="3C865BA4"/>
    <w:rsid w:val="3DDE3626"/>
    <w:rsid w:val="3E4B7171"/>
    <w:rsid w:val="3E931C31"/>
    <w:rsid w:val="3EB90139"/>
    <w:rsid w:val="3F9923B3"/>
    <w:rsid w:val="401C5798"/>
    <w:rsid w:val="405745EF"/>
    <w:rsid w:val="40794199"/>
    <w:rsid w:val="407B2591"/>
    <w:rsid w:val="408A19B3"/>
    <w:rsid w:val="40F0643B"/>
    <w:rsid w:val="40FF550C"/>
    <w:rsid w:val="410217F6"/>
    <w:rsid w:val="419C13AE"/>
    <w:rsid w:val="41A73FEA"/>
    <w:rsid w:val="41B40E40"/>
    <w:rsid w:val="42A30678"/>
    <w:rsid w:val="42A37264"/>
    <w:rsid w:val="42A85259"/>
    <w:rsid w:val="42DF02D2"/>
    <w:rsid w:val="44267E6C"/>
    <w:rsid w:val="445D01EE"/>
    <w:rsid w:val="446425F3"/>
    <w:rsid w:val="44693523"/>
    <w:rsid w:val="44C917FC"/>
    <w:rsid w:val="44E04C68"/>
    <w:rsid w:val="4509771E"/>
    <w:rsid w:val="457F7435"/>
    <w:rsid w:val="45AD67D6"/>
    <w:rsid w:val="45CF1EF0"/>
    <w:rsid w:val="45FB1433"/>
    <w:rsid w:val="463D215F"/>
    <w:rsid w:val="46B71F8C"/>
    <w:rsid w:val="46E41C62"/>
    <w:rsid w:val="47097B32"/>
    <w:rsid w:val="47194E6E"/>
    <w:rsid w:val="47382C50"/>
    <w:rsid w:val="475B51CD"/>
    <w:rsid w:val="47F359F7"/>
    <w:rsid w:val="48205CF0"/>
    <w:rsid w:val="487243E9"/>
    <w:rsid w:val="48AE5D4E"/>
    <w:rsid w:val="48B02A52"/>
    <w:rsid w:val="48B56168"/>
    <w:rsid w:val="49030FD7"/>
    <w:rsid w:val="495670F4"/>
    <w:rsid w:val="496522AD"/>
    <w:rsid w:val="49F22A9F"/>
    <w:rsid w:val="4A3233F0"/>
    <w:rsid w:val="4A3B0ADD"/>
    <w:rsid w:val="4A4054CC"/>
    <w:rsid w:val="4A4B4604"/>
    <w:rsid w:val="4A566A25"/>
    <w:rsid w:val="4A7A1254"/>
    <w:rsid w:val="4A9A3B4D"/>
    <w:rsid w:val="4AA711DF"/>
    <w:rsid w:val="4AC97A44"/>
    <w:rsid w:val="4ADF4CFB"/>
    <w:rsid w:val="4B18258B"/>
    <w:rsid w:val="4BA85BAD"/>
    <w:rsid w:val="4C3F54C3"/>
    <w:rsid w:val="4C755063"/>
    <w:rsid w:val="4C9C6495"/>
    <w:rsid w:val="4CA55517"/>
    <w:rsid w:val="4CE147A6"/>
    <w:rsid w:val="4CE42B1C"/>
    <w:rsid w:val="4CF766DE"/>
    <w:rsid w:val="4D235E70"/>
    <w:rsid w:val="4DBF3FC8"/>
    <w:rsid w:val="4DDB7BC5"/>
    <w:rsid w:val="4E287A4C"/>
    <w:rsid w:val="4E933DB4"/>
    <w:rsid w:val="4EB32BB1"/>
    <w:rsid w:val="4EC54607"/>
    <w:rsid w:val="4EDE6AF3"/>
    <w:rsid w:val="4F436D5A"/>
    <w:rsid w:val="4FB838C0"/>
    <w:rsid w:val="50692104"/>
    <w:rsid w:val="50C4507C"/>
    <w:rsid w:val="50E83C80"/>
    <w:rsid w:val="50E84976"/>
    <w:rsid w:val="51A9285C"/>
    <w:rsid w:val="51CA3DA4"/>
    <w:rsid w:val="52A26B88"/>
    <w:rsid w:val="52D27864"/>
    <w:rsid w:val="52F864C1"/>
    <w:rsid w:val="53282066"/>
    <w:rsid w:val="5377673A"/>
    <w:rsid w:val="53CD308F"/>
    <w:rsid w:val="54301991"/>
    <w:rsid w:val="54412B18"/>
    <w:rsid w:val="544B4DE2"/>
    <w:rsid w:val="545D3BCA"/>
    <w:rsid w:val="54945A86"/>
    <w:rsid w:val="54C17E31"/>
    <w:rsid w:val="54E75E4E"/>
    <w:rsid w:val="54EC5F00"/>
    <w:rsid w:val="5554635E"/>
    <w:rsid w:val="55BB08CE"/>
    <w:rsid w:val="55F5265A"/>
    <w:rsid w:val="56112EA9"/>
    <w:rsid w:val="5612439D"/>
    <w:rsid w:val="56634F6B"/>
    <w:rsid w:val="56DC5381"/>
    <w:rsid w:val="56FE5647"/>
    <w:rsid w:val="572004CE"/>
    <w:rsid w:val="576E3E36"/>
    <w:rsid w:val="57AA3B02"/>
    <w:rsid w:val="57D62605"/>
    <w:rsid w:val="5877260C"/>
    <w:rsid w:val="58A64419"/>
    <w:rsid w:val="590E31B7"/>
    <w:rsid w:val="594A6C48"/>
    <w:rsid w:val="59B261E8"/>
    <w:rsid w:val="59BD7DED"/>
    <w:rsid w:val="59E4535B"/>
    <w:rsid w:val="5AE252E1"/>
    <w:rsid w:val="5B3D6948"/>
    <w:rsid w:val="5B413B2B"/>
    <w:rsid w:val="5B6578FE"/>
    <w:rsid w:val="5BAC42C7"/>
    <w:rsid w:val="5BC5685F"/>
    <w:rsid w:val="5C4E6A70"/>
    <w:rsid w:val="5C871AE3"/>
    <w:rsid w:val="5CBC1717"/>
    <w:rsid w:val="5D205DBF"/>
    <w:rsid w:val="5DAB53AF"/>
    <w:rsid w:val="5DB65080"/>
    <w:rsid w:val="5DB924C9"/>
    <w:rsid w:val="5E0B23A4"/>
    <w:rsid w:val="5E7F2B1D"/>
    <w:rsid w:val="5E9479C8"/>
    <w:rsid w:val="5E9F37EA"/>
    <w:rsid w:val="5EFC4DAC"/>
    <w:rsid w:val="5EFF55AD"/>
    <w:rsid w:val="5F322F86"/>
    <w:rsid w:val="5F354A2E"/>
    <w:rsid w:val="5F3A2B4A"/>
    <w:rsid w:val="5F8D2A0A"/>
    <w:rsid w:val="5F9A2498"/>
    <w:rsid w:val="5FE42408"/>
    <w:rsid w:val="602F6B9B"/>
    <w:rsid w:val="60446F8A"/>
    <w:rsid w:val="60865787"/>
    <w:rsid w:val="60A8111F"/>
    <w:rsid w:val="60B802FB"/>
    <w:rsid w:val="60C2033D"/>
    <w:rsid w:val="61633BDA"/>
    <w:rsid w:val="61B23647"/>
    <w:rsid w:val="61B74473"/>
    <w:rsid w:val="61E33B45"/>
    <w:rsid w:val="624205F5"/>
    <w:rsid w:val="62542CC4"/>
    <w:rsid w:val="626A1418"/>
    <w:rsid w:val="62974434"/>
    <w:rsid w:val="630015B9"/>
    <w:rsid w:val="63595690"/>
    <w:rsid w:val="63627A53"/>
    <w:rsid w:val="63952BF2"/>
    <w:rsid w:val="63FE5340"/>
    <w:rsid w:val="640B1F26"/>
    <w:rsid w:val="64132F2C"/>
    <w:rsid w:val="64657E8E"/>
    <w:rsid w:val="64AC103B"/>
    <w:rsid w:val="64D432EB"/>
    <w:rsid w:val="650664D0"/>
    <w:rsid w:val="65355760"/>
    <w:rsid w:val="65697FAC"/>
    <w:rsid w:val="666908C2"/>
    <w:rsid w:val="673113AB"/>
    <w:rsid w:val="67593ED7"/>
    <w:rsid w:val="676B3154"/>
    <w:rsid w:val="67C471DB"/>
    <w:rsid w:val="67FD2500"/>
    <w:rsid w:val="680A5633"/>
    <w:rsid w:val="680E0513"/>
    <w:rsid w:val="68AC152E"/>
    <w:rsid w:val="68DF26D3"/>
    <w:rsid w:val="695323C7"/>
    <w:rsid w:val="69EA7D86"/>
    <w:rsid w:val="69F05CEA"/>
    <w:rsid w:val="6A2D0FBD"/>
    <w:rsid w:val="6A8D4544"/>
    <w:rsid w:val="6ABC1891"/>
    <w:rsid w:val="6ABC77B2"/>
    <w:rsid w:val="6B023115"/>
    <w:rsid w:val="6C37560D"/>
    <w:rsid w:val="6D2B4CBE"/>
    <w:rsid w:val="6D401C96"/>
    <w:rsid w:val="6D4A0BE9"/>
    <w:rsid w:val="6D85389F"/>
    <w:rsid w:val="6DE047D4"/>
    <w:rsid w:val="6E06100F"/>
    <w:rsid w:val="6E22444C"/>
    <w:rsid w:val="6E5B1FD7"/>
    <w:rsid w:val="6EB40B09"/>
    <w:rsid w:val="6F891280"/>
    <w:rsid w:val="706B20E6"/>
    <w:rsid w:val="708F1B04"/>
    <w:rsid w:val="70E237AF"/>
    <w:rsid w:val="710C1A65"/>
    <w:rsid w:val="712A3D63"/>
    <w:rsid w:val="71497715"/>
    <w:rsid w:val="718469A4"/>
    <w:rsid w:val="71C94BB9"/>
    <w:rsid w:val="71D14AD5"/>
    <w:rsid w:val="71FD350D"/>
    <w:rsid w:val="7218577E"/>
    <w:rsid w:val="723932A5"/>
    <w:rsid w:val="727B49E7"/>
    <w:rsid w:val="729E4393"/>
    <w:rsid w:val="73303C63"/>
    <w:rsid w:val="734A4E61"/>
    <w:rsid w:val="7377313A"/>
    <w:rsid w:val="73A151D8"/>
    <w:rsid w:val="73D7627B"/>
    <w:rsid w:val="73EC0C6E"/>
    <w:rsid w:val="73FA6E86"/>
    <w:rsid w:val="742F4229"/>
    <w:rsid w:val="744F7DDF"/>
    <w:rsid w:val="74572EAA"/>
    <w:rsid w:val="74C35E58"/>
    <w:rsid w:val="74E106B7"/>
    <w:rsid w:val="7507754B"/>
    <w:rsid w:val="75700D85"/>
    <w:rsid w:val="75715F41"/>
    <w:rsid w:val="76497732"/>
    <w:rsid w:val="76890F73"/>
    <w:rsid w:val="76DB6DC9"/>
    <w:rsid w:val="770F4753"/>
    <w:rsid w:val="7792777C"/>
    <w:rsid w:val="78376D79"/>
    <w:rsid w:val="78C21DEE"/>
    <w:rsid w:val="78E46BD7"/>
    <w:rsid w:val="790428F9"/>
    <w:rsid w:val="7953312B"/>
    <w:rsid w:val="79EC1569"/>
    <w:rsid w:val="7A126AE1"/>
    <w:rsid w:val="7A8335E6"/>
    <w:rsid w:val="7ABE2378"/>
    <w:rsid w:val="7AFB3926"/>
    <w:rsid w:val="7BFC3589"/>
    <w:rsid w:val="7C185614"/>
    <w:rsid w:val="7C257594"/>
    <w:rsid w:val="7CD02D3B"/>
    <w:rsid w:val="7CFC62DE"/>
    <w:rsid w:val="7D34019C"/>
    <w:rsid w:val="7D73421D"/>
    <w:rsid w:val="7DE41997"/>
    <w:rsid w:val="7E3523C7"/>
    <w:rsid w:val="7E352FE9"/>
    <w:rsid w:val="7E6214B0"/>
    <w:rsid w:val="7E894768"/>
    <w:rsid w:val="7EB61EE5"/>
    <w:rsid w:val="7F7A0DF4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5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1548</Words>
  <Characters>1583</Characters>
  <Lines>12</Lines>
  <Paragraphs>7</Paragraphs>
  <TotalTime>48</TotalTime>
  <ScaleCrop>false</ScaleCrop>
  <LinksUpToDate>false</LinksUpToDate>
  <CharactersWithSpaces>1597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E4299387985D136AE053064310AC0894</cp:lastModifiedBy>
  <dcterms:modified xsi:type="dcterms:W3CDTF">2025-11-27T07:22:06Z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4FC2267D499D4AD887B01937A0DFF147</vt:lpwstr>
  </property>
  <property fmtid="{D5CDD505-2E9C-101B-9397-08002B2CF9AE}" pid="4" name="KSOTemplateDocerSaveRecord">
    <vt:lpwstr>eyJoZGlkIjoiNzIwNTU5NDVjMWU4ZmQ5ZGJjOGIzZTFjOTVmM2VjNzIiLCJ1c2VySWQiOiI0MzU5NTg5MjgifQ==</vt:lpwstr>
  </property>
</Properties>
</file>