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rPr>
          <w:rFonts w:hint="eastAsia"/>
        </w:rPr>
      </w:pPr>
    </w:p>
    <w:p>
      <w:pPr>
        <w:rPr>
          <w:rFonts w:hint="eastAsia"/>
        </w:rPr>
      </w:pPr>
    </w:p>
    <w:p>
      <w:pPr>
        <w:rPr>
          <w:rFonts w:hint="eastAsia"/>
        </w:rPr>
      </w:pPr>
    </w:p>
    <w:p>
      <w:pPr>
        <w:rPr>
          <w:rFonts w:hint="eastAsia"/>
        </w:rPr>
      </w:pPr>
    </w:p>
    <w:p>
      <w:pPr>
        <w:jc w:val="center"/>
        <w:rPr>
          <w:rFonts w:hint="eastAsia"/>
          <w:b/>
          <w:sz w:val="48"/>
          <w:szCs w:val="48"/>
        </w:rPr>
      </w:pPr>
      <w:r>
        <w:rPr>
          <w:rFonts w:hint="eastAsia" w:hAnsi="Times New Roman" w:cs="Times New Roman"/>
          <w:b/>
          <w:sz w:val="48"/>
          <w:szCs w:val="48"/>
          <w:lang w:eastAsia="zh-CN"/>
        </w:rPr>
        <w:t>职创项目：一种中压验电笔支撑固定验电专用装置</w:t>
      </w:r>
      <w:r>
        <w:rPr>
          <w:rFonts w:hint="eastAsia" w:cs="Times New Roman"/>
          <w:b/>
          <w:sz w:val="48"/>
          <w:szCs w:val="48"/>
          <w:lang w:eastAsia="zh-CN"/>
        </w:rPr>
        <w:t>加工</w:t>
      </w:r>
      <w:r>
        <w:rPr>
          <w:rFonts w:hint="eastAsia" w:hAnsi="Times New Roman" w:cs="Times New Roman"/>
          <w:b/>
          <w:sz w:val="48"/>
          <w:szCs w:val="48"/>
          <w:lang w:eastAsia="zh-CN"/>
        </w:rPr>
        <w:t>技术规范书</w:t>
      </w: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rPr>
          <w:rFonts w:hint="eastAsia"/>
        </w:rPr>
      </w:pPr>
    </w:p>
    <w:p>
      <w:pPr>
        <w:jc w:val="center"/>
        <w:rPr>
          <w:rFonts w:hint="eastAsia"/>
          <w:sz w:val="32"/>
          <w:szCs w:val="32"/>
        </w:rPr>
      </w:pPr>
      <w:r>
        <w:rPr>
          <w:rFonts w:hint="eastAsia"/>
          <w:sz w:val="32"/>
          <w:szCs w:val="32"/>
        </w:rPr>
        <w:t>广西电网有限责任公司</w:t>
      </w:r>
      <w:r>
        <w:rPr>
          <w:rFonts w:hint="eastAsia"/>
          <w:sz w:val="32"/>
          <w:szCs w:val="32"/>
          <w:lang w:eastAsia="zh-CN"/>
        </w:rPr>
        <w:t>来宾</w:t>
      </w:r>
      <w:r>
        <w:rPr>
          <w:rFonts w:hint="eastAsia"/>
          <w:sz w:val="32"/>
          <w:szCs w:val="32"/>
        </w:rPr>
        <w:t>供电局</w:t>
      </w:r>
    </w:p>
    <w:p>
      <w:pPr>
        <w:jc w:val="center"/>
        <w:rPr>
          <w:rFonts w:hint="eastAsia"/>
          <w:sz w:val="32"/>
          <w:szCs w:val="32"/>
        </w:rPr>
      </w:pPr>
      <w:r>
        <w:rPr>
          <w:rFonts w:hint="eastAsia"/>
          <w:sz w:val="32"/>
          <w:szCs w:val="32"/>
          <w:lang w:val="en-US" w:eastAsia="zh-CN"/>
        </w:rPr>
        <w:t xml:space="preserve">     </w:t>
      </w:r>
      <w:r>
        <w:rPr>
          <w:rFonts w:hint="eastAsia"/>
          <w:sz w:val="32"/>
          <w:szCs w:val="32"/>
          <w:highlight w:val="none"/>
          <w:lang w:val="en-US" w:eastAsia="zh-CN"/>
        </w:rPr>
        <w:t>2025</w:t>
      </w:r>
      <w:r>
        <w:rPr>
          <w:rFonts w:hint="eastAsia"/>
          <w:sz w:val="32"/>
          <w:szCs w:val="32"/>
          <w:highlight w:val="none"/>
        </w:rPr>
        <w:t>年</w:t>
      </w:r>
      <w:r>
        <w:rPr>
          <w:rFonts w:hint="eastAsia"/>
          <w:sz w:val="32"/>
          <w:szCs w:val="32"/>
          <w:highlight w:val="none"/>
          <w:lang w:val="en-US" w:eastAsia="zh-CN"/>
        </w:rPr>
        <w:t>10</w:t>
      </w:r>
      <w:r>
        <w:rPr>
          <w:rFonts w:hint="eastAsia"/>
          <w:sz w:val="32"/>
          <w:szCs w:val="32"/>
          <w:highlight w:val="none"/>
        </w:rPr>
        <w:t>月</w:t>
      </w:r>
    </w:p>
    <w:p>
      <w:pPr>
        <w:jc w:val="center"/>
        <w:rPr>
          <w:rFonts w:hint="eastAsia"/>
        </w:rPr>
        <w:sectPr>
          <w:footerReference r:id="rId5" w:type="even"/>
          <w:pgSz w:w="11906" w:h="16838"/>
          <w:pgMar w:top="1440" w:right="1080" w:bottom="1440" w:left="1080" w:header="851" w:footer="992" w:gutter="0"/>
          <w:cols w:space="720" w:num="1"/>
          <w:docGrid w:type="lines" w:linePitch="326" w:charSpace="0"/>
        </w:sectPr>
      </w:pPr>
    </w:p>
    <w:p>
      <w:pPr>
        <w:pStyle w:val="3"/>
        <w:numPr>
          <w:ilvl w:val="0"/>
          <w:numId w:val="0"/>
        </w:numPr>
        <w:ind w:left="142" w:leftChars="0"/>
        <w:rPr>
          <w:rFonts w:hint="eastAsia" w:eastAsia="宋体"/>
          <w:sz w:val="28"/>
          <w:szCs w:val="28"/>
          <w:lang w:val="en-US" w:eastAsia="zh-CN"/>
        </w:rPr>
      </w:pPr>
      <w:bookmarkStart w:id="0" w:name="_Toc7054"/>
      <w:bookmarkStart w:id="1" w:name="_Toc318799924"/>
      <w:bookmarkStart w:id="2" w:name="_Toc444945508"/>
      <w:bookmarkStart w:id="3" w:name="_Toc384997052"/>
      <w:r>
        <w:rPr>
          <w:rFonts w:hint="eastAsia"/>
          <w:sz w:val="28"/>
          <w:szCs w:val="28"/>
          <w:lang w:val="en-US" w:eastAsia="zh-CN"/>
        </w:rPr>
        <w:t>1总则</w:t>
      </w:r>
    </w:p>
    <w:p>
      <w:pPr>
        <w:pStyle w:val="3"/>
        <w:numPr>
          <w:ilvl w:val="0"/>
          <w:numId w:val="0"/>
        </w:numPr>
        <w:ind w:left="142" w:leftChars="0"/>
      </w:pPr>
      <w:r>
        <w:rPr>
          <w:rFonts w:hint="eastAsia"/>
        </w:rPr>
        <w:t>1.1</w:t>
      </w:r>
      <w:r>
        <w:t xml:space="preserve"> </w:t>
      </w:r>
      <w:r>
        <w:rPr>
          <w:rFonts w:hint="eastAsia"/>
        </w:rPr>
        <w:t>一般要求</w:t>
      </w:r>
      <w:bookmarkEnd w:id="0"/>
      <w:bookmarkEnd w:id="1"/>
      <w:bookmarkEnd w:id="2"/>
    </w:p>
    <w:p>
      <w:pPr>
        <w:rPr>
          <w:rFonts w:ascii="宋体" w:hAnsi="宋体" w:eastAsia="宋体"/>
        </w:rPr>
      </w:pPr>
      <w:bookmarkStart w:id="4" w:name="_Toc299606280"/>
      <w:bookmarkStart w:id="5" w:name="_Toc444945511"/>
      <w:bookmarkStart w:id="6" w:name="_Toc353939553"/>
      <w:bookmarkStart w:id="7" w:name="_Toc353940791"/>
      <w:r>
        <w:rPr>
          <w:rFonts w:hint="eastAsia" w:ascii="宋体" w:hAnsi="宋体" w:eastAsia="宋体"/>
        </w:rPr>
        <w:t>1.1.1 本技术条款</w:t>
      </w:r>
      <w:r>
        <w:rPr>
          <w:rFonts w:hint="eastAsia" w:ascii="宋体" w:hAnsi="宋体" w:eastAsia="宋体"/>
          <w:u w:val="none"/>
        </w:rPr>
        <w:t>主要描述</w:t>
      </w:r>
      <w:r>
        <w:rPr>
          <w:rFonts w:hint="eastAsia" w:ascii="宋体" w:hAnsi="宋体" w:eastAsia="宋体"/>
          <w:u w:val="none"/>
          <w:lang w:val="en-US" w:eastAsia="zh-CN"/>
        </w:rPr>
        <w:t>来宾供</w:t>
      </w:r>
      <w:r>
        <w:rPr>
          <w:rFonts w:hint="eastAsia" w:ascii="宋体" w:hAnsi="宋体" w:eastAsia="宋体" w:cs="Times New Roman"/>
          <w:lang w:val="en-US" w:eastAsia="zh-CN"/>
        </w:rPr>
        <w:t>电局一种中压验电笔支撑固定验电专用装置</w:t>
      </w:r>
      <w:r>
        <w:rPr>
          <w:rFonts w:hint="eastAsia" w:hAnsi="宋体" w:cs="Times New Roman"/>
          <w:lang w:val="en-US" w:eastAsia="zh-CN"/>
        </w:rPr>
        <w:t>的加工</w:t>
      </w:r>
      <w:r>
        <w:rPr>
          <w:rFonts w:hint="eastAsia" w:ascii="宋体" w:hAnsi="宋体" w:eastAsia="宋体" w:cs="Times New Roman"/>
          <w:lang w:eastAsia="zh-CN"/>
        </w:rPr>
        <w:t>内</w:t>
      </w:r>
      <w:r>
        <w:rPr>
          <w:rFonts w:hint="eastAsia" w:ascii="宋体" w:hAnsi="宋体" w:eastAsia="宋体"/>
          <w:u w:val="none"/>
          <w:lang w:eastAsia="zh-CN"/>
        </w:rPr>
        <w:t>容</w:t>
      </w:r>
      <w:r>
        <w:rPr>
          <w:rFonts w:hint="eastAsia" w:ascii="宋体" w:hAnsi="宋体" w:eastAsia="宋体"/>
        </w:rPr>
        <w:t>有关事项。投标方必须认真阅读本技术条款内容，以免造成投标失败。</w:t>
      </w:r>
    </w:p>
    <w:p>
      <w:pPr>
        <w:rPr>
          <w:rFonts w:ascii="宋体" w:hAnsi="宋体" w:eastAsia="宋体"/>
        </w:rPr>
      </w:pPr>
      <w:r>
        <w:rPr>
          <w:rFonts w:ascii="宋体" w:hAnsi="宋体" w:eastAsia="宋体"/>
        </w:rPr>
        <w:t xml:space="preserve">1.1.2 </w:t>
      </w:r>
      <w:r>
        <w:rPr>
          <w:rFonts w:hint="eastAsia" w:ascii="宋体" w:hAnsi="宋体" w:eastAsia="宋体"/>
        </w:rPr>
        <w:t>本技术规范书提出的是最低限度的技术要求, 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rPr>
          <w:rFonts w:ascii="宋体" w:hAnsi="宋体" w:eastAsia="宋体" w:cs="Times New Roman"/>
        </w:rPr>
      </w:pPr>
      <w:r>
        <w:rPr>
          <w:rFonts w:ascii="宋体" w:hAnsi="宋体" w:eastAsia="宋体" w:cs="Times New Roman"/>
        </w:rPr>
        <w:t xml:space="preserve">1.1.3 </w:t>
      </w:r>
      <w:r>
        <w:rPr>
          <w:rFonts w:hint="eastAsia" w:ascii="宋体" w:hAnsi="宋体" w:eastAsia="宋体" w:cs="Times New Roman"/>
        </w:rPr>
        <w:t>本规范书指标要求中，凡标有下划线或加“★”的地方均被视为重要的技术指标要求或性能要求。投标方要特别加以注意，必须完全满足这些要求。</w:t>
      </w:r>
    </w:p>
    <w:p>
      <w:pPr>
        <w:rPr>
          <w:rFonts w:ascii="宋体" w:hAnsi="宋体" w:eastAsia="宋体"/>
        </w:rPr>
      </w:pPr>
      <w:r>
        <w:rPr>
          <w:rFonts w:hint="eastAsia" w:ascii="宋体" w:hAnsi="宋体" w:eastAsia="宋体"/>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rPr>
          <w:rFonts w:ascii="宋体" w:hAnsi="宋体" w:eastAsia="宋体"/>
        </w:rPr>
      </w:pPr>
      <w:r>
        <w:rPr>
          <w:rFonts w:hint="eastAsia" w:ascii="宋体" w:hAnsi="宋体" w:eastAsia="宋体"/>
        </w:rPr>
        <w:t>1.1.5 如果投标方认为本技术条款所描述技术要求等存在不合理性或不明白的，可在响应原要求后陈述相关建议。</w:t>
      </w:r>
    </w:p>
    <w:p>
      <w:pPr>
        <w:rPr>
          <w:rFonts w:ascii="宋体" w:hAnsi="宋体" w:eastAsia="宋体"/>
        </w:rPr>
      </w:pPr>
      <w:r>
        <w:rPr>
          <w:rFonts w:ascii="宋体" w:hAnsi="宋体" w:eastAsia="宋体"/>
        </w:rPr>
        <w:t xml:space="preserve">1.1.6 </w:t>
      </w:r>
      <w:r>
        <w:rPr>
          <w:rFonts w:hint="eastAsia" w:ascii="宋体" w:hAnsi="宋体" w:eastAsia="宋体"/>
        </w:rPr>
        <w:t>投标方也可提出满足本技术规范书要求，且技术先进、成熟、价格合理的其他建议，供招标方选择。</w:t>
      </w:r>
    </w:p>
    <w:p>
      <w:pPr>
        <w:rPr>
          <w:rFonts w:ascii="宋体" w:hAnsi="宋体" w:eastAsia="宋体"/>
        </w:rPr>
      </w:pPr>
      <w:r>
        <w:rPr>
          <w:rFonts w:ascii="宋体" w:hAnsi="宋体" w:eastAsia="宋体"/>
        </w:rPr>
        <w:t xml:space="preserve">1.1.7 </w:t>
      </w:r>
      <w:r>
        <w:rPr>
          <w:rFonts w:hint="eastAsia" w:ascii="宋体" w:hAnsi="宋体" w:eastAsia="宋体"/>
        </w:rPr>
        <w:t>投标方应提供满足本技术规范书要求的完整的服务、工作产品，满足国家及用户提出的有关质量标准要求。所有工作产品必须具有在中国境内的合法使用权。</w:t>
      </w:r>
    </w:p>
    <w:p>
      <w:pPr>
        <w:rPr>
          <w:rFonts w:ascii="宋体" w:hAnsi="宋体" w:eastAsia="宋体"/>
        </w:rPr>
      </w:pPr>
      <w:r>
        <w:rPr>
          <w:rFonts w:hint="eastAsia" w:ascii="宋体" w:hAnsi="宋体" w:eastAsia="宋体"/>
        </w:rPr>
        <w:t>1.1.8 本技术规范书所使用的标准如与投标方所执行的标准不一致，按较高标准执行。</w:t>
      </w:r>
    </w:p>
    <w:p>
      <w:pPr>
        <w:rPr>
          <w:rFonts w:ascii="宋体" w:hAnsi="宋体" w:eastAsia="宋体"/>
        </w:rPr>
      </w:pPr>
      <w:r>
        <w:rPr>
          <w:rFonts w:ascii="宋体" w:hAnsi="宋体" w:eastAsia="宋体"/>
        </w:rPr>
        <w:t xml:space="preserve">1.1.9 </w:t>
      </w:r>
      <w:r>
        <w:rPr>
          <w:rFonts w:hint="eastAsia" w:ascii="宋体" w:hAnsi="宋体" w:eastAsia="宋体"/>
        </w:rPr>
        <w:t>如果因为无法提供的原因而提供其他产品、服务，投标方应明确说明并提出质量保证承诺。</w:t>
      </w:r>
    </w:p>
    <w:p>
      <w:pPr>
        <w:rPr>
          <w:rFonts w:ascii="宋体" w:hAnsi="宋体" w:eastAsia="宋体"/>
        </w:rPr>
      </w:pPr>
      <w:r>
        <w:rPr>
          <w:rFonts w:ascii="宋体" w:hAnsi="宋体" w:eastAsia="宋体"/>
        </w:rPr>
        <w:t xml:space="preserve">1.1.10 </w:t>
      </w:r>
      <w:r>
        <w:rPr>
          <w:rFonts w:hint="eastAsia" w:ascii="宋体" w:hAnsi="宋体" w:eastAsia="宋体"/>
        </w:rPr>
        <w:t>投标方应保证为今后招标方开发的或招标方委托第三方开发的其他工作产品提供可靠的性能和兼容性。</w:t>
      </w:r>
    </w:p>
    <w:p>
      <w:pPr>
        <w:rPr>
          <w:rFonts w:ascii="宋体" w:hAnsi="宋体" w:eastAsia="宋体"/>
        </w:rPr>
      </w:pPr>
      <w:r>
        <w:rPr>
          <w:rFonts w:ascii="宋体" w:hAnsi="宋体" w:eastAsia="宋体"/>
        </w:rPr>
        <w:t xml:space="preserve">1.1.11 </w:t>
      </w:r>
      <w:r>
        <w:rPr>
          <w:rFonts w:hint="eastAsia" w:ascii="宋体" w:hAnsi="宋体" w:eastAsia="宋体"/>
        </w:rPr>
        <w:t>投标方应对本次投标所有文件保密，不得向其他单位公布或泄漏招标项目的有关信息。</w:t>
      </w:r>
    </w:p>
    <w:p>
      <w:pPr>
        <w:rPr>
          <w:rFonts w:ascii="宋体" w:hAnsi="宋体" w:eastAsia="宋体"/>
        </w:rPr>
      </w:pPr>
      <w:r>
        <w:rPr>
          <w:rFonts w:ascii="宋体" w:hAnsi="宋体" w:eastAsia="宋体"/>
        </w:rPr>
        <w:t xml:space="preserve">1.1.12 </w:t>
      </w:r>
      <w:r>
        <w:rPr>
          <w:rFonts w:hint="eastAsia" w:ascii="宋体" w:hAnsi="宋体" w:eastAsia="宋体"/>
        </w:rPr>
        <w:t>招标方保留技术规范书修改的权利，可以提出变更的意见和建议，最终签订的技术协议与合同具有同等效力。</w:t>
      </w:r>
    </w:p>
    <w:p>
      <w:pPr>
        <w:rPr>
          <w:rFonts w:ascii="宋体" w:hAnsi="宋体" w:eastAsia="宋体"/>
        </w:rPr>
      </w:pPr>
      <w:r>
        <w:rPr>
          <w:rFonts w:ascii="宋体" w:hAnsi="宋体" w:eastAsia="宋体"/>
        </w:rPr>
        <w:t xml:space="preserve">1.1.13 </w:t>
      </w:r>
      <w:r>
        <w:rPr>
          <w:rFonts w:hint="eastAsia" w:ascii="宋体" w:hAnsi="宋体" w:eastAsia="宋体"/>
        </w:rPr>
        <w:t>在不超出本技术规范书要求的情况下，投标方应对招标方提出的所有细化要求予以满足。</w:t>
      </w:r>
    </w:p>
    <w:p>
      <w:pPr>
        <w:rPr>
          <w:rFonts w:ascii="宋体" w:hAnsi="宋体" w:eastAsia="宋体"/>
        </w:rPr>
      </w:pPr>
      <w:r>
        <w:rPr>
          <w:rFonts w:ascii="宋体" w:hAnsi="宋体" w:eastAsia="宋体"/>
        </w:rPr>
        <w:t xml:space="preserve">1.1.14 </w:t>
      </w:r>
      <w:r>
        <w:rPr>
          <w:rFonts w:hint="eastAsia" w:ascii="宋体" w:hAnsi="宋体" w:eastAsia="宋体"/>
        </w:rPr>
        <w:t>投标方建议书的详细要求见招标书的商务部分。投标方必须随投标文件提供具有全部建议书的优盘文件壹份。文件格式要求为：文字部分用</w:t>
      </w:r>
      <w:r>
        <w:rPr>
          <w:rFonts w:hint="eastAsia" w:ascii="宋体" w:hAnsi="宋体" w:eastAsia="宋体"/>
          <w:lang w:val="en-US" w:eastAsia="zh-CN"/>
        </w:rPr>
        <w:t>WPS文字</w:t>
      </w:r>
      <w:r>
        <w:rPr>
          <w:rFonts w:hint="eastAsia" w:ascii="宋体" w:hAnsi="宋体" w:eastAsia="宋体"/>
        </w:rPr>
        <w:t>，表格部分用</w:t>
      </w:r>
      <w:r>
        <w:rPr>
          <w:rFonts w:hint="eastAsia" w:ascii="宋体" w:hAnsi="宋体" w:eastAsia="宋体"/>
          <w:lang w:val="en-US" w:eastAsia="zh-CN"/>
        </w:rPr>
        <w:t>WPS表格</w:t>
      </w:r>
      <w:r>
        <w:rPr>
          <w:rFonts w:hint="eastAsia" w:ascii="宋体" w:hAnsi="宋体" w:eastAsia="宋体"/>
        </w:rPr>
        <w:t>，图纸部分用</w:t>
      </w:r>
      <w:r>
        <w:rPr>
          <w:rFonts w:hint="eastAsia" w:ascii="宋体" w:hAnsi="宋体" w:eastAsia="宋体"/>
          <w:lang w:val="en-US" w:eastAsia="zh-CN"/>
        </w:rPr>
        <w:t>CAD画图</w:t>
      </w:r>
      <w:r>
        <w:rPr>
          <w:rFonts w:hint="eastAsia" w:ascii="宋体" w:hAnsi="宋体" w:eastAsia="宋体"/>
        </w:rPr>
        <w:t>。投标内容以印刷的投标文件正本为准。</w:t>
      </w:r>
    </w:p>
    <w:p>
      <w:pPr>
        <w:rPr>
          <w:rFonts w:hint="eastAsia" w:ascii="宋体" w:hAnsi="宋体" w:eastAsia="宋体"/>
        </w:rPr>
      </w:pPr>
      <w:r>
        <w:rPr>
          <w:rFonts w:hint="eastAsia" w:ascii="宋体" w:hAnsi="宋体" w:eastAsia="宋体"/>
        </w:rPr>
        <w:t>1.1.15 有文件、图纸、通信的均使用中文。所有计算、说明、图纸文件、手册等使用国际单位制。</w:t>
      </w:r>
    </w:p>
    <w:p>
      <w:pPr>
        <w:pStyle w:val="3"/>
        <w:numPr>
          <w:ilvl w:val="0"/>
          <w:numId w:val="0"/>
        </w:numPr>
        <w:ind w:left="142" w:leftChars="0"/>
        <w:rPr>
          <w:rFonts w:hint="default"/>
          <w:b/>
          <w:bCs/>
        </w:rPr>
      </w:pPr>
      <w:bookmarkStart w:id="8" w:name="_Toc255894290"/>
      <w:bookmarkStart w:id="9" w:name="_Toc252485428"/>
      <w:bookmarkStart w:id="10" w:name="_Toc445194080"/>
      <w:bookmarkStart w:id="11" w:name="_Toc5163"/>
      <w:bookmarkStart w:id="12" w:name="_Toc293665071"/>
      <w:bookmarkStart w:id="13" w:name="_Toc222711875"/>
      <w:bookmarkStart w:id="14" w:name="_Toc252486971"/>
      <w:bookmarkStart w:id="15" w:name="_Toc261810243"/>
      <w:bookmarkStart w:id="16" w:name="_Toc582"/>
      <w:r>
        <w:rPr>
          <w:rFonts w:hint="eastAsia"/>
          <w:b/>
          <w:bCs/>
          <w:lang w:val="en-US" w:eastAsia="zh-CN"/>
        </w:rPr>
        <w:t>1.2</w:t>
      </w:r>
      <w:r>
        <w:rPr>
          <w:rFonts w:hint="default"/>
          <w:b/>
          <w:bCs/>
        </w:rPr>
        <w:t>标准和规范</w:t>
      </w:r>
      <w:bookmarkEnd w:id="8"/>
      <w:bookmarkEnd w:id="9"/>
      <w:bookmarkEnd w:id="10"/>
      <w:bookmarkEnd w:id="11"/>
      <w:bookmarkEnd w:id="12"/>
      <w:bookmarkEnd w:id="13"/>
      <w:bookmarkEnd w:id="14"/>
      <w:bookmarkEnd w:id="15"/>
      <w:bookmarkEnd w:id="16"/>
    </w:p>
    <w:p>
      <w:pPr>
        <w:autoSpaceDE w:val="0"/>
        <w:autoSpaceDN w:val="0"/>
        <w:adjustRightInd w:val="0"/>
        <w:spacing w:line="360" w:lineRule="auto"/>
        <w:ind w:firstLine="480" w:firstLineChars="200"/>
        <w:rPr>
          <w:rFonts w:hint="default" w:ascii="Times New Roman" w:hAnsi="Times New Roman" w:cs="Times New Roman"/>
          <w:color w:val="000000"/>
          <w:sz w:val="24"/>
          <w:szCs w:val="21"/>
          <w:lang w:val="zh-CN"/>
        </w:rPr>
      </w:pPr>
      <w:r>
        <w:rPr>
          <w:rFonts w:hint="default" w:ascii="Times New Roman" w:hAnsi="Times New Roman" w:cs="Times New Roman"/>
          <w:color w:val="000000"/>
          <w:sz w:val="24"/>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spacing w:line="360" w:lineRule="auto"/>
        <w:ind w:firstLine="480" w:firstLineChars="200"/>
        <w:rPr>
          <w:rFonts w:hint="default" w:ascii="Times New Roman" w:hAnsi="Times New Roman" w:cs="Times New Roman"/>
          <w:color w:val="000000"/>
          <w:sz w:val="24"/>
          <w:szCs w:val="21"/>
          <w:lang w:val="zh-CN"/>
        </w:rPr>
      </w:pPr>
      <w:r>
        <w:rPr>
          <w:rFonts w:hint="default" w:ascii="Times New Roman" w:hAnsi="Times New Roman" w:cs="Times New Roman"/>
          <w:color w:val="000000"/>
          <w:sz w:val="24"/>
          <w:szCs w:val="21"/>
          <w:lang w:val="zh-CN"/>
        </w:rPr>
        <w:t>投标方如果采用自己的标准或规范，必须向招标方提供中文复印件并经招标方同意后方可采用，但不能低于GB、JB有关规定。</w:t>
      </w:r>
    </w:p>
    <w:p>
      <w:pPr>
        <w:autoSpaceDE w:val="0"/>
        <w:autoSpaceDN w:val="0"/>
        <w:adjustRightInd w:val="0"/>
        <w:spacing w:line="360" w:lineRule="auto"/>
        <w:ind w:firstLine="480" w:firstLineChars="200"/>
        <w:rPr>
          <w:rFonts w:hint="eastAsia" w:ascii="Times New Roman" w:hAnsi="Times New Roman" w:eastAsia="宋体" w:cs="Times New Roman"/>
          <w:color w:val="000000"/>
          <w:sz w:val="24"/>
          <w:szCs w:val="21"/>
          <w:lang w:val="en-US" w:eastAsia="zh-CN"/>
        </w:rPr>
      </w:pPr>
      <w:r>
        <w:rPr>
          <w:rFonts w:hint="default" w:ascii="Times New Roman" w:hAnsi="Times New Roman" w:cs="Times New Roman"/>
          <w:color w:val="000000"/>
          <w:sz w:val="24"/>
          <w:szCs w:val="21"/>
          <w:lang w:val="zh-CN"/>
        </w:rPr>
        <w:t>GB/T 18216-202</w:t>
      </w:r>
      <w:r>
        <w:rPr>
          <w:rFonts w:hint="eastAsia" w:ascii="Times New Roman" w:cs="Times New Roman"/>
          <w:color w:val="000000"/>
          <w:sz w:val="24"/>
          <w:szCs w:val="21"/>
          <w:lang w:val="en-US" w:eastAsia="zh-CN"/>
        </w:rPr>
        <w:t>5</w:t>
      </w:r>
      <w:r>
        <w:rPr>
          <w:rFonts w:hint="eastAsia" w:ascii="Times New Roman" w:cs="Times New Roman"/>
          <w:color w:val="000000"/>
          <w:sz w:val="24"/>
          <w:szCs w:val="21"/>
          <w:lang w:val="en-US" w:eastAsia="zh-CN"/>
        </w:rPr>
        <w:tab/>
      </w:r>
      <w:r>
        <w:rPr>
          <w:rFonts w:hint="eastAsia" w:ascii="Times New Roman" w:cs="Times New Roman"/>
          <w:color w:val="000000"/>
          <w:sz w:val="24"/>
          <w:szCs w:val="21"/>
          <w:lang w:val="en-US" w:eastAsia="zh-CN"/>
        </w:rPr>
        <w:tab/>
      </w:r>
      <w:r>
        <w:rPr>
          <w:rFonts w:hint="eastAsia" w:ascii="Times New Roman" w:cs="Times New Roman"/>
          <w:color w:val="000000"/>
          <w:sz w:val="24"/>
          <w:szCs w:val="21"/>
          <w:lang w:val="en-US" w:eastAsia="zh-CN"/>
        </w:rPr>
        <w:t>《交流 1000V 和直流 1500V 以下低压配电系统电气安全防护措施的试验、测量或监控设备》</w:t>
      </w:r>
    </w:p>
    <w:p>
      <w:pPr>
        <w:autoSpaceDE w:val="0"/>
        <w:autoSpaceDN w:val="0"/>
        <w:adjustRightInd w:val="0"/>
        <w:spacing w:line="360" w:lineRule="auto"/>
        <w:ind w:firstLine="480" w:firstLineChars="200"/>
        <w:rPr>
          <w:rFonts w:hint="eastAsia" w:ascii="Times New Roman" w:cs="Times New Roman"/>
          <w:color w:val="000000"/>
          <w:sz w:val="24"/>
          <w:szCs w:val="21"/>
          <w:lang w:val="en-US" w:eastAsia="zh-CN"/>
        </w:rPr>
      </w:pPr>
      <w:r>
        <w:rPr>
          <w:rFonts w:hint="default" w:ascii="Times New Roman" w:cs="Times New Roman"/>
          <w:color w:val="000000"/>
          <w:sz w:val="24"/>
          <w:szCs w:val="21"/>
          <w:lang w:val="zh-CN" w:eastAsia="zh-CN"/>
        </w:rPr>
        <w:t>GB/T 11022-2020</w:t>
      </w:r>
      <w:r>
        <w:rPr>
          <w:rFonts w:hint="eastAsia" w:ascii="Times New Roman" w:cs="Times New Roman"/>
          <w:color w:val="000000"/>
          <w:sz w:val="24"/>
          <w:szCs w:val="21"/>
          <w:lang w:val="en-US" w:eastAsia="zh-CN"/>
        </w:rPr>
        <w:tab/>
      </w:r>
      <w:r>
        <w:rPr>
          <w:rFonts w:hint="eastAsia" w:ascii="Times New Roman" w:cs="Times New Roman"/>
          <w:color w:val="000000"/>
          <w:sz w:val="24"/>
          <w:szCs w:val="21"/>
          <w:lang w:val="en-US" w:eastAsia="zh-CN"/>
        </w:rPr>
        <w:tab/>
      </w:r>
      <w:r>
        <w:rPr>
          <w:rFonts w:hint="eastAsia" w:ascii="Times New Roman" w:cs="Times New Roman"/>
          <w:color w:val="000000"/>
          <w:sz w:val="24"/>
          <w:szCs w:val="21"/>
          <w:lang w:val="en-US" w:eastAsia="zh-CN"/>
        </w:rPr>
        <w:t>《高压交流开关设备和控制设备标准的共用技术要求》</w:t>
      </w:r>
    </w:p>
    <w:p>
      <w:pPr>
        <w:autoSpaceDE w:val="0"/>
        <w:autoSpaceDN w:val="0"/>
        <w:adjustRightInd w:val="0"/>
        <w:spacing w:line="360" w:lineRule="auto"/>
        <w:ind w:firstLine="480" w:firstLineChars="200"/>
        <w:rPr>
          <w:rFonts w:hint="default" w:ascii="Times New Roman" w:cs="Times New Roman"/>
          <w:color w:val="000000"/>
          <w:sz w:val="24"/>
          <w:szCs w:val="21"/>
          <w:lang w:val="en-US" w:eastAsia="zh-CN"/>
        </w:rPr>
      </w:pPr>
      <w:r>
        <w:rPr>
          <w:rFonts w:hint="default" w:ascii="Times New Roman" w:cs="Times New Roman"/>
          <w:color w:val="000000"/>
          <w:sz w:val="24"/>
          <w:szCs w:val="21"/>
          <w:lang w:val="en-US" w:eastAsia="zh-CN"/>
        </w:rPr>
        <w:t>GB/T 3098.1-2010</w:t>
      </w:r>
      <w:r>
        <w:rPr>
          <w:rFonts w:hint="default" w:ascii="Times New Roman" w:cs="Times New Roman"/>
          <w:color w:val="000000"/>
          <w:sz w:val="24"/>
          <w:szCs w:val="21"/>
          <w:lang w:val="en-US" w:eastAsia="zh-CN"/>
        </w:rPr>
        <w:tab/>
      </w:r>
      <w:r>
        <w:rPr>
          <w:rFonts w:hint="default" w:ascii="Times New Roman" w:cs="Times New Roman"/>
          <w:color w:val="000000"/>
          <w:sz w:val="24"/>
          <w:szCs w:val="21"/>
          <w:lang w:val="en-US" w:eastAsia="zh-CN"/>
        </w:rPr>
        <w:tab/>
      </w:r>
      <w:r>
        <w:rPr>
          <w:rFonts w:hint="default" w:ascii="Times New Roman" w:cs="Times New Roman"/>
          <w:color w:val="000000"/>
          <w:sz w:val="24"/>
          <w:szCs w:val="21"/>
          <w:lang w:val="en-US" w:eastAsia="zh-CN"/>
        </w:rPr>
        <w:t>《紧固件机械性能 螺栓、螺钉和螺柱》</w:t>
      </w:r>
    </w:p>
    <w:p>
      <w:pPr>
        <w:autoSpaceDE w:val="0"/>
        <w:autoSpaceDN w:val="0"/>
        <w:adjustRightInd w:val="0"/>
        <w:spacing w:line="360" w:lineRule="auto"/>
        <w:ind w:firstLine="480" w:firstLineChars="200"/>
        <w:rPr>
          <w:rFonts w:hint="default" w:ascii="Times New Roman" w:cs="Times New Roman"/>
          <w:color w:val="000000"/>
          <w:sz w:val="24"/>
          <w:szCs w:val="21"/>
          <w:lang w:val="en-US" w:eastAsia="zh-CN"/>
        </w:rPr>
      </w:pPr>
      <w:r>
        <w:rPr>
          <w:rFonts w:hint="default" w:ascii="Times New Roman" w:cs="Times New Roman"/>
          <w:color w:val="000000"/>
          <w:sz w:val="24"/>
          <w:szCs w:val="21"/>
          <w:lang w:val="en-US" w:eastAsia="zh-CN"/>
        </w:rPr>
        <w:t>GB/T 2423.10-2019</w:t>
      </w:r>
      <w:r>
        <w:rPr>
          <w:rFonts w:hint="default" w:ascii="Times New Roman" w:cs="Times New Roman"/>
          <w:color w:val="000000"/>
          <w:sz w:val="24"/>
          <w:szCs w:val="21"/>
          <w:lang w:val="en-US" w:eastAsia="zh-CN"/>
        </w:rPr>
        <w:tab/>
      </w:r>
      <w:r>
        <w:rPr>
          <w:rFonts w:hint="default" w:ascii="Times New Roman" w:cs="Times New Roman"/>
          <w:color w:val="000000"/>
          <w:sz w:val="24"/>
          <w:szCs w:val="21"/>
          <w:lang w:val="en-US" w:eastAsia="zh-CN"/>
        </w:rPr>
        <w:tab/>
      </w:r>
      <w:r>
        <w:rPr>
          <w:rFonts w:hint="default" w:ascii="Times New Roman" w:cs="Times New Roman"/>
          <w:color w:val="000000"/>
          <w:sz w:val="24"/>
          <w:szCs w:val="21"/>
          <w:lang w:val="en-US" w:eastAsia="zh-CN"/>
        </w:rPr>
        <w:t>《环境试验 第2部分：试验方法 试验Fc: 振动(正弦)》</w:t>
      </w:r>
    </w:p>
    <w:p>
      <w:pPr>
        <w:pStyle w:val="3"/>
        <w:numPr>
          <w:ilvl w:val="1"/>
          <w:numId w:val="0"/>
        </w:numPr>
        <w:ind w:left="142" w:leftChars="0"/>
        <w:rPr>
          <w:rFonts w:hint="eastAsia" w:eastAsia="宋体"/>
          <w:sz w:val="28"/>
          <w:szCs w:val="28"/>
          <w:lang w:val="en-US" w:eastAsia="zh-CN"/>
        </w:rPr>
      </w:pPr>
      <w:r>
        <w:rPr>
          <w:rFonts w:hint="eastAsia"/>
          <w:sz w:val="28"/>
          <w:szCs w:val="28"/>
          <w:lang w:val="en-US" w:eastAsia="zh-CN"/>
        </w:rPr>
        <w:t>2工作范围</w:t>
      </w:r>
    </w:p>
    <w:p>
      <w:pPr>
        <w:pStyle w:val="3"/>
        <w:numPr>
          <w:ilvl w:val="1"/>
          <w:numId w:val="0"/>
        </w:numPr>
        <w:ind w:left="142" w:leftChars="0"/>
        <w:rPr>
          <w:rFonts w:hint="eastAsia"/>
          <w:b/>
          <w:bCs/>
          <w:lang w:eastAsia="zh-CN"/>
        </w:rPr>
      </w:pPr>
      <w:r>
        <w:rPr>
          <w:rFonts w:hint="eastAsia"/>
          <w:b/>
          <w:bCs/>
          <w:lang w:val="en-US" w:eastAsia="zh-CN"/>
        </w:rPr>
        <w:t>2.1</w:t>
      </w:r>
      <w:r>
        <w:rPr>
          <w:rFonts w:hint="eastAsia"/>
          <w:b/>
          <w:bCs/>
          <w:lang w:eastAsia="zh-CN"/>
        </w:rPr>
        <w:t>项目概况</w:t>
      </w:r>
    </w:p>
    <w:p>
      <w:pPr>
        <w:autoSpaceDE w:val="0"/>
        <w:autoSpaceDN w:val="0"/>
        <w:adjustRightInd w:val="0"/>
        <w:spacing w:line="360" w:lineRule="auto"/>
        <w:ind w:firstLine="480" w:firstLineChars="200"/>
        <w:rPr>
          <w:rFonts w:hint="eastAsia" w:ascii="Times New Roman" w:hAnsi="Times New Roman" w:cs="Times New Roman"/>
          <w:color w:val="000000"/>
          <w:sz w:val="24"/>
          <w:szCs w:val="21"/>
          <w:highlight w:val="none"/>
          <w:lang w:val="zh-CN" w:eastAsia="zh-CN"/>
        </w:rPr>
      </w:pPr>
      <w:r>
        <w:rPr>
          <w:rFonts w:hint="eastAsia" w:ascii="Times New Roman" w:hAnsi="Times New Roman" w:cs="Times New Roman"/>
          <w:color w:val="000000"/>
          <w:sz w:val="24"/>
          <w:szCs w:val="21"/>
          <w:highlight w:val="none"/>
          <w:lang w:val="en-US" w:eastAsia="zh-CN"/>
        </w:rPr>
        <w:t>来宾供电局202</w:t>
      </w:r>
      <w:r>
        <w:rPr>
          <w:rFonts w:hint="eastAsia" w:ascii="Times New Roman" w:cs="Times New Roman"/>
          <w:color w:val="000000"/>
          <w:sz w:val="24"/>
          <w:szCs w:val="21"/>
          <w:highlight w:val="none"/>
          <w:lang w:val="en-US" w:eastAsia="zh-CN"/>
        </w:rPr>
        <w:t>5</w:t>
      </w:r>
      <w:r>
        <w:rPr>
          <w:rFonts w:hint="eastAsia" w:ascii="Times New Roman" w:hAnsi="Times New Roman" w:cs="Times New Roman"/>
          <w:color w:val="000000"/>
          <w:sz w:val="24"/>
          <w:szCs w:val="21"/>
          <w:highlight w:val="none"/>
          <w:lang w:val="en-US" w:eastAsia="zh-CN"/>
        </w:rPr>
        <w:t>年第</w:t>
      </w:r>
      <w:r>
        <w:rPr>
          <w:rFonts w:hint="eastAsia" w:ascii="Times New Roman" w:cs="Times New Roman"/>
          <w:color w:val="000000"/>
          <w:sz w:val="24"/>
          <w:szCs w:val="21"/>
          <w:highlight w:val="none"/>
          <w:lang w:val="en-US" w:eastAsia="zh-CN"/>
        </w:rPr>
        <w:t>二</w:t>
      </w:r>
      <w:r>
        <w:rPr>
          <w:rFonts w:hint="eastAsia" w:ascii="Times New Roman" w:hAnsi="Times New Roman" w:cs="Times New Roman"/>
          <w:color w:val="000000"/>
          <w:sz w:val="24"/>
          <w:szCs w:val="21"/>
          <w:highlight w:val="none"/>
          <w:lang w:val="en-US" w:eastAsia="zh-CN"/>
        </w:rPr>
        <w:t>批职工技术创新项目。</w:t>
      </w:r>
    </w:p>
    <w:p>
      <w:pPr>
        <w:pStyle w:val="3"/>
        <w:numPr>
          <w:ilvl w:val="1"/>
          <w:numId w:val="0"/>
        </w:numPr>
        <w:ind w:left="142" w:leftChars="0"/>
        <w:rPr>
          <w:rFonts w:hint="eastAsia" w:hAnsi="Arial" w:cs="Times New Roman"/>
          <w:b/>
          <w:bCs/>
          <w:lang w:val="en-US" w:eastAsia="zh-CN"/>
        </w:rPr>
      </w:pPr>
      <w:r>
        <w:rPr>
          <w:rFonts w:hint="eastAsia" w:hAnsi="Arial" w:cs="Times New Roman"/>
          <w:b/>
          <w:bCs/>
          <w:lang w:val="en-US" w:eastAsia="zh-CN"/>
        </w:rPr>
        <w:t>2.2服务范围</w:t>
      </w:r>
    </w:p>
    <w:p>
      <w:pPr>
        <w:jc w:val="both"/>
        <w:rPr>
          <w:rFonts w:hint="eastAsia"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对一种中压验电笔支撑固定验电专用装置项目提供加工服务。</w:t>
      </w:r>
    </w:p>
    <w:p>
      <w:pPr>
        <w:pStyle w:val="3"/>
        <w:numPr>
          <w:ilvl w:val="1"/>
          <w:numId w:val="0"/>
        </w:numPr>
        <w:ind w:left="142" w:leftChars="0"/>
        <w:rPr>
          <w:rFonts w:hint="eastAsia" w:hAnsi="Arial" w:cs="Times New Roman"/>
          <w:b/>
          <w:bCs/>
          <w:lang w:val="en-US" w:eastAsia="zh-CN"/>
        </w:rPr>
      </w:pPr>
      <w:r>
        <w:rPr>
          <w:rFonts w:hint="eastAsia" w:hAnsi="Arial" w:cs="Times New Roman"/>
          <w:b/>
          <w:bCs/>
          <w:lang w:val="en-US" w:eastAsia="zh-CN"/>
        </w:rPr>
        <w:t>2.3服务内容</w:t>
      </w:r>
    </w:p>
    <w:p>
      <w:pPr>
        <w:autoSpaceDE w:val="0"/>
        <w:autoSpaceDN w:val="0"/>
        <w:adjustRightInd w:val="0"/>
        <w:spacing w:line="360" w:lineRule="auto"/>
        <w:ind w:firstLine="480" w:firstLineChars="200"/>
        <w:rPr>
          <w:rFonts w:hint="eastAsia"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投标方三年内类似业绩不低于10项；</w:t>
      </w:r>
    </w:p>
    <w:p>
      <w:pPr>
        <w:autoSpaceDE w:val="0"/>
        <w:autoSpaceDN w:val="0"/>
        <w:adjustRightInd w:val="0"/>
        <w:spacing w:line="360" w:lineRule="auto"/>
        <w:ind w:firstLine="480" w:firstLineChars="200"/>
        <w:rPr>
          <w:rFonts w:hint="default"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投标方通过ISO9001质量管理体系认证，且在有效期内；</w:t>
      </w:r>
    </w:p>
    <w:p>
      <w:pPr>
        <w:autoSpaceDE w:val="0"/>
        <w:autoSpaceDN w:val="0"/>
        <w:adjustRightInd w:val="0"/>
        <w:spacing w:line="360" w:lineRule="auto"/>
        <w:ind w:firstLine="480" w:firstLineChars="200"/>
        <w:rPr>
          <w:rFonts w:hint="eastAsia"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按招标方提供的设计图、技术规范书要求完成一种中压验电笔支撑固定验电专用装置的加工制作。投标方根据项目负责人的设计图及技术方案进行加工，并满足以下要求：</w:t>
      </w:r>
    </w:p>
    <w:p>
      <w:pPr>
        <w:autoSpaceDE w:val="0"/>
        <w:autoSpaceDN w:val="0"/>
        <w:adjustRightInd w:val="0"/>
        <w:spacing w:line="360" w:lineRule="auto"/>
        <w:ind w:firstLine="480" w:firstLineChars="200"/>
        <w:rPr>
          <w:rFonts w:hint="eastAsia"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1、一种中压验电笔支撑固定验电专用装置：</w:t>
      </w:r>
    </w:p>
    <w:p>
      <w:pPr>
        <w:keepNext w:val="0"/>
        <w:keepLines w:val="0"/>
        <w:widowControl/>
        <w:suppressLineNumbers w:val="0"/>
        <w:jc w:val="left"/>
        <w:textAlignment w:val="center"/>
        <w:rPr>
          <w:rFonts w:hint="eastAsia"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（1）</w:t>
      </w:r>
      <w:r>
        <w:rPr>
          <w:rFonts w:hint="eastAsia" w:ascii="Times New Roman" w:cs="Times New Roman"/>
          <w:color w:val="000000"/>
          <w:sz w:val="24"/>
          <w:szCs w:val="21"/>
          <w:lang w:val="en-US" w:eastAsia="zh-CN"/>
        </w:rPr>
        <w:t>加工</w:t>
      </w:r>
      <w:bookmarkStart w:id="17" w:name="_GoBack"/>
      <w:bookmarkEnd w:id="17"/>
      <w:r>
        <w:rPr>
          <w:rFonts w:hint="eastAsia" w:ascii="Times New Roman" w:hAnsi="Times New Roman" w:cs="Times New Roman"/>
          <w:color w:val="000000"/>
          <w:sz w:val="24"/>
          <w:szCs w:val="21"/>
          <w:lang w:val="en-US" w:eastAsia="zh-CN"/>
        </w:rPr>
        <w:t>一种中压验电笔支撑固定验电专用装置，实现与对应绝缘类工具的配合，同时完成对中压验电笔的固定，确保在验电作业中能使验电笔稳定接触到预验电位置，以保障验电操作的顺利完成。</w:t>
      </w:r>
    </w:p>
    <w:p>
      <w:pPr>
        <w:spacing w:line="360" w:lineRule="auto"/>
        <w:rPr>
          <w:rFonts w:hint="eastAsia"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（2）优化中压验电笔支撑固定装置结构，提升安装拆卸与携带便利性，适配不同规格验电笔及绝缘工具；强化固定结构安全性，最终形成安全、便捷、高效的功能完备专用装置。</w:t>
      </w:r>
    </w:p>
    <w:p>
      <w:pPr>
        <w:spacing w:line="360" w:lineRule="auto"/>
        <w:rPr>
          <w:sz w:val="24"/>
        </w:rPr>
      </w:pPr>
      <w:r>
        <w:rPr>
          <w:rFonts w:hint="eastAsia" w:ascii="宋体" w:hAnsi="宋体" w:eastAsia="宋体" w:cs="Times New Roman"/>
        </w:rPr>
        <w:t>★</w:t>
      </w:r>
      <w:r>
        <w:rPr>
          <w:rFonts w:hint="eastAsia"/>
          <w:sz w:val="24"/>
          <w:lang w:eastAsia="zh-CN"/>
        </w:rPr>
        <w:t>（</w:t>
      </w:r>
      <w:r>
        <w:rPr>
          <w:rFonts w:hint="eastAsia"/>
          <w:sz w:val="24"/>
          <w:lang w:val="en-US" w:eastAsia="zh-CN"/>
        </w:rPr>
        <w:t>3</w:t>
      </w:r>
      <w:r>
        <w:rPr>
          <w:rFonts w:hint="eastAsia"/>
          <w:sz w:val="24"/>
          <w:lang w:eastAsia="zh-CN"/>
        </w:rPr>
        <w:t>）</w:t>
      </w:r>
      <w:r>
        <w:rPr>
          <w:rFonts w:hint="eastAsia"/>
          <w:sz w:val="24"/>
        </w:rPr>
        <w:t>功能</w:t>
      </w:r>
      <w:r>
        <w:rPr>
          <w:rFonts w:hint="eastAsia"/>
          <w:sz w:val="24"/>
          <w:lang w:val="en-US" w:eastAsia="zh-CN"/>
        </w:rPr>
        <w:t>要求</w:t>
      </w:r>
      <w:r>
        <w:rPr>
          <w:rFonts w:hint="eastAsia"/>
          <w:sz w:val="24"/>
        </w:rPr>
        <w:t>：</w:t>
      </w:r>
    </w:p>
    <w:p>
      <w:pPr>
        <w:numPr>
          <w:ilvl w:val="0"/>
          <w:numId w:val="2"/>
        </w:numPr>
        <w:spacing w:line="360" w:lineRule="auto"/>
        <w:ind w:firstLine="480" w:firstLineChars="200"/>
        <w:rPr>
          <w:rFonts w:hint="eastAsia"/>
          <w:sz w:val="24"/>
          <w:lang w:eastAsia="zh-CN"/>
        </w:rPr>
      </w:pPr>
      <w:r>
        <w:rPr>
          <w:rFonts w:hint="eastAsia"/>
          <w:sz w:val="24"/>
          <w:lang w:val="en-US" w:eastAsia="zh-CN"/>
        </w:rPr>
        <w:t>具备适配不同直径中压验电笔的可调节固定夹具，固定牢固且不损伤验电笔</w:t>
      </w:r>
      <w:r>
        <w:rPr>
          <w:rFonts w:hint="eastAsia"/>
          <w:sz w:val="24"/>
          <w:lang w:eastAsia="zh-CN"/>
        </w:rPr>
        <w:t>；</w:t>
      </w:r>
    </w:p>
    <w:p>
      <w:pPr>
        <w:numPr>
          <w:ilvl w:val="0"/>
          <w:numId w:val="2"/>
        </w:numPr>
        <w:spacing w:line="360" w:lineRule="auto"/>
        <w:ind w:firstLine="480" w:firstLineChars="200"/>
      </w:pPr>
      <w:r>
        <w:rPr>
          <w:rFonts w:hint="eastAsia"/>
          <w:sz w:val="24"/>
          <w:lang w:eastAsia="zh-CN"/>
        </w:rPr>
        <w:t>具备与常见规格绝缘棒的快速连接结构，连接可靠、拆卸便捷；</w:t>
      </w:r>
    </w:p>
    <w:p>
      <w:pPr>
        <w:numPr>
          <w:ilvl w:val="0"/>
          <w:numId w:val="2"/>
        </w:numPr>
        <w:spacing w:line="360" w:lineRule="auto"/>
        <w:ind w:firstLine="480" w:firstLineChars="200"/>
      </w:pPr>
      <w:r>
        <w:rPr>
          <w:rFonts w:hint="eastAsia"/>
          <w:sz w:val="24"/>
          <w:lang w:eastAsia="zh-CN"/>
        </w:rPr>
        <w:t>装置整体绝缘性能符合中压线路作业安全标准，确保作业人员人身安全；</w:t>
      </w:r>
    </w:p>
    <w:p>
      <w:pPr>
        <w:numPr>
          <w:ilvl w:val="0"/>
          <w:numId w:val="2"/>
        </w:numPr>
        <w:spacing w:line="360" w:lineRule="auto"/>
        <w:ind w:firstLine="480" w:firstLineChars="200"/>
      </w:pPr>
      <w:r>
        <w:rPr>
          <w:rFonts w:hint="eastAsia"/>
          <w:lang w:eastAsia="zh-CN"/>
        </w:rPr>
        <w:t>重量轻便，便于作业人员携带和操作，单人即可完成安装与验电操作；</w:t>
      </w:r>
    </w:p>
    <w:p>
      <w:pPr>
        <w:numPr>
          <w:ilvl w:val="0"/>
          <w:numId w:val="2"/>
        </w:numPr>
        <w:spacing w:line="360" w:lineRule="auto"/>
        <w:ind w:firstLine="480" w:firstLineChars="200"/>
      </w:pPr>
      <w:r>
        <w:rPr>
          <w:rFonts w:hint="eastAsia"/>
          <w:sz w:val="24"/>
          <w:lang w:eastAsia="zh-CN"/>
        </w:rPr>
        <w:t>具备防脱落设计，在验电过程中确保验电笔与装置、装置与绝缘棒连接稳定，不发生脱落；</w:t>
      </w:r>
    </w:p>
    <w:p>
      <w:pPr>
        <w:numPr>
          <w:ilvl w:val="0"/>
          <w:numId w:val="2"/>
        </w:numPr>
        <w:spacing w:line="360" w:lineRule="auto"/>
        <w:ind w:firstLine="480" w:firstLineChars="200"/>
      </w:pPr>
      <w:r>
        <w:rPr>
          <w:rFonts w:hint="eastAsia" w:ascii="Times New Roman" w:hAnsi="Times New Roman" w:cs="Times New Roman"/>
          <w:color w:val="000000"/>
          <w:sz w:val="24"/>
          <w:szCs w:val="21"/>
          <w:lang w:val="en-US" w:eastAsia="zh-CN"/>
        </w:rPr>
        <w:t>适应户外各种天气条件（高温、低温、雨天、大风等）下的作业需求，性能稳定</w:t>
      </w:r>
      <w:r>
        <w:rPr>
          <w:rFonts w:hint="eastAsia"/>
          <w:sz w:val="24"/>
          <w:lang w:eastAsia="zh-CN"/>
        </w:rPr>
        <w:t>；</w:t>
      </w:r>
    </w:p>
    <w:p>
      <w:pPr>
        <w:pStyle w:val="3"/>
        <w:numPr>
          <w:ilvl w:val="1"/>
          <w:numId w:val="0"/>
        </w:numPr>
        <w:ind w:left="142" w:leftChars="0"/>
        <w:rPr>
          <w:rFonts w:hint="default" w:hAnsi="Arial" w:cs="Times New Roman"/>
          <w:b/>
          <w:bCs/>
          <w:lang w:val="en-US" w:eastAsia="zh-CN"/>
        </w:rPr>
      </w:pPr>
      <w:r>
        <w:rPr>
          <w:rFonts w:hint="eastAsia" w:hAnsi="Arial" w:cs="Times New Roman"/>
          <w:b/>
          <w:bCs/>
          <w:lang w:val="en-US" w:eastAsia="zh-CN"/>
        </w:rPr>
        <w:t>2.</w:t>
      </w:r>
      <w:r>
        <w:rPr>
          <w:rFonts w:hint="eastAsia" w:cs="Times New Roman"/>
          <w:b/>
          <w:bCs/>
          <w:lang w:val="en-US" w:eastAsia="zh-CN"/>
        </w:rPr>
        <w:t>4技术指标要求</w:t>
      </w:r>
    </w:p>
    <w:p>
      <w:pPr>
        <w:numPr>
          <w:ilvl w:val="0"/>
          <w:numId w:val="3"/>
        </w:numPr>
        <w:spacing w:line="360" w:lineRule="auto"/>
        <w:ind w:firstLine="480" w:firstLineChars="200"/>
        <w:rPr>
          <w:rFonts w:hint="eastAsia"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固定验电专用装置</w:t>
      </w:r>
      <w:r>
        <w:rPr>
          <w:rFonts w:hint="eastAsia" w:ascii="Times New Roman" w:cs="Times New Roman"/>
          <w:color w:val="000000"/>
          <w:sz w:val="24"/>
          <w:szCs w:val="21"/>
          <w:lang w:val="en-US" w:eastAsia="zh-CN"/>
        </w:rPr>
        <w:t>整体重量小于2kg；</w:t>
      </w:r>
    </w:p>
    <w:p>
      <w:pPr>
        <w:numPr>
          <w:ilvl w:val="0"/>
          <w:numId w:val="3"/>
        </w:numPr>
        <w:spacing w:line="360" w:lineRule="auto"/>
        <w:ind w:firstLine="480" w:firstLineChars="200"/>
        <w:rPr>
          <w:rFonts w:hint="eastAsia" w:ascii="Times New Roman" w:hAnsi="Times New Roman" w:cs="Times New Roman"/>
          <w:color w:val="000000"/>
          <w:sz w:val="24"/>
          <w:szCs w:val="21"/>
          <w:lang w:val="en-US" w:eastAsia="zh-CN"/>
        </w:rPr>
      </w:pPr>
      <w:r>
        <w:rPr>
          <w:rFonts w:hint="eastAsia" w:ascii="Times New Roman" w:hAnsi="Times New Roman" w:cs="Times New Roman"/>
          <w:color w:val="000000"/>
          <w:sz w:val="24"/>
          <w:szCs w:val="21"/>
          <w:lang w:val="en-US" w:eastAsia="zh-CN"/>
        </w:rPr>
        <w:t>固定验电专用装置整体</w:t>
      </w:r>
      <w:r>
        <w:rPr>
          <w:rFonts w:hint="eastAsia" w:ascii="Times New Roman" w:cs="Times New Roman"/>
          <w:color w:val="000000"/>
          <w:sz w:val="24"/>
          <w:szCs w:val="21"/>
          <w:lang w:val="en-US" w:eastAsia="zh-CN"/>
        </w:rPr>
        <w:t>长度</w:t>
      </w:r>
      <w:r>
        <w:rPr>
          <w:rFonts w:hint="eastAsia" w:ascii="Times New Roman" w:hAnsi="Times New Roman" w:cs="Times New Roman"/>
          <w:color w:val="000000"/>
          <w:sz w:val="24"/>
          <w:szCs w:val="21"/>
          <w:lang w:val="en-US" w:eastAsia="zh-CN"/>
        </w:rPr>
        <w:t>小于</w:t>
      </w:r>
      <w:r>
        <w:rPr>
          <w:rFonts w:hint="eastAsia" w:ascii="Times New Roman" w:cs="Times New Roman"/>
          <w:color w:val="000000"/>
          <w:sz w:val="24"/>
          <w:szCs w:val="21"/>
          <w:lang w:val="en-US" w:eastAsia="zh-CN"/>
        </w:rPr>
        <w:t>40cm</w:t>
      </w:r>
      <w:r>
        <w:rPr>
          <w:rFonts w:hint="eastAsia" w:ascii="Times New Roman" w:hAnsi="Times New Roman" w:cs="Times New Roman"/>
          <w:color w:val="000000"/>
          <w:sz w:val="24"/>
          <w:szCs w:val="21"/>
          <w:lang w:val="en-US" w:eastAsia="zh-CN"/>
        </w:rPr>
        <w:t>；</w:t>
      </w:r>
    </w:p>
    <w:p>
      <w:pPr>
        <w:numPr>
          <w:ilvl w:val="0"/>
          <w:numId w:val="3"/>
        </w:numPr>
        <w:spacing w:line="360" w:lineRule="auto"/>
        <w:ind w:firstLine="480" w:firstLineChars="200"/>
        <w:rPr>
          <w:rFonts w:hint="eastAsia" w:ascii="Times New Roman" w:hAnsi="Times New Roman" w:cs="Times New Roman"/>
          <w:color w:val="000000"/>
          <w:sz w:val="24"/>
          <w:szCs w:val="21"/>
          <w:lang w:val="en-US" w:eastAsia="zh-CN"/>
        </w:rPr>
      </w:pPr>
      <w:r>
        <w:rPr>
          <w:rFonts w:hint="eastAsia" w:ascii="Times New Roman" w:cs="Times New Roman"/>
          <w:color w:val="000000"/>
          <w:sz w:val="24"/>
          <w:szCs w:val="21"/>
          <w:lang w:val="en-US" w:eastAsia="zh-CN"/>
        </w:rPr>
        <w:t>可适配直径20~35mm的绝缘杆和验电笔。</w:t>
      </w:r>
    </w:p>
    <w:p>
      <w:pPr>
        <w:pStyle w:val="3"/>
        <w:numPr>
          <w:ilvl w:val="1"/>
          <w:numId w:val="0"/>
        </w:numPr>
        <w:ind w:left="142" w:leftChars="0"/>
        <w:rPr>
          <w:rFonts w:hint="eastAsia" w:hAnsi="Arial" w:cs="Times New Roman"/>
          <w:b/>
          <w:bCs/>
          <w:lang w:val="en-US" w:eastAsia="zh-CN"/>
        </w:rPr>
      </w:pPr>
      <w:r>
        <w:rPr>
          <w:rFonts w:hint="eastAsia" w:hAnsi="Arial" w:cs="Times New Roman"/>
          <w:b/>
          <w:bCs/>
          <w:lang w:val="en-US" w:eastAsia="zh-CN"/>
        </w:rPr>
        <w:t>2.</w:t>
      </w:r>
      <w:r>
        <w:rPr>
          <w:rFonts w:hint="eastAsia" w:cs="Times New Roman"/>
          <w:b/>
          <w:bCs/>
          <w:lang w:val="en-US" w:eastAsia="zh-CN"/>
        </w:rPr>
        <w:t>5</w:t>
      </w:r>
      <w:r>
        <w:rPr>
          <w:rFonts w:hint="eastAsia" w:hAnsi="Arial" w:cs="Times New Roman"/>
          <w:b/>
          <w:bCs/>
          <w:lang w:val="en-US" w:eastAsia="zh-CN"/>
        </w:rPr>
        <w:t>成果交付</w:t>
      </w:r>
    </w:p>
    <w:tbl>
      <w:tblPr>
        <w:tblStyle w:val="13"/>
        <w:tblpPr w:leftFromText="180" w:rightFromText="180" w:vertAnchor="text" w:horzAnchor="page" w:tblpX="1714" w:tblpY="69"/>
        <w:tblOverlap w:val="never"/>
        <w:tblW w:w="0" w:type="auto"/>
        <w:tblInd w:w="0" w:type="dxa"/>
        <w:tblLayout w:type="fixed"/>
        <w:tblCellMar>
          <w:top w:w="0" w:type="dxa"/>
          <w:left w:w="0" w:type="dxa"/>
          <w:bottom w:w="0" w:type="dxa"/>
          <w:right w:w="0" w:type="dxa"/>
        </w:tblCellMar>
      </w:tblPr>
      <w:tblGrid>
        <w:gridCol w:w="767"/>
        <w:gridCol w:w="2926"/>
        <w:gridCol w:w="1016"/>
        <w:gridCol w:w="2124"/>
        <w:gridCol w:w="1825"/>
      </w:tblGrid>
      <w:tr>
        <w:tblPrEx>
          <w:tblCellMar>
            <w:top w:w="0" w:type="dxa"/>
            <w:left w:w="0" w:type="dxa"/>
            <w:bottom w:w="0" w:type="dxa"/>
            <w:right w:w="0" w:type="dxa"/>
          </w:tblCellMar>
        </w:tblPrEx>
        <w:trPr>
          <w:trHeight w:val="535" w:hRule="atLeast"/>
          <w:tblHeader/>
        </w:trPr>
        <w:tc>
          <w:tcPr>
            <w:tcW w:w="767" w:type="dxa"/>
            <w:tcBorders>
              <w:top w:val="single" w:color="auto" w:sz="4" w:space="0"/>
              <w:left w:val="single" w:color="auto" w:sz="4" w:space="0"/>
              <w:bottom w:val="single" w:color="auto" w:sz="4" w:space="0"/>
              <w:right w:val="single" w:color="000000" w:sz="4" w:space="0"/>
            </w:tcBorders>
            <w:noWrap w:val="0"/>
            <w:vAlign w:val="center"/>
          </w:tcPr>
          <w:p>
            <w:pPr>
              <w:ind w:left="0" w:leftChars="0" w:firstLine="0" w:firstLineChars="0"/>
              <w:jc w:val="center"/>
              <w:rPr>
                <w:rFonts w:hint="eastAsia" w:ascii="宋体" w:hAnsi="宋体" w:eastAsia="宋体" w:cs="宋体"/>
                <w:sz w:val="24"/>
                <w:szCs w:val="24"/>
                <w:lang w:eastAsia="zh-CN"/>
              </w:rPr>
            </w:pPr>
            <w:r>
              <w:rPr>
                <w:rFonts w:hint="eastAsia" w:ascii="宋体" w:hAnsi="宋体" w:cs="宋体"/>
                <w:sz w:val="24"/>
                <w:szCs w:val="24"/>
                <w:lang w:eastAsia="zh-CN"/>
              </w:rPr>
              <w:t>序号</w:t>
            </w:r>
          </w:p>
        </w:tc>
        <w:tc>
          <w:tcPr>
            <w:tcW w:w="2926" w:type="dxa"/>
            <w:tcBorders>
              <w:top w:val="single" w:color="000000" w:sz="4" w:space="0"/>
              <w:left w:val="nil"/>
              <w:bottom w:val="single" w:color="000000" w:sz="4" w:space="0"/>
              <w:right w:val="single" w:color="000000" w:sz="4" w:space="0"/>
            </w:tcBorders>
            <w:noWrap w:val="0"/>
            <w:vAlign w:val="center"/>
          </w:tcPr>
          <w:p>
            <w:pPr>
              <w:ind w:left="0" w:leftChars="0" w:firstLine="0" w:firstLineChars="0"/>
              <w:jc w:val="center"/>
              <w:rPr>
                <w:rFonts w:hint="eastAsia" w:ascii="宋体" w:hAnsi="宋体" w:eastAsia="宋体" w:cs="宋体"/>
                <w:sz w:val="24"/>
                <w:szCs w:val="24"/>
                <w:lang w:eastAsia="zh-CN"/>
              </w:rPr>
            </w:pPr>
            <w:r>
              <w:rPr>
                <w:rFonts w:hint="eastAsia" w:ascii="宋体" w:hAnsi="宋体" w:cs="宋体"/>
                <w:sz w:val="24"/>
                <w:szCs w:val="24"/>
                <w:lang w:eastAsia="zh-CN"/>
              </w:rPr>
              <w:t>成果</w:t>
            </w:r>
            <w:r>
              <w:rPr>
                <w:rFonts w:hint="eastAsia" w:ascii="宋体" w:hAnsi="宋体" w:cs="宋体"/>
                <w:sz w:val="24"/>
                <w:szCs w:val="24"/>
              </w:rPr>
              <w:t>名称</w:t>
            </w:r>
          </w:p>
        </w:tc>
        <w:tc>
          <w:tcPr>
            <w:tcW w:w="1016" w:type="dxa"/>
            <w:tcBorders>
              <w:top w:val="single" w:color="auto" w:sz="4" w:space="0"/>
              <w:left w:val="single" w:color="auto" w:sz="4" w:space="0"/>
              <w:bottom w:val="single" w:color="auto" w:sz="4" w:space="0"/>
              <w:right w:val="single" w:color="auto" w:sz="4" w:space="0"/>
            </w:tcBorders>
            <w:noWrap w:val="0"/>
            <w:vAlign w:val="center"/>
          </w:tcPr>
          <w:p>
            <w:pPr>
              <w:ind w:firstLine="0" w:firstLineChars="0"/>
              <w:jc w:val="center"/>
              <w:rPr>
                <w:rFonts w:ascii="宋体" w:hAnsi="宋体" w:cs="宋体"/>
                <w:sz w:val="24"/>
                <w:szCs w:val="24"/>
              </w:rPr>
            </w:pPr>
            <w:r>
              <w:rPr>
                <w:rFonts w:hint="eastAsia" w:ascii="宋体" w:hAnsi="宋体" w:cs="宋体"/>
                <w:sz w:val="24"/>
                <w:szCs w:val="24"/>
              </w:rPr>
              <w:t>数量</w:t>
            </w:r>
          </w:p>
        </w:tc>
        <w:tc>
          <w:tcPr>
            <w:tcW w:w="2124"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center"/>
              <w:rPr>
                <w:rFonts w:hint="eastAsia" w:ascii="宋体" w:hAnsi="宋体" w:cs="宋体"/>
                <w:sz w:val="24"/>
                <w:szCs w:val="24"/>
                <w:lang w:eastAsia="zh-CN"/>
              </w:rPr>
            </w:pPr>
            <w:r>
              <w:rPr>
                <w:rFonts w:hint="eastAsia" w:ascii="宋体" w:hAnsi="宋体" w:cs="宋体"/>
                <w:sz w:val="24"/>
                <w:szCs w:val="24"/>
                <w:lang w:eastAsia="zh-CN"/>
              </w:rPr>
              <w:t>交付地点</w:t>
            </w:r>
          </w:p>
        </w:tc>
        <w:tc>
          <w:tcPr>
            <w:tcW w:w="1825"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center"/>
              <w:rPr>
                <w:rFonts w:hint="eastAsia" w:ascii="宋体" w:hAnsi="宋体" w:cs="宋体"/>
                <w:sz w:val="24"/>
                <w:szCs w:val="24"/>
                <w:lang w:eastAsia="zh-CN"/>
              </w:rPr>
            </w:pPr>
            <w:r>
              <w:rPr>
                <w:rFonts w:hint="eastAsia" w:ascii="宋体" w:hAnsi="宋体" w:cs="宋体"/>
                <w:sz w:val="24"/>
                <w:szCs w:val="24"/>
                <w:lang w:eastAsia="zh-CN"/>
              </w:rPr>
              <w:t>备注</w:t>
            </w:r>
          </w:p>
        </w:tc>
      </w:tr>
      <w:tr>
        <w:tblPrEx>
          <w:tblCellMar>
            <w:top w:w="0" w:type="dxa"/>
            <w:left w:w="0" w:type="dxa"/>
            <w:bottom w:w="0" w:type="dxa"/>
            <w:right w:w="0" w:type="dxa"/>
          </w:tblCellMar>
        </w:tblPrEx>
        <w:trPr>
          <w:trHeight w:val="535" w:hRule="atLeast"/>
          <w:tblHeader/>
        </w:trPr>
        <w:tc>
          <w:tcPr>
            <w:tcW w:w="767" w:type="dxa"/>
            <w:tcBorders>
              <w:top w:val="single" w:color="auto" w:sz="4" w:space="0"/>
              <w:left w:val="single" w:color="auto" w:sz="4" w:space="0"/>
              <w:bottom w:val="single" w:color="auto" w:sz="4" w:space="0"/>
              <w:right w:val="single" w:color="000000" w:sz="4" w:space="0"/>
            </w:tcBorders>
            <w:noWrap w:val="0"/>
            <w:vAlign w:val="center"/>
          </w:tcPr>
          <w:p>
            <w:pPr>
              <w:ind w:left="0" w:leftChars="0" w:firstLine="0" w:firstLineChars="0"/>
              <w:jc w:val="center"/>
              <w:rPr>
                <w:rFonts w:hint="default" w:ascii="宋体" w:hAnsi="宋体" w:cs="宋体"/>
                <w:sz w:val="24"/>
                <w:szCs w:val="24"/>
                <w:lang w:val="en-US" w:eastAsia="zh-CN"/>
              </w:rPr>
            </w:pPr>
            <w:r>
              <w:rPr>
                <w:rFonts w:hint="eastAsia" w:hAnsi="宋体" w:cs="宋体"/>
                <w:sz w:val="24"/>
                <w:szCs w:val="24"/>
                <w:lang w:val="en-US" w:eastAsia="zh-CN"/>
              </w:rPr>
              <w:t>1</w:t>
            </w:r>
          </w:p>
        </w:tc>
        <w:tc>
          <w:tcPr>
            <w:tcW w:w="2926" w:type="dxa"/>
            <w:tcBorders>
              <w:top w:val="single" w:color="000000" w:sz="4" w:space="0"/>
              <w:left w:val="nil"/>
              <w:bottom w:val="single" w:color="000000" w:sz="4" w:space="0"/>
              <w:right w:val="single" w:color="000000" w:sz="4" w:space="0"/>
            </w:tcBorders>
            <w:noWrap w:val="0"/>
            <w:vAlign w:val="center"/>
          </w:tcPr>
          <w:p>
            <w:pPr>
              <w:ind w:left="0" w:leftChars="0" w:firstLine="0" w:firstLineChars="0"/>
              <w:jc w:val="center"/>
              <w:rPr>
                <w:rFonts w:hint="eastAsia" w:ascii="宋体" w:hAnsi="宋体" w:cs="宋体"/>
                <w:sz w:val="24"/>
                <w:szCs w:val="24"/>
                <w:lang w:eastAsia="zh-CN"/>
              </w:rPr>
            </w:pPr>
            <w:r>
              <w:rPr>
                <w:rFonts w:hint="eastAsia" w:ascii="Times New Roman" w:hAnsi="Times New Roman" w:cs="Times New Roman"/>
                <w:color w:val="000000"/>
                <w:sz w:val="24"/>
                <w:szCs w:val="21"/>
                <w:lang w:val="en-US" w:eastAsia="zh-CN"/>
              </w:rPr>
              <w:t>一种中压验电笔支撑固定验电专用装置</w:t>
            </w:r>
          </w:p>
        </w:tc>
        <w:tc>
          <w:tcPr>
            <w:tcW w:w="1016" w:type="dxa"/>
            <w:tcBorders>
              <w:top w:val="single" w:color="auto" w:sz="4" w:space="0"/>
              <w:left w:val="single" w:color="auto" w:sz="4" w:space="0"/>
              <w:bottom w:val="single" w:color="auto" w:sz="4" w:space="0"/>
              <w:right w:val="single" w:color="auto" w:sz="4" w:space="0"/>
            </w:tcBorders>
            <w:noWrap w:val="0"/>
            <w:vAlign w:val="center"/>
          </w:tcPr>
          <w:p>
            <w:pPr>
              <w:ind w:firstLine="0" w:firstLineChars="0"/>
              <w:jc w:val="center"/>
              <w:rPr>
                <w:rFonts w:hint="default" w:ascii="宋体" w:hAnsi="宋体" w:eastAsia="宋体" w:cs="宋体"/>
                <w:sz w:val="24"/>
                <w:szCs w:val="24"/>
                <w:lang w:val="en-US" w:eastAsia="zh-CN"/>
              </w:rPr>
            </w:pPr>
            <w:r>
              <w:rPr>
                <w:rFonts w:hint="eastAsia" w:hAnsi="宋体" w:cs="宋体"/>
                <w:sz w:val="24"/>
                <w:szCs w:val="24"/>
                <w:lang w:val="en-US" w:eastAsia="zh-CN"/>
              </w:rPr>
              <w:t>1</w:t>
            </w:r>
          </w:p>
        </w:tc>
        <w:tc>
          <w:tcPr>
            <w:tcW w:w="2124"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center"/>
              <w:rPr>
                <w:rFonts w:hint="eastAsia" w:ascii="宋体" w:hAnsi="宋体" w:cs="宋体"/>
                <w:sz w:val="24"/>
                <w:szCs w:val="24"/>
                <w:lang w:eastAsia="zh-CN"/>
              </w:rPr>
            </w:pPr>
            <w:r>
              <w:rPr>
                <w:rFonts w:hint="eastAsia" w:hAnsi="宋体" w:cs="宋体"/>
                <w:sz w:val="24"/>
                <w:szCs w:val="24"/>
                <w:lang w:eastAsia="zh-CN"/>
              </w:rPr>
              <w:t>来宾供电局</w:t>
            </w:r>
          </w:p>
        </w:tc>
        <w:tc>
          <w:tcPr>
            <w:tcW w:w="1825" w:type="dxa"/>
            <w:tcBorders>
              <w:top w:val="single" w:color="auto" w:sz="4" w:space="0"/>
              <w:left w:val="single" w:color="auto" w:sz="4" w:space="0"/>
              <w:bottom w:val="single" w:color="auto" w:sz="4" w:space="0"/>
              <w:right w:val="single" w:color="auto" w:sz="4" w:space="0"/>
            </w:tcBorders>
            <w:noWrap w:val="0"/>
            <w:vAlign w:val="center"/>
          </w:tcPr>
          <w:p>
            <w:pPr>
              <w:ind w:left="0" w:leftChars="0" w:firstLine="0" w:firstLineChars="0"/>
              <w:jc w:val="center"/>
              <w:rPr>
                <w:rFonts w:hint="eastAsia" w:ascii="宋体" w:hAnsi="宋体" w:cs="宋体"/>
                <w:sz w:val="24"/>
                <w:szCs w:val="24"/>
                <w:lang w:eastAsia="zh-CN"/>
              </w:rPr>
            </w:pPr>
          </w:p>
        </w:tc>
      </w:tr>
    </w:tbl>
    <w:p>
      <w:pPr>
        <w:rPr>
          <w:rFonts w:hint="default"/>
          <w:lang w:val="en-US" w:eastAsia="zh-CN"/>
        </w:rPr>
      </w:pPr>
    </w:p>
    <w:p>
      <w:pPr>
        <w:pStyle w:val="30"/>
        <w:rPr>
          <w:rFonts w:hint="default"/>
          <w:lang w:val="en-US" w:eastAsia="zh-CN"/>
        </w:rPr>
      </w:pPr>
    </w:p>
    <w:p>
      <w:pPr>
        <w:rPr>
          <w:rFonts w:hint="default"/>
          <w:lang w:val="en-US" w:eastAsia="zh-CN"/>
        </w:rPr>
      </w:pPr>
    </w:p>
    <w:p>
      <w:pPr>
        <w:pStyle w:val="6"/>
        <w:keepNext w:val="0"/>
        <w:keepLines w:val="0"/>
        <w:pageBreakBefore w:val="0"/>
        <w:widowControl w:val="0"/>
        <w:kinsoku/>
        <w:wordWrap/>
        <w:overflowPunct/>
        <w:topLinePunct w:val="0"/>
        <w:autoSpaceDE/>
        <w:autoSpaceDN/>
        <w:bidi w:val="0"/>
        <w:adjustRightInd/>
        <w:snapToGrid/>
        <w:textAlignment w:val="auto"/>
        <w:outlineLvl w:val="9"/>
        <w:rPr>
          <w:rFonts w:hint="default"/>
          <w:lang w:val="en-US" w:eastAsia="zh-CN"/>
        </w:rPr>
      </w:pPr>
    </w:p>
    <w:p>
      <w:pPr>
        <w:pStyle w:val="3"/>
        <w:numPr>
          <w:ilvl w:val="1"/>
          <w:numId w:val="0"/>
        </w:numPr>
        <w:ind w:left="142" w:leftChars="0"/>
        <w:rPr>
          <w:rFonts w:hint="eastAsia" w:hAnsi="Arial" w:cs="Times New Roman"/>
          <w:sz w:val="28"/>
          <w:szCs w:val="28"/>
          <w:lang w:val="en-US" w:eastAsia="zh-CN"/>
        </w:rPr>
      </w:pPr>
      <w:r>
        <w:rPr>
          <w:rFonts w:hint="eastAsia" w:hAnsi="Arial" w:cs="Times New Roman"/>
          <w:sz w:val="28"/>
          <w:szCs w:val="28"/>
          <w:lang w:val="en-US" w:eastAsia="zh-CN"/>
        </w:rPr>
        <w:t>3应遵循的主要标准</w:t>
      </w:r>
    </w:p>
    <w:p>
      <w:pPr>
        <w:pStyle w:val="3"/>
        <w:numPr>
          <w:ilvl w:val="1"/>
          <w:numId w:val="0"/>
        </w:numPr>
        <w:ind w:left="142" w:leftChars="0"/>
        <w:rPr>
          <w:rFonts w:hint="eastAsia" w:hAnsi="Arial" w:cs="Times New Roman"/>
          <w:b/>
          <w:bCs/>
          <w:lang w:val="en-US" w:eastAsia="zh-CN"/>
        </w:rPr>
      </w:pPr>
      <w:r>
        <w:rPr>
          <w:rFonts w:hint="eastAsia" w:hAnsi="Arial" w:cs="Times New Roman"/>
          <w:b/>
          <w:bCs/>
          <w:lang w:val="en-US" w:eastAsia="zh-CN"/>
        </w:rPr>
        <w:t>3.1加工服务地点和期限</w:t>
      </w:r>
    </w:p>
    <w:p>
      <w:pPr>
        <w:keepNext w:val="0"/>
        <w:keepLines w:val="0"/>
        <w:widowControl/>
        <w:suppressLineNumbers w:val="0"/>
        <w:ind w:firstLine="480" w:firstLineChars="200"/>
        <w:jc w:val="left"/>
        <w:textAlignment w:val="center"/>
        <w:rPr>
          <w:rFonts w:hint="default" w:ascii="宋体" w:hAnsi="宋体" w:cs="宋体"/>
          <w:i w:val="0"/>
          <w:iCs w:val="0"/>
          <w:color w:val="000000"/>
          <w:kern w:val="0"/>
          <w:sz w:val="24"/>
          <w:szCs w:val="24"/>
          <w:highlight w:val="none"/>
          <w:u w:val="none"/>
          <w:lang w:val="en-US" w:eastAsia="zh-CN" w:bidi="en-AU"/>
        </w:rPr>
      </w:pPr>
      <w:r>
        <w:rPr>
          <w:rFonts w:hint="eastAsia" w:ascii="宋体" w:hAnsi="宋体" w:cs="宋体"/>
          <w:i w:val="0"/>
          <w:iCs w:val="0"/>
          <w:color w:val="000000"/>
          <w:kern w:val="0"/>
          <w:sz w:val="24"/>
          <w:szCs w:val="24"/>
          <w:highlight w:val="none"/>
          <w:u w:val="none"/>
          <w:lang w:val="en-US" w:eastAsia="zh-CN" w:bidi="en-AU"/>
        </w:rPr>
        <w:t>地点：</w:t>
      </w:r>
      <w:r>
        <w:rPr>
          <w:rFonts w:hint="eastAsia" w:hAnsi="宋体" w:cs="宋体"/>
          <w:i w:val="0"/>
          <w:iCs w:val="0"/>
          <w:color w:val="000000"/>
          <w:kern w:val="0"/>
          <w:sz w:val="24"/>
          <w:szCs w:val="24"/>
          <w:highlight w:val="none"/>
          <w:u w:val="none"/>
          <w:lang w:val="en-US" w:eastAsia="zh-CN" w:bidi="en-AU"/>
        </w:rPr>
        <w:t>来宾市兴宾区翠屏路西186号</w:t>
      </w:r>
    </w:p>
    <w:p>
      <w:pPr>
        <w:keepNext w:val="0"/>
        <w:keepLines w:val="0"/>
        <w:widowControl/>
        <w:suppressLineNumbers w:val="0"/>
        <w:jc w:val="left"/>
        <w:textAlignment w:val="center"/>
        <w:rPr>
          <w:rFonts w:hint="eastAsia" w:hAnsi="Arial" w:cs="Times New Roman"/>
          <w:b/>
          <w:bCs/>
          <w:lang w:val="en-US" w:eastAsia="zh-CN"/>
        </w:rPr>
      </w:pPr>
      <w:r>
        <w:rPr>
          <w:rFonts w:hint="eastAsia" w:hAnsi="Arial" w:cs="Times New Roman"/>
          <w:b/>
          <w:bCs/>
          <w:lang w:val="en-US" w:eastAsia="zh-CN"/>
        </w:rPr>
        <w:t>3.2技术资料</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根据合作需要，招标方应在本合同生效后 5个工作日内向投标方提供加工技术方案、图纸等技术资料，明确具体的加工、测试要求：</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（1）</w:t>
      </w:r>
      <w:r>
        <w:rPr>
          <w:rFonts w:hint="eastAsia" w:hAnsi="宋体" w:cs="宋体"/>
          <w:i w:val="0"/>
          <w:iCs w:val="0"/>
          <w:color w:val="000000"/>
          <w:kern w:val="0"/>
          <w:sz w:val="24"/>
          <w:szCs w:val="24"/>
          <w:u w:val="none"/>
          <w:lang w:val="en-US" w:eastAsia="zh-CN" w:bidi="en-AU"/>
        </w:rPr>
        <w:t>招标</w:t>
      </w:r>
      <w:r>
        <w:rPr>
          <w:rFonts w:hint="eastAsia" w:ascii="宋体" w:hAnsi="宋体" w:cs="宋体"/>
          <w:i w:val="0"/>
          <w:iCs w:val="0"/>
          <w:color w:val="000000"/>
          <w:kern w:val="0"/>
          <w:sz w:val="24"/>
          <w:szCs w:val="24"/>
          <w:u w:val="none"/>
          <w:lang w:val="en-US" w:eastAsia="zh-CN" w:bidi="en-AU"/>
        </w:rPr>
        <w:t>方提出的加工技术方案、图纸等技术资料需经</w:t>
      </w:r>
      <w:r>
        <w:rPr>
          <w:rFonts w:hint="eastAsia" w:hAnsi="宋体" w:cs="宋体"/>
          <w:i w:val="0"/>
          <w:iCs w:val="0"/>
          <w:color w:val="000000"/>
          <w:kern w:val="0"/>
          <w:sz w:val="24"/>
          <w:szCs w:val="24"/>
          <w:u w:val="none"/>
          <w:lang w:val="en-US" w:eastAsia="zh-CN" w:bidi="en-AU"/>
        </w:rPr>
        <w:t>招标方投标方</w:t>
      </w:r>
      <w:r>
        <w:rPr>
          <w:rFonts w:hint="eastAsia" w:ascii="宋体" w:hAnsi="宋体" w:cs="宋体"/>
          <w:i w:val="0"/>
          <w:iCs w:val="0"/>
          <w:color w:val="000000"/>
          <w:kern w:val="0"/>
          <w:sz w:val="24"/>
          <w:szCs w:val="24"/>
          <w:u w:val="none"/>
          <w:lang w:val="en-US" w:eastAsia="zh-CN" w:bidi="en-AU"/>
        </w:rPr>
        <w:t>双方审核确认。</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（2）双方联系人应在确认的技术资料上签字并注明移交时间。</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（3）</w:t>
      </w:r>
      <w:r>
        <w:rPr>
          <w:rFonts w:hint="eastAsia" w:hAnsi="宋体" w:cs="宋体"/>
          <w:i w:val="0"/>
          <w:iCs w:val="0"/>
          <w:color w:val="000000"/>
          <w:kern w:val="0"/>
          <w:sz w:val="24"/>
          <w:szCs w:val="24"/>
          <w:u w:val="none"/>
          <w:lang w:val="en-US" w:eastAsia="zh-CN" w:bidi="en-AU"/>
        </w:rPr>
        <w:t>投标</w:t>
      </w:r>
      <w:r>
        <w:rPr>
          <w:rFonts w:hint="eastAsia" w:ascii="宋体" w:hAnsi="宋体" w:cs="宋体"/>
          <w:i w:val="0"/>
          <w:iCs w:val="0"/>
          <w:color w:val="000000"/>
          <w:kern w:val="0"/>
          <w:sz w:val="24"/>
          <w:szCs w:val="24"/>
          <w:u w:val="none"/>
          <w:lang w:val="en-US" w:eastAsia="zh-CN" w:bidi="en-AU"/>
        </w:rPr>
        <w:t>方对于</w:t>
      </w:r>
      <w:r>
        <w:rPr>
          <w:rFonts w:hint="eastAsia" w:hAnsi="宋体" w:cs="宋体"/>
          <w:i w:val="0"/>
          <w:iCs w:val="0"/>
          <w:color w:val="000000"/>
          <w:kern w:val="0"/>
          <w:sz w:val="24"/>
          <w:szCs w:val="24"/>
          <w:u w:val="none"/>
          <w:lang w:val="en-US" w:eastAsia="zh-CN" w:bidi="en-AU"/>
        </w:rPr>
        <w:t>招标</w:t>
      </w:r>
      <w:r>
        <w:rPr>
          <w:rFonts w:hint="eastAsia" w:ascii="宋体" w:hAnsi="宋体" w:cs="宋体"/>
          <w:i w:val="0"/>
          <w:iCs w:val="0"/>
          <w:color w:val="000000"/>
          <w:kern w:val="0"/>
          <w:sz w:val="24"/>
          <w:szCs w:val="24"/>
          <w:u w:val="none"/>
          <w:lang w:val="en-US" w:eastAsia="zh-CN" w:bidi="en-AU"/>
        </w:rPr>
        <w:t>方提供的技术方案、图纸等技术资料应当妥善保管，并只能用于本合同项下的加工服务工作。本合同履行完毕后，</w:t>
      </w:r>
      <w:r>
        <w:rPr>
          <w:rFonts w:hint="eastAsia" w:hAnsi="宋体" w:cs="宋体"/>
          <w:i w:val="0"/>
          <w:iCs w:val="0"/>
          <w:color w:val="000000"/>
          <w:kern w:val="0"/>
          <w:sz w:val="24"/>
          <w:szCs w:val="24"/>
          <w:u w:val="none"/>
          <w:lang w:val="en-US" w:eastAsia="zh-CN" w:bidi="en-AU"/>
        </w:rPr>
        <w:t>投标</w:t>
      </w:r>
      <w:r>
        <w:rPr>
          <w:rFonts w:hint="eastAsia" w:ascii="宋体" w:hAnsi="宋体" w:cs="宋体"/>
          <w:i w:val="0"/>
          <w:iCs w:val="0"/>
          <w:color w:val="000000"/>
          <w:kern w:val="0"/>
          <w:sz w:val="24"/>
          <w:szCs w:val="24"/>
          <w:u w:val="none"/>
          <w:lang w:val="en-US" w:eastAsia="zh-CN" w:bidi="en-AU"/>
        </w:rPr>
        <w:t>方应当将上述技术方案、图纸等技术资料全部退还给甲方，并不得以复制、扫描等任何方式保存</w:t>
      </w:r>
      <w:r>
        <w:rPr>
          <w:rFonts w:hint="eastAsia" w:hAnsi="宋体" w:cs="宋体"/>
          <w:i w:val="0"/>
          <w:iCs w:val="0"/>
          <w:color w:val="000000"/>
          <w:kern w:val="0"/>
          <w:sz w:val="24"/>
          <w:szCs w:val="24"/>
          <w:u w:val="none"/>
          <w:lang w:val="en-US" w:eastAsia="zh-CN" w:bidi="en-AU"/>
        </w:rPr>
        <w:t>招标</w:t>
      </w:r>
      <w:r>
        <w:rPr>
          <w:rFonts w:hint="eastAsia" w:ascii="宋体" w:hAnsi="宋体" w:cs="宋体"/>
          <w:i w:val="0"/>
          <w:iCs w:val="0"/>
          <w:color w:val="000000"/>
          <w:kern w:val="0"/>
          <w:sz w:val="24"/>
          <w:szCs w:val="24"/>
          <w:u w:val="none"/>
          <w:lang w:val="en-US" w:eastAsia="zh-CN" w:bidi="en-AU"/>
        </w:rPr>
        <w:t>方的资料信息,不得为自己或他人加工、生成</w:t>
      </w:r>
      <w:r>
        <w:rPr>
          <w:rFonts w:hint="eastAsia" w:hAnsi="宋体" w:cs="宋体"/>
          <w:i w:val="0"/>
          <w:iCs w:val="0"/>
          <w:color w:val="000000"/>
          <w:kern w:val="0"/>
          <w:sz w:val="24"/>
          <w:szCs w:val="24"/>
          <w:u w:val="none"/>
          <w:lang w:val="en-US" w:eastAsia="zh-CN" w:bidi="en-AU"/>
        </w:rPr>
        <w:t>招标</w:t>
      </w:r>
      <w:r>
        <w:rPr>
          <w:rFonts w:hint="eastAsia" w:ascii="宋体" w:hAnsi="宋体" w:cs="宋体"/>
          <w:i w:val="0"/>
          <w:iCs w:val="0"/>
          <w:color w:val="000000"/>
          <w:kern w:val="0"/>
          <w:sz w:val="24"/>
          <w:szCs w:val="24"/>
          <w:u w:val="none"/>
          <w:lang w:val="en-US" w:eastAsia="zh-CN" w:bidi="en-AU"/>
        </w:rPr>
        <w:t>方技术方案、图纸等技术资料下的项目。</w:t>
      </w:r>
    </w:p>
    <w:p>
      <w:pPr>
        <w:pStyle w:val="30"/>
        <w:ind w:left="0" w:leftChars="0" w:firstLine="0" w:firstLineChars="0"/>
        <w:rPr>
          <w:rFonts w:hint="eastAsia" w:hAnsi="Arial" w:cs="Times New Roman"/>
          <w:b/>
          <w:bCs/>
          <w:lang w:val="en-US" w:eastAsia="zh-CN"/>
        </w:rPr>
      </w:pPr>
      <w:r>
        <w:rPr>
          <w:rFonts w:hint="eastAsia" w:hAnsi="Arial" w:cs="Times New Roman"/>
          <w:b/>
          <w:bCs/>
          <w:lang w:val="en-US" w:eastAsia="zh-CN"/>
        </w:rPr>
        <w:t>3.3验收</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投标方应负责在项目验收前完成本规范列技术资料（数据）、文件，将项目的全部有关技术文件、资料、测试、验收报告等文档汇集成册交付给招标方。招标方可根据合同及招标书和招标方的有关规定进行修改和补充, 经双方确认后形成验收文件。</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(1) 项目成果经招标方和中标方共同确认满足验收条件后，由招标方组织专家对所有项目材料和相关成果进行评审，开展合同验收。</w:t>
      </w:r>
    </w:p>
    <w:p>
      <w:pPr>
        <w:keepNext w:val="0"/>
        <w:keepLines w:val="0"/>
        <w:pageBreakBefore w:val="0"/>
        <w:widowControl w:val="0"/>
        <w:kinsoku/>
        <w:wordWrap/>
        <w:overflowPunct/>
        <w:topLinePunct w:val="0"/>
        <w:autoSpaceDE/>
        <w:autoSpaceDN/>
        <w:bidi w:val="0"/>
        <w:adjustRightInd/>
        <w:snapToGrid/>
        <w:spacing w:beforeAutospacing="0" w:afterAutospacing="0" w:line="580" w:lineRule="exact"/>
        <w:ind w:left="0" w:leftChars="0" w:right="0" w:rightChars="0" w:firstLine="480" w:firstLineChars="200"/>
        <w:textAlignment w:val="auto"/>
        <w:outlineLvl w:val="9"/>
        <w:rPr>
          <w:rFonts w:hint="eastAsia" w:ascii="宋体" w:hAnsi="宋体" w:cs="宋体"/>
          <w:i w:val="0"/>
          <w:iCs w:val="0"/>
          <w:color w:val="000000"/>
          <w:kern w:val="0"/>
          <w:sz w:val="24"/>
          <w:szCs w:val="24"/>
          <w:u w:val="none"/>
          <w:lang w:val="en-US" w:eastAsia="zh-CN" w:bidi="en-AU"/>
        </w:rPr>
      </w:pPr>
      <w:r>
        <w:rPr>
          <w:rFonts w:hint="eastAsia" w:ascii="宋体" w:hAnsi="宋体" w:cs="宋体"/>
          <w:i w:val="0"/>
          <w:iCs w:val="0"/>
          <w:color w:val="000000"/>
          <w:kern w:val="0"/>
          <w:sz w:val="24"/>
          <w:szCs w:val="24"/>
          <w:u w:val="none"/>
          <w:lang w:val="en-US" w:eastAsia="zh-CN" w:bidi="en-AU"/>
        </w:rPr>
        <w:t>(2) 项目验收按照招标方制定的验收方案具体实施，方案将包括验收内容、验收标准、验收人员等；项目验收后，验收人员将根据实际情况提出验收报告。如若有需要整改的内容，中标方在项目验收后应主动配合招标方严格按照整改意</w:t>
      </w:r>
      <w:r>
        <w:rPr>
          <w:rFonts w:hint="eastAsia" w:hAnsi="宋体" w:cs="宋体"/>
          <w:i w:val="0"/>
          <w:iCs w:val="0"/>
          <w:color w:val="000000"/>
          <w:kern w:val="0"/>
          <w:sz w:val="24"/>
          <w:szCs w:val="24"/>
          <w:u w:val="none"/>
          <w:lang w:val="en-US" w:eastAsia="zh-CN" w:bidi="en-AU"/>
        </w:rPr>
        <w:t>见整改。</w:t>
      </w:r>
    </w:p>
    <w:p>
      <w:pPr>
        <w:rPr>
          <w:rFonts w:hint="eastAsia"/>
          <w:lang w:val="en-US" w:eastAsia="zh-CN"/>
        </w:rPr>
      </w:pPr>
    </w:p>
    <w:p>
      <w:pPr>
        <w:pStyle w:val="3"/>
        <w:numPr>
          <w:ilvl w:val="1"/>
          <w:numId w:val="0"/>
        </w:numPr>
        <w:ind w:left="142" w:leftChars="0"/>
        <w:rPr>
          <w:rFonts w:hint="default" w:hAnsi="Arial" w:cs="Times New Roman"/>
          <w:sz w:val="28"/>
          <w:szCs w:val="28"/>
          <w:lang w:val="en-US" w:eastAsia="zh-CN"/>
        </w:rPr>
      </w:pPr>
      <w:r>
        <w:rPr>
          <w:rFonts w:hint="eastAsia" w:hAnsi="Arial" w:cs="Times New Roman"/>
          <w:sz w:val="28"/>
          <w:szCs w:val="28"/>
          <w:lang w:val="en-US" w:eastAsia="zh-CN"/>
        </w:rPr>
        <w:t>4供应商需说明的其它问题</w:t>
      </w:r>
    </w:p>
    <w:p>
      <w:pPr>
        <w:keepNext w:val="0"/>
        <w:keepLines w:val="0"/>
        <w:widowControl/>
        <w:suppressLineNumbers w:val="0"/>
        <w:ind w:firstLine="720" w:firstLineChars="300"/>
        <w:jc w:val="left"/>
        <w:textAlignment w:val="center"/>
        <w:rPr>
          <w:rFonts w:hint="eastAsia"/>
          <w:sz w:val="28"/>
          <w:szCs w:val="28"/>
        </w:rPr>
      </w:pPr>
      <w:r>
        <w:rPr>
          <w:rFonts w:hint="eastAsia" w:ascii="宋体" w:hAnsi="宋体" w:cs="宋体"/>
          <w:i w:val="0"/>
          <w:iCs w:val="0"/>
          <w:color w:val="000000"/>
          <w:kern w:val="0"/>
          <w:sz w:val="24"/>
          <w:szCs w:val="24"/>
          <w:u w:val="none"/>
          <w:lang w:val="en-US" w:eastAsia="zh-CN" w:bidi="en-AU"/>
        </w:rPr>
        <w:t>如有需说明的其他问题，供应商应通过书面形式提交，并盖章。</w:t>
      </w:r>
      <w:bookmarkEnd w:id="3"/>
      <w:bookmarkEnd w:id="4"/>
      <w:bookmarkEnd w:id="5"/>
      <w:bookmarkEnd w:id="6"/>
      <w:bookmarkEnd w:id="7"/>
    </w:p>
    <w:sectPr>
      <w:headerReference r:id="rId6" w:type="default"/>
      <w:footerReference r:id="rId7" w:type="default"/>
      <w:pgSz w:w="11906" w:h="16838"/>
      <w:pgMar w:top="1440" w:right="1080" w:bottom="1440" w:left="1080" w:header="851" w:footer="992" w:gutter="0"/>
      <w:pgNumType w:start="1"/>
      <w:cols w:space="720" w:num="1"/>
      <w:docGrid w:type="lines" w:linePitch="326"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moder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书宋简体">
    <w:altName w:val="宋体"/>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5</w:t>
    </w:r>
    <w:r>
      <w:fldChar w:fldCharType="end"/>
    </w:r>
  </w:p>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rPr>
        <w:rFonts w:hint="eastAsia"/>
      </w:rPr>
    </w:pPr>
    <w:r>
      <w:drawing>
        <wp:inline distT="0" distB="0" distL="114300" distR="114300">
          <wp:extent cx="1554480" cy="273685"/>
          <wp:effectExtent l="0" t="0" r="7620" b="12065"/>
          <wp:docPr id="1" name="图片 1" descr="ttt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tttt"/>
                  <pic:cNvPicPr>
                    <a:picLocks noChangeAspect="1"/>
                  </pic:cNvPicPr>
                </pic:nvPicPr>
                <pic:blipFill>
                  <a:blip r:embed="rId1"/>
                  <a:stretch>
                    <a:fillRect/>
                  </a:stretch>
                </pic:blipFill>
                <pic:spPr>
                  <a:xfrm>
                    <a:off x="0" y="0"/>
                    <a:ext cx="1554480" cy="2736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241E8B"/>
    <w:multiLevelType w:val="singleLevel"/>
    <w:tmpl w:val="D7241E8B"/>
    <w:lvl w:ilvl="0" w:tentative="0">
      <w:start w:val="1"/>
      <w:numFmt w:val="decimal"/>
      <w:suff w:val="nothing"/>
      <w:lvlText w:val="%1、"/>
      <w:lvlJc w:val="left"/>
    </w:lvl>
  </w:abstractNum>
  <w:abstractNum w:abstractNumId="1">
    <w:nsid w:val="00000001"/>
    <w:multiLevelType w:val="multilevel"/>
    <w:tmpl w:val="00000001"/>
    <w:lvl w:ilvl="0" w:tentative="0">
      <w:start w:val="1"/>
      <w:numFmt w:val="decimal"/>
      <w:pStyle w:val="2"/>
      <w:suff w:val="space"/>
      <w:lvlText w:val="%1."/>
      <w:lvlJc w:val="left"/>
      <w:pPr>
        <w:ind w:left="0" w:firstLine="0"/>
      </w:pPr>
      <w:rPr>
        <w:rFonts w:hint="eastAsia"/>
      </w:rPr>
    </w:lvl>
    <w:lvl w:ilvl="1" w:tentative="0">
      <w:start w:val="1"/>
      <w:numFmt w:val="decimal"/>
      <w:pStyle w:val="3"/>
      <w:isLgl/>
      <w:suff w:val="space"/>
      <w:lvlText w:val="%1.%2"/>
      <w:lvlJc w:val="left"/>
      <w:pPr>
        <w:ind w:left="142" w:firstLine="0"/>
      </w:pPr>
      <w:rPr>
        <w:rFonts w:hint="eastAsia"/>
        <w:b w:val="0"/>
      </w:rPr>
    </w:lvl>
    <w:lvl w:ilvl="2" w:tentative="0">
      <w:start w:val="1"/>
      <w:numFmt w:val="decimal"/>
      <w:pStyle w:val="27"/>
      <w:isLgl/>
      <w:suff w:val="space"/>
      <w:lvlText w:val="%1.%2.%3"/>
      <w:lvlJc w:val="left"/>
      <w:pPr>
        <w:ind w:left="0" w:firstLine="0"/>
      </w:pPr>
      <w:rPr>
        <w:rFonts w:hint="eastAsia"/>
        <w:b w:val="0"/>
        <w:i w:val="0"/>
      </w:rPr>
    </w:lvl>
    <w:lvl w:ilvl="3" w:tentative="0">
      <w:start w:val="1"/>
      <w:numFmt w:val="decimal"/>
      <w:pStyle w:val="25"/>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2">
    <w:nsid w:val="2C6A7E6B"/>
    <w:multiLevelType w:val="singleLevel"/>
    <w:tmpl w:val="2C6A7E6B"/>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20"/>
  <w:drawingGridVerticalSpacing w:val="163"/>
  <w:displayHorizontalDrawingGridEvery w:val="1"/>
  <w:displayVerticalDrawingGridEvery w:val="1"/>
  <w:doNotShadeFormData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xOTVkN2ZmMjVjM2EzNTY4MWNhM2I2OGZkMjAyOTMifQ=="/>
  </w:docVars>
  <w:rsids>
    <w:rsidRoot w:val="00172A27"/>
    <w:rsid w:val="00005B20"/>
    <w:rsid w:val="000401DE"/>
    <w:rsid w:val="000A03ED"/>
    <w:rsid w:val="000B417A"/>
    <w:rsid w:val="000B72CA"/>
    <w:rsid w:val="00104E8F"/>
    <w:rsid w:val="00150367"/>
    <w:rsid w:val="001D6EB1"/>
    <w:rsid w:val="001E1D86"/>
    <w:rsid w:val="002E315A"/>
    <w:rsid w:val="0037324E"/>
    <w:rsid w:val="00373F51"/>
    <w:rsid w:val="004338CD"/>
    <w:rsid w:val="00570EC6"/>
    <w:rsid w:val="00574CF4"/>
    <w:rsid w:val="005B0E8C"/>
    <w:rsid w:val="005B6521"/>
    <w:rsid w:val="005B782D"/>
    <w:rsid w:val="00674178"/>
    <w:rsid w:val="006E0B94"/>
    <w:rsid w:val="007113D0"/>
    <w:rsid w:val="007D0965"/>
    <w:rsid w:val="007F5072"/>
    <w:rsid w:val="00816719"/>
    <w:rsid w:val="0099163D"/>
    <w:rsid w:val="00996BD7"/>
    <w:rsid w:val="00AC6901"/>
    <w:rsid w:val="00B05377"/>
    <w:rsid w:val="00B60AA8"/>
    <w:rsid w:val="00BC67DB"/>
    <w:rsid w:val="00BC7AFE"/>
    <w:rsid w:val="00BE25EB"/>
    <w:rsid w:val="00C11CF1"/>
    <w:rsid w:val="00C1290F"/>
    <w:rsid w:val="00C6418E"/>
    <w:rsid w:val="00CB0AE4"/>
    <w:rsid w:val="00D01FDF"/>
    <w:rsid w:val="00D20C6C"/>
    <w:rsid w:val="00D27E59"/>
    <w:rsid w:val="00D50A5B"/>
    <w:rsid w:val="00DF13ED"/>
    <w:rsid w:val="00DF6EF3"/>
    <w:rsid w:val="00E06F3A"/>
    <w:rsid w:val="00E32368"/>
    <w:rsid w:val="00E5737A"/>
    <w:rsid w:val="00F4267A"/>
    <w:rsid w:val="00F43D95"/>
    <w:rsid w:val="00F66893"/>
    <w:rsid w:val="00F74BD4"/>
    <w:rsid w:val="00FC3552"/>
    <w:rsid w:val="00FE28CD"/>
    <w:rsid w:val="013F06BB"/>
    <w:rsid w:val="02427EBA"/>
    <w:rsid w:val="03260CCE"/>
    <w:rsid w:val="043E7A51"/>
    <w:rsid w:val="044F5343"/>
    <w:rsid w:val="04A622A9"/>
    <w:rsid w:val="04D068B1"/>
    <w:rsid w:val="050D26DB"/>
    <w:rsid w:val="052E6872"/>
    <w:rsid w:val="066C4152"/>
    <w:rsid w:val="09FD3733"/>
    <w:rsid w:val="0A170AE6"/>
    <w:rsid w:val="0AD57AFE"/>
    <w:rsid w:val="0CF468C8"/>
    <w:rsid w:val="0DF209A5"/>
    <w:rsid w:val="0E521164"/>
    <w:rsid w:val="0E573811"/>
    <w:rsid w:val="0E923694"/>
    <w:rsid w:val="0ECD73F3"/>
    <w:rsid w:val="0FFB446A"/>
    <w:rsid w:val="1003048B"/>
    <w:rsid w:val="10B368BF"/>
    <w:rsid w:val="10FB3E59"/>
    <w:rsid w:val="115817F0"/>
    <w:rsid w:val="12214C0C"/>
    <w:rsid w:val="12B202F7"/>
    <w:rsid w:val="12C456AB"/>
    <w:rsid w:val="12D56777"/>
    <w:rsid w:val="12DA5447"/>
    <w:rsid w:val="12E43543"/>
    <w:rsid w:val="12EB2FF5"/>
    <w:rsid w:val="148766FE"/>
    <w:rsid w:val="15273819"/>
    <w:rsid w:val="152B47AC"/>
    <w:rsid w:val="152D5DFF"/>
    <w:rsid w:val="15BF3224"/>
    <w:rsid w:val="16573B76"/>
    <w:rsid w:val="168327E3"/>
    <w:rsid w:val="17864AE5"/>
    <w:rsid w:val="17D8084E"/>
    <w:rsid w:val="186C0551"/>
    <w:rsid w:val="18AD7E25"/>
    <w:rsid w:val="18D83EA0"/>
    <w:rsid w:val="19834C82"/>
    <w:rsid w:val="1A176D74"/>
    <w:rsid w:val="1ABB34DB"/>
    <w:rsid w:val="1C355FAD"/>
    <w:rsid w:val="1CE13FEE"/>
    <w:rsid w:val="1D05325B"/>
    <w:rsid w:val="1D65684E"/>
    <w:rsid w:val="21C851AF"/>
    <w:rsid w:val="21E7701E"/>
    <w:rsid w:val="22AA257E"/>
    <w:rsid w:val="234052E2"/>
    <w:rsid w:val="23420546"/>
    <w:rsid w:val="24335B6F"/>
    <w:rsid w:val="24891ED1"/>
    <w:rsid w:val="250F74CA"/>
    <w:rsid w:val="25BB3071"/>
    <w:rsid w:val="25D75396"/>
    <w:rsid w:val="264004B6"/>
    <w:rsid w:val="267351A5"/>
    <w:rsid w:val="26C7445C"/>
    <w:rsid w:val="27272392"/>
    <w:rsid w:val="29472593"/>
    <w:rsid w:val="29691DF3"/>
    <w:rsid w:val="297C70C3"/>
    <w:rsid w:val="29A23A18"/>
    <w:rsid w:val="2A2A156A"/>
    <w:rsid w:val="2C703617"/>
    <w:rsid w:val="2D230AE5"/>
    <w:rsid w:val="2D5D12AE"/>
    <w:rsid w:val="2E6E3B96"/>
    <w:rsid w:val="2EFD0E77"/>
    <w:rsid w:val="2F313D95"/>
    <w:rsid w:val="2FE91F3D"/>
    <w:rsid w:val="2FF16F98"/>
    <w:rsid w:val="30660348"/>
    <w:rsid w:val="31A66D18"/>
    <w:rsid w:val="32023C49"/>
    <w:rsid w:val="335A4E86"/>
    <w:rsid w:val="33895D63"/>
    <w:rsid w:val="34F00CCB"/>
    <w:rsid w:val="352E0DD1"/>
    <w:rsid w:val="35632959"/>
    <w:rsid w:val="361D3DDF"/>
    <w:rsid w:val="36273215"/>
    <w:rsid w:val="36622BD3"/>
    <w:rsid w:val="36935EFB"/>
    <w:rsid w:val="36D24C9C"/>
    <w:rsid w:val="371800C8"/>
    <w:rsid w:val="382E1E74"/>
    <w:rsid w:val="38516A91"/>
    <w:rsid w:val="39304CD6"/>
    <w:rsid w:val="396C5CF5"/>
    <w:rsid w:val="3ACA3C80"/>
    <w:rsid w:val="3B3D75BC"/>
    <w:rsid w:val="3B3E0A5D"/>
    <w:rsid w:val="3BE36918"/>
    <w:rsid w:val="3CE64258"/>
    <w:rsid w:val="3D070DF0"/>
    <w:rsid w:val="3D387343"/>
    <w:rsid w:val="3D72442A"/>
    <w:rsid w:val="3E41682A"/>
    <w:rsid w:val="3EC42287"/>
    <w:rsid w:val="3F41329F"/>
    <w:rsid w:val="3FD04660"/>
    <w:rsid w:val="40665EDF"/>
    <w:rsid w:val="40684A53"/>
    <w:rsid w:val="427960E3"/>
    <w:rsid w:val="42F93CD3"/>
    <w:rsid w:val="434D42A3"/>
    <w:rsid w:val="45765583"/>
    <w:rsid w:val="47E36C54"/>
    <w:rsid w:val="48603E60"/>
    <w:rsid w:val="48662187"/>
    <w:rsid w:val="48B969DD"/>
    <w:rsid w:val="48D92A3A"/>
    <w:rsid w:val="493F10BC"/>
    <w:rsid w:val="49405F6F"/>
    <w:rsid w:val="49552891"/>
    <w:rsid w:val="499D2122"/>
    <w:rsid w:val="49A977BC"/>
    <w:rsid w:val="4A016C36"/>
    <w:rsid w:val="4B194F67"/>
    <w:rsid w:val="4B876778"/>
    <w:rsid w:val="4D36556B"/>
    <w:rsid w:val="4D536CE8"/>
    <w:rsid w:val="4DE3111B"/>
    <w:rsid w:val="4E8F78DF"/>
    <w:rsid w:val="4EB86BD3"/>
    <w:rsid w:val="50821119"/>
    <w:rsid w:val="51076769"/>
    <w:rsid w:val="522A04A5"/>
    <w:rsid w:val="52BA6597"/>
    <w:rsid w:val="538F7E27"/>
    <w:rsid w:val="53D03407"/>
    <w:rsid w:val="53F908C0"/>
    <w:rsid w:val="53FB76C4"/>
    <w:rsid w:val="5409197E"/>
    <w:rsid w:val="55BF269E"/>
    <w:rsid w:val="55BF70D7"/>
    <w:rsid w:val="560F4688"/>
    <w:rsid w:val="56304AE5"/>
    <w:rsid w:val="57952486"/>
    <w:rsid w:val="58001956"/>
    <w:rsid w:val="5869723C"/>
    <w:rsid w:val="58F63270"/>
    <w:rsid w:val="595C43BD"/>
    <w:rsid w:val="597F144F"/>
    <w:rsid w:val="5A047658"/>
    <w:rsid w:val="5AD25FCF"/>
    <w:rsid w:val="5B8B4ABE"/>
    <w:rsid w:val="5D135140"/>
    <w:rsid w:val="5D216F62"/>
    <w:rsid w:val="5E513B00"/>
    <w:rsid w:val="5EE91315"/>
    <w:rsid w:val="60443331"/>
    <w:rsid w:val="606357F4"/>
    <w:rsid w:val="60A67E94"/>
    <w:rsid w:val="60DF20D7"/>
    <w:rsid w:val="618D5DAE"/>
    <w:rsid w:val="61FD7DDA"/>
    <w:rsid w:val="62334D70"/>
    <w:rsid w:val="62BB7D90"/>
    <w:rsid w:val="62DB44B9"/>
    <w:rsid w:val="6522340E"/>
    <w:rsid w:val="65B23EF4"/>
    <w:rsid w:val="66A81479"/>
    <w:rsid w:val="66A95D5A"/>
    <w:rsid w:val="6754112F"/>
    <w:rsid w:val="67D81B6B"/>
    <w:rsid w:val="68A259CB"/>
    <w:rsid w:val="6A0A56D6"/>
    <w:rsid w:val="6A902414"/>
    <w:rsid w:val="6AD51741"/>
    <w:rsid w:val="6B1D20C6"/>
    <w:rsid w:val="6B634235"/>
    <w:rsid w:val="6B650E4C"/>
    <w:rsid w:val="6B7F6169"/>
    <w:rsid w:val="6B8963EB"/>
    <w:rsid w:val="6B8A3022"/>
    <w:rsid w:val="6CA809ED"/>
    <w:rsid w:val="6D5D49AC"/>
    <w:rsid w:val="6D671DE8"/>
    <w:rsid w:val="6E561D6C"/>
    <w:rsid w:val="6F462B01"/>
    <w:rsid w:val="70650D0F"/>
    <w:rsid w:val="70782A91"/>
    <w:rsid w:val="70B135B2"/>
    <w:rsid w:val="70DE6710"/>
    <w:rsid w:val="7161525D"/>
    <w:rsid w:val="719D13AF"/>
    <w:rsid w:val="722912B6"/>
    <w:rsid w:val="72477A2C"/>
    <w:rsid w:val="72912D58"/>
    <w:rsid w:val="729A0387"/>
    <w:rsid w:val="730C2E18"/>
    <w:rsid w:val="73BD0150"/>
    <w:rsid w:val="74713E21"/>
    <w:rsid w:val="74755297"/>
    <w:rsid w:val="74AA6847"/>
    <w:rsid w:val="754F6EE3"/>
    <w:rsid w:val="7656207F"/>
    <w:rsid w:val="76FA4B99"/>
    <w:rsid w:val="77477CB1"/>
    <w:rsid w:val="776D12E1"/>
    <w:rsid w:val="77A6483F"/>
    <w:rsid w:val="78736C40"/>
    <w:rsid w:val="78BF7EB2"/>
    <w:rsid w:val="78FB50BD"/>
    <w:rsid w:val="78FE5676"/>
    <w:rsid w:val="7BA67632"/>
    <w:rsid w:val="7DAE2CEF"/>
    <w:rsid w:val="7DEE608A"/>
    <w:rsid w:val="7EB7007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semiHidden="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2">
    <w:name w:val="heading 1"/>
    <w:basedOn w:val="1"/>
    <w:next w:val="1"/>
    <w:link w:val="17"/>
    <w:qFormat/>
    <w:uiPriority w:val="0"/>
    <w:pPr>
      <w:keepNext/>
      <w:keepLines/>
      <w:numPr>
        <w:ilvl w:val="0"/>
        <w:numId w:val="1"/>
      </w:numPr>
      <w:outlineLvl w:val="0"/>
    </w:pPr>
    <w:rPr>
      <w:rFonts w:ascii="Calibri" w:hAnsi="Calibri" w:eastAsia="宋体" w:cs="Times New Roman"/>
      <w:b/>
      <w:bCs/>
      <w:kern w:val="44"/>
      <w:szCs w:val="44"/>
    </w:rPr>
  </w:style>
  <w:style w:type="paragraph" w:styleId="3">
    <w:name w:val="heading 2"/>
    <w:basedOn w:val="1"/>
    <w:next w:val="1"/>
    <w:link w:val="18"/>
    <w:qFormat/>
    <w:uiPriority w:val="0"/>
    <w:pPr>
      <w:keepNext/>
      <w:keepLines/>
      <w:numPr>
        <w:ilvl w:val="1"/>
        <w:numId w:val="1"/>
      </w:numPr>
      <w:outlineLvl w:val="1"/>
    </w:pPr>
    <w:rPr>
      <w:rFonts w:ascii="Calibri" w:hAnsi="Arial" w:eastAsia="宋体" w:cs="Times New Roman"/>
      <w:b/>
      <w:bCs/>
      <w:szCs w:val="32"/>
    </w:rPr>
  </w:style>
  <w:style w:type="paragraph" w:styleId="4">
    <w:name w:val="heading 3"/>
    <w:basedOn w:val="1"/>
    <w:next w:val="1"/>
    <w:qFormat/>
    <w:uiPriority w:val="0"/>
    <w:pPr>
      <w:keepNext/>
      <w:keepLines/>
      <w:spacing w:before="260" w:beforeLines="0" w:after="260" w:afterLines="0" w:line="413" w:lineRule="auto"/>
      <w:outlineLvl w:val="2"/>
    </w:pPr>
    <w:rPr>
      <w:rFonts w:ascii="Calibri" w:hAnsi="Calibri" w:eastAsia="宋体" w:cs="Times New Roman"/>
      <w:b/>
      <w:bCs/>
      <w:sz w:val="32"/>
      <w:szCs w:val="32"/>
    </w:rPr>
  </w:style>
  <w:style w:type="character" w:default="1" w:styleId="14">
    <w:name w:val="Default Paragraph Font"/>
    <w:qFormat/>
    <w:uiPriority w:val="0"/>
    <w:rPr>
      <w:rFonts w:ascii="Calibri" w:hAnsi="Calibri" w:eastAsia="宋体" w:cs="Times New Roman"/>
    </w:rPr>
  </w:style>
  <w:style w:type="table" w:default="1" w:styleId="13">
    <w:name w:val="Normal Table"/>
    <w:qFormat/>
    <w:uiPriority w:val="0"/>
    <w:rPr>
      <w:rFonts w:ascii="Calibri" w:hAnsi="Calibri" w:eastAsia="宋体" w:cs="Times New Roman"/>
    </w:rPr>
    <w:tblPr>
      <w:tblCellMar>
        <w:top w:w="0" w:type="dxa"/>
        <w:left w:w="108" w:type="dxa"/>
        <w:bottom w:w="0" w:type="dxa"/>
        <w:right w:w="108" w:type="dxa"/>
      </w:tblCellMar>
    </w:tblPr>
  </w:style>
  <w:style w:type="paragraph" w:styleId="5">
    <w:name w:val="Normal Indent"/>
    <w:basedOn w:val="1"/>
    <w:link w:val="19"/>
    <w:qFormat/>
    <w:uiPriority w:val="0"/>
    <w:pPr>
      <w:ind w:firstLine="420" w:firstLineChars="200"/>
    </w:pPr>
    <w:rPr>
      <w:rFonts w:ascii="Times New Roman" w:hAnsi="Calibri" w:eastAsia="宋体" w:cs="Times New Roman"/>
      <w:sz w:val="21"/>
    </w:rPr>
  </w:style>
  <w:style w:type="paragraph" w:styleId="6">
    <w:name w:val="Body Text"/>
    <w:basedOn w:val="7"/>
    <w:next w:val="7"/>
    <w:qFormat/>
    <w:uiPriority w:val="0"/>
    <w:pPr>
      <w:spacing w:after="120" w:line="240" w:lineRule="auto"/>
    </w:pPr>
  </w:style>
  <w:style w:type="paragraph" w:styleId="7">
    <w:name w:val="Title"/>
    <w:basedOn w:val="1"/>
    <w:next w:val="1"/>
    <w:qFormat/>
    <w:uiPriority w:val="0"/>
    <w:pPr>
      <w:spacing w:before="240" w:after="60"/>
      <w:jc w:val="center"/>
      <w:outlineLvl w:val="0"/>
    </w:pPr>
    <w:rPr>
      <w:rFonts w:ascii="Arial" w:hAnsi="Arial" w:cs="Arial"/>
      <w:b/>
      <w:bCs/>
      <w:sz w:val="32"/>
      <w:szCs w:val="32"/>
    </w:rPr>
  </w:style>
  <w:style w:type="paragraph" w:styleId="8">
    <w:name w:val="Plain Text"/>
    <w:basedOn w:val="1"/>
    <w:qFormat/>
    <w:uiPriority w:val="0"/>
    <w:pPr>
      <w:spacing w:line="240" w:lineRule="auto"/>
    </w:pPr>
    <w:rPr>
      <w:rFonts w:ascii="Calibri" w:hAnsi="Courier New" w:eastAsia="宋体" w:cs="Times New Roman"/>
      <w:sz w:val="21"/>
      <w:szCs w:val="20"/>
    </w:rPr>
  </w:style>
  <w:style w:type="paragraph" w:styleId="9">
    <w:name w:val="footer"/>
    <w:basedOn w:val="1"/>
    <w:link w:val="20"/>
    <w:qFormat/>
    <w:uiPriority w:val="0"/>
    <w:pPr>
      <w:tabs>
        <w:tab w:val="center" w:pos="4153"/>
        <w:tab w:val="right" w:pos="8306"/>
      </w:tabs>
      <w:snapToGrid w:val="0"/>
      <w:spacing w:line="240" w:lineRule="auto"/>
      <w:jc w:val="left"/>
    </w:pPr>
    <w:rPr>
      <w:rFonts w:ascii="Calibri" w:hAnsi="Calibri" w:eastAsia="宋体" w:cs="Times New Roman"/>
      <w:sz w:val="18"/>
      <w:szCs w:val="18"/>
    </w:rPr>
  </w:style>
  <w:style w:type="paragraph" w:styleId="10">
    <w:name w:val="header"/>
    <w:basedOn w:val="1"/>
    <w:link w:val="21"/>
    <w:qFormat/>
    <w:uiPriority w:val="0"/>
    <w:pPr>
      <w:pBdr>
        <w:bottom w:val="single" w:color="auto" w:sz="6" w:space="1"/>
      </w:pBdr>
      <w:tabs>
        <w:tab w:val="center" w:pos="4153"/>
        <w:tab w:val="right" w:pos="8306"/>
      </w:tabs>
      <w:snapToGrid w:val="0"/>
      <w:spacing w:line="240" w:lineRule="auto"/>
      <w:jc w:val="center"/>
    </w:pPr>
    <w:rPr>
      <w:rFonts w:ascii="Calibri" w:hAnsi="Calibri" w:eastAsia="宋体" w:cs="Times New Roman"/>
      <w:kern w:val="0"/>
      <w:sz w:val="18"/>
      <w:szCs w:val="18"/>
    </w:rPr>
  </w:style>
  <w:style w:type="paragraph" w:styleId="11">
    <w:name w:val="toc 1"/>
    <w:basedOn w:val="1"/>
    <w:next w:val="1"/>
    <w:qFormat/>
    <w:uiPriority w:val="0"/>
    <w:pPr>
      <w:tabs>
        <w:tab w:val="right" w:leader="dot" w:pos="8296"/>
      </w:tabs>
    </w:pPr>
    <w:rPr>
      <w:rFonts w:ascii="Calibri" w:hAnsi="Calibri" w:eastAsia="宋体" w:cs="Times New Roman"/>
    </w:rPr>
  </w:style>
  <w:style w:type="paragraph" w:styleId="12">
    <w:name w:val="Normal (Web)"/>
    <w:basedOn w:val="1"/>
    <w:qFormat/>
    <w:uiPriority w:val="0"/>
    <w:pPr>
      <w:spacing w:line="240" w:lineRule="auto"/>
    </w:pPr>
    <w:rPr>
      <w:rFonts w:ascii="Times New Roman" w:hAnsi="Calibri" w:eastAsia="宋体" w:cs="Times New Roman"/>
      <w:szCs w:val="20"/>
    </w:rPr>
  </w:style>
  <w:style w:type="character" w:styleId="15">
    <w:name w:val="Strong"/>
    <w:qFormat/>
    <w:uiPriority w:val="0"/>
    <w:rPr>
      <w:rFonts w:ascii="Calibri" w:hAnsi="Calibri" w:eastAsia="宋体" w:cs="Times New Roman"/>
      <w:b/>
      <w:bCs/>
    </w:rPr>
  </w:style>
  <w:style w:type="character" w:styleId="16">
    <w:name w:val="Hyperlink"/>
    <w:qFormat/>
    <w:uiPriority w:val="0"/>
    <w:rPr>
      <w:rFonts w:ascii="Calibri" w:hAnsi="Calibri" w:eastAsia="宋体" w:cs="Times New Roman"/>
      <w:color w:val="0000FF"/>
      <w:u w:val="single"/>
    </w:rPr>
  </w:style>
  <w:style w:type="character" w:customStyle="1" w:styleId="17">
    <w:name w:val="标题 1 Char"/>
    <w:link w:val="2"/>
    <w:qFormat/>
    <w:uiPriority w:val="0"/>
    <w:rPr>
      <w:rFonts w:ascii="宋体" w:hAnsi="Times New Roman" w:eastAsia="宋体" w:cs="Times New Roman"/>
      <w:b/>
      <w:bCs/>
      <w:kern w:val="44"/>
      <w:sz w:val="24"/>
      <w:szCs w:val="44"/>
    </w:rPr>
  </w:style>
  <w:style w:type="character" w:customStyle="1" w:styleId="18">
    <w:name w:val="标题 2 Char"/>
    <w:link w:val="3"/>
    <w:qFormat/>
    <w:uiPriority w:val="0"/>
    <w:rPr>
      <w:rFonts w:ascii="宋体" w:hAnsi="Arial" w:eastAsia="宋体" w:cs="Times New Roman"/>
      <w:b/>
      <w:bCs/>
      <w:kern w:val="2"/>
      <w:sz w:val="24"/>
      <w:szCs w:val="32"/>
    </w:rPr>
  </w:style>
  <w:style w:type="character" w:customStyle="1" w:styleId="19">
    <w:name w:val="正文缩进 Char"/>
    <w:link w:val="5"/>
    <w:qFormat/>
    <w:uiPriority w:val="0"/>
    <w:rPr>
      <w:rFonts w:ascii="Times New Roman" w:hAnsi="Times New Roman" w:eastAsia="宋体" w:cs="Times New Roman"/>
      <w:kern w:val="2"/>
      <w:sz w:val="21"/>
      <w:szCs w:val="24"/>
    </w:rPr>
  </w:style>
  <w:style w:type="character" w:customStyle="1" w:styleId="20">
    <w:name w:val="页脚 Char"/>
    <w:link w:val="9"/>
    <w:qFormat/>
    <w:uiPriority w:val="0"/>
    <w:rPr>
      <w:rFonts w:ascii="宋体" w:hAnsi="Times New Roman" w:eastAsia="宋体" w:cs="Times New Roman"/>
      <w:kern w:val="2"/>
      <w:sz w:val="18"/>
      <w:szCs w:val="18"/>
    </w:rPr>
  </w:style>
  <w:style w:type="character" w:customStyle="1" w:styleId="21">
    <w:name w:val="页眉 Char"/>
    <w:link w:val="10"/>
    <w:qFormat/>
    <w:uiPriority w:val="0"/>
    <w:rPr>
      <w:rFonts w:ascii="宋体" w:hAnsi="Calibri" w:eastAsia="宋体" w:cs="Times New Roman"/>
      <w:sz w:val="18"/>
      <w:szCs w:val="18"/>
    </w:rPr>
  </w:style>
  <w:style w:type="character" w:customStyle="1" w:styleId="22">
    <w:name w:val="页眉 Char1"/>
    <w:qFormat/>
    <w:uiPriority w:val="0"/>
    <w:rPr>
      <w:rFonts w:ascii="宋体" w:hAnsi="Times New Roman" w:eastAsia="宋体" w:cs="Times New Roman"/>
      <w:sz w:val="18"/>
      <w:szCs w:val="18"/>
    </w:rPr>
  </w:style>
  <w:style w:type="character" w:customStyle="1" w:styleId="23">
    <w:name w:val="p1"/>
    <w:qFormat/>
    <w:uiPriority w:val="0"/>
    <w:rPr>
      <w:rFonts w:ascii="Calibri" w:hAnsi="Calibri" w:eastAsia="宋体" w:cs="Times New Roman"/>
      <w:sz w:val="18"/>
      <w:szCs w:val="18"/>
    </w:rPr>
  </w:style>
  <w:style w:type="character" w:customStyle="1" w:styleId="24">
    <w:name w:val="样式2 Char Char"/>
    <w:link w:val="25"/>
    <w:qFormat/>
    <w:uiPriority w:val="0"/>
    <w:rPr>
      <w:rFonts w:ascii="宋体" w:hAnsi="Calibri" w:eastAsia="宋体" w:cs="Times New Roman"/>
      <w:sz w:val="24"/>
      <w:szCs w:val="24"/>
    </w:rPr>
  </w:style>
  <w:style w:type="paragraph" w:customStyle="1" w:styleId="25">
    <w:name w:val="样式2"/>
    <w:basedOn w:val="1"/>
    <w:link w:val="24"/>
    <w:qFormat/>
    <w:uiPriority w:val="0"/>
    <w:pPr>
      <w:numPr>
        <w:ilvl w:val="3"/>
        <w:numId w:val="1"/>
      </w:numPr>
    </w:pPr>
    <w:rPr>
      <w:rFonts w:ascii="Calibri" w:hAnsi="Calibri" w:eastAsia="宋体" w:cs="Times New Roman"/>
      <w:kern w:val="0"/>
    </w:rPr>
  </w:style>
  <w:style w:type="character" w:customStyle="1" w:styleId="26">
    <w:name w:val="style21"/>
    <w:basedOn w:val="14"/>
    <w:qFormat/>
    <w:uiPriority w:val="0"/>
    <w:rPr>
      <w:rFonts w:ascii="Calibri" w:hAnsi="Calibri" w:eastAsia="宋体" w:cs="Times New Roman"/>
    </w:rPr>
  </w:style>
  <w:style w:type="paragraph" w:customStyle="1" w:styleId="27">
    <w:name w:val="样式1"/>
    <w:basedOn w:val="1"/>
    <w:qFormat/>
    <w:uiPriority w:val="0"/>
    <w:pPr>
      <w:numPr>
        <w:ilvl w:val="2"/>
        <w:numId w:val="1"/>
      </w:numPr>
    </w:pPr>
    <w:rPr>
      <w:rFonts w:ascii="Calibri" w:hAnsi="Calibri" w:eastAsia="宋体" w:cs="Times New Roman"/>
    </w:rPr>
  </w:style>
  <w:style w:type="paragraph" w:customStyle="1" w:styleId="28">
    <w:name w:val="首行缩进"/>
    <w:basedOn w:val="1"/>
    <w:qFormat/>
    <w:uiPriority w:val="0"/>
    <w:pPr>
      <w:spacing w:line="300" w:lineRule="auto"/>
      <w:ind w:firstLine="420" w:firstLineChars="200"/>
    </w:pPr>
    <w:rPr>
      <w:rFonts w:eastAsia="方正书宋简体"/>
    </w:rPr>
  </w:style>
  <w:style w:type="paragraph" w:customStyle="1" w:styleId="29">
    <w:name w:val="样式 标题 2"/>
    <w:basedOn w:val="3"/>
    <w:qFormat/>
    <w:uiPriority w:val="0"/>
    <w:rPr>
      <w:rFonts w:ascii="Calibri" w:hAnsi="Calibri" w:eastAsia="宋体" w:cs="Times New Roman"/>
      <w:b w:val="0"/>
      <w:bCs w:val="0"/>
    </w:rPr>
  </w:style>
  <w:style w:type="paragraph" w:customStyle="1" w:styleId="30">
    <w:name w:val="目录 21"/>
    <w:basedOn w:val="1"/>
    <w:next w:val="1"/>
    <w:qFormat/>
    <w:uiPriority w:val="0"/>
    <w:pPr>
      <w:spacing w:before="100" w:beforeAutospacing="1" w:after="100" w:afterAutospacing="1" w:line="240" w:lineRule="auto"/>
      <w:ind w:left="420" w:leftChars="200"/>
    </w:pPr>
    <w:rPr>
      <w:rFonts w:cs="Times New Roman"/>
    </w:rPr>
  </w:style>
  <w:style w:type="table" w:customStyle="1" w:styleId="31">
    <w:name w:val="普通表格1"/>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2433</Words>
  <Characters>2544</Characters>
  <Lines>15</Lines>
  <Paragraphs>4</Paragraphs>
  <TotalTime>21</TotalTime>
  <ScaleCrop>false</ScaleCrop>
  <LinksUpToDate>false</LinksUpToDate>
  <CharactersWithSpaces>2570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2017-06-12T10:12:00Z</dcterms:created>
  <dc:creator>zhong_shiyu</dc:creator>
  <cp:lastModifiedBy>076DCA156A6C4BCCA484CDEE0E48426F</cp:lastModifiedBy>
  <dcterms:modified xsi:type="dcterms:W3CDTF">2025-11-21T08:29:44Z</dcterms:modified>
  <dc:title>XXXXX</dc:title>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C7DBE84D02EB4FFCADECD04C31226602</vt:lpwstr>
  </property>
  <property fmtid="{D5CDD505-2E9C-101B-9397-08002B2CF9AE}" pid="4" name="KSOTemplateDocerSaveRecord">
    <vt:lpwstr>eyJoZGlkIjoiN2ZlZGYzYTVhMjE5NzZjNTllY2MwOGYxMzFiMzI1ODciLCJ1c2VySWQiOiIxMDM1MjMyNjc4In0=</vt:lpwstr>
  </property>
</Properties>
</file>