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widowControl w:val="0"/>
        <w:kinsoku/>
        <w:wordWrap/>
        <w:overflowPunct/>
        <w:topLinePunct w:val="0"/>
        <w:autoSpaceDE/>
        <w:autoSpaceDN/>
        <w:bidi w:val="0"/>
        <w:adjustRightInd/>
        <w:snapToGrid/>
        <w:spacing w:before="100" w:beforeAutospacing="1" w:after="100" w:afterAutospacing="1" w:line="240" w:lineRule="auto"/>
        <w:ind w:left="0" w:leftChars="0" w:firstLine="0" w:firstLineChars="0"/>
        <w:jc w:val="center"/>
        <w:textAlignment w:val="auto"/>
        <w:rPr>
          <w:rFonts w:hint="eastAsia"/>
          <w:b/>
          <w:bCs/>
          <w:color w:val="auto"/>
          <w:sz w:val="32"/>
          <w:highlight w:val="none"/>
          <w:lang w:val="en-US" w:eastAsia="zh-CN"/>
        </w:rPr>
      </w:pPr>
      <w:r>
        <w:rPr>
          <w:rFonts w:ascii="Times New Roman" w:eastAsia="黑体"/>
          <w:color w:val="auto"/>
          <w:sz w:val="48"/>
          <w:szCs w:val="48"/>
          <w:highlight w:val="none"/>
        </w:rPr>
        <w:drawing>
          <wp:anchor distT="0" distB="0" distL="114300" distR="114300" simplePos="0" relativeHeight="251660288" behindDoc="0" locked="0" layoutInCell="1" allowOverlap="1">
            <wp:simplePos x="0" y="0"/>
            <wp:positionH relativeFrom="column">
              <wp:posOffset>-1455420</wp:posOffset>
            </wp:positionH>
            <wp:positionV relativeFrom="paragraph">
              <wp:posOffset>-981075</wp:posOffset>
            </wp:positionV>
            <wp:extent cx="8915400" cy="2733675"/>
            <wp:effectExtent l="0" t="0" r="0" b="9525"/>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8" cstate="print"/>
                    <a:srcRect/>
                    <a:stretch>
                      <a:fillRect/>
                    </a:stretch>
                  </pic:blipFill>
                  <pic:spPr>
                    <a:xfrm>
                      <a:off x="0" y="0"/>
                      <a:ext cx="8915400" cy="2733675"/>
                    </a:xfrm>
                    <a:prstGeom prst="rect">
                      <a:avLst/>
                    </a:prstGeom>
                    <a:noFill/>
                    <a:ln w="9525">
                      <a:noFill/>
                      <a:miter lim="800000"/>
                      <a:headEnd/>
                      <a:tailEnd/>
                    </a:ln>
                  </pic:spPr>
                </pic:pic>
              </a:graphicData>
            </a:graphic>
          </wp:anchor>
        </w:drawing>
      </w: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widowControl/>
        <w:spacing w:beforeLines="50" w:afterLines="50" w:line="560" w:lineRule="atLeast"/>
        <w:ind w:left="0" w:leftChars="0" w:firstLine="0" w:firstLineChars="0"/>
        <w:jc w:val="left"/>
        <w:outlineLvl w:val="0"/>
        <w:rPr>
          <w:rFonts w:hint="eastAsia" w:ascii="Times New Roman" w:eastAsia="楷体_GB2312"/>
          <w:b/>
          <w:color w:val="auto"/>
          <w:position w:val="16"/>
          <w:sz w:val="56"/>
          <w:szCs w:val="72"/>
          <w:highlight w:val="none"/>
          <w:lang w:eastAsia="zh-CN"/>
        </w:rPr>
      </w:pPr>
    </w:p>
    <w:p>
      <w:pPr>
        <w:keepNext w:val="0"/>
        <w:keepLines w:val="0"/>
        <w:pageBreakBefore w:val="0"/>
        <w:widowControl/>
        <w:kinsoku/>
        <w:wordWrap/>
        <w:overflowPunct/>
        <w:topLinePunct w:val="0"/>
        <w:autoSpaceDE/>
        <w:autoSpaceDN/>
        <w:bidi w:val="0"/>
        <w:adjustRightInd/>
        <w:snapToGrid/>
        <w:spacing w:beforeLines="50" w:afterLines="50" w:line="560" w:lineRule="atLeast"/>
        <w:ind w:firstLine="0" w:firstLineChars="0"/>
        <w:jc w:val="center"/>
        <w:textAlignment w:val="auto"/>
        <w:outlineLvl w:val="0"/>
        <w:rPr>
          <w:rFonts w:hint="eastAsia" w:ascii="Times New Roman" w:eastAsia="楷体_GB2312"/>
          <w:b/>
          <w:color w:val="auto"/>
          <w:position w:val="16"/>
          <w:sz w:val="56"/>
          <w:szCs w:val="72"/>
          <w:highlight w:val="none"/>
        </w:rPr>
      </w:pPr>
      <w:r>
        <w:rPr>
          <w:rFonts w:hint="eastAsia" w:ascii="Times New Roman" w:eastAsia="楷体_GB2312"/>
          <w:b/>
          <w:color w:val="auto"/>
          <w:position w:val="16"/>
          <w:sz w:val="56"/>
          <w:szCs w:val="72"/>
          <w:highlight w:val="none"/>
          <w:lang w:val="en-US" w:eastAsia="zh-CN"/>
        </w:rPr>
        <w:t>鲁厂</w:t>
      </w:r>
      <w:r>
        <w:rPr>
          <w:rFonts w:hint="eastAsia" w:eastAsia="楷体_GB2312"/>
          <w:b/>
          <w:color w:val="auto"/>
          <w:position w:val="16"/>
          <w:sz w:val="56"/>
          <w:szCs w:val="72"/>
          <w:highlight w:val="none"/>
          <w:lang w:val="en-US" w:eastAsia="zh-CN"/>
        </w:rPr>
        <w:t>2025年</w:t>
      </w:r>
      <w:r>
        <w:rPr>
          <w:rFonts w:hint="eastAsia" w:ascii="Times New Roman" w:eastAsia="楷体_GB2312"/>
          <w:b/>
          <w:color w:val="auto"/>
          <w:position w:val="16"/>
          <w:sz w:val="56"/>
          <w:szCs w:val="72"/>
          <w:highlight w:val="none"/>
          <w:lang w:val="en-US" w:eastAsia="zh-CN"/>
        </w:rPr>
        <w:t>水工建筑物监测自动化改造项目入网安全测评</w:t>
      </w:r>
    </w:p>
    <w:p>
      <w:pPr>
        <w:keepNext w:val="0"/>
        <w:keepLines w:val="0"/>
        <w:pageBreakBefore w:val="0"/>
        <w:widowControl/>
        <w:kinsoku/>
        <w:wordWrap/>
        <w:overflowPunct/>
        <w:topLinePunct w:val="0"/>
        <w:autoSpaceDE/>
        <w:autoSpaceDN/>
        <w:bidi w:val="0"/>
        <w:adjustRightInd/>
        <w:snapToGrid/>
        <w:spacing w:beforeLines="50" w:afterLines="50" w:line="560" w:lineRule="atLeast"/>
        <w:ind w:firstLine="0" w:firstLineChars="0"/>
        <w:jc w:val="center"/>
        <w:textAlignment w:val="auto"/>
        <w:outlineLvl w:val="0"/>
        <w:rPr>
          <w:rFonts w:hint="eastAsia" w:ascii="Times New Roman" w:eastAsia="楷体_GB2312"/>
          <w:b/>
          <w:color w:val="auto"/>
          <w:position w:val="16"/>
          <w:sz w:val="56"/>
          <w:szCs w:val="72"/>
          <w:highlight w:val="none"/>
        </w:rPr>
      </w:pPr>
      <w:bookmarkStart w:id="0" w:name="_Toc30650"/>
      <w:bookmarkStart w:id="1" w:name="_Toc5084"/>
      <w:r>
        <w:rPr>
          <w:rFonts w:hint="eastAsia" w:ascii="Times New Roman" w:eastAsia="楷体_GB2312"/>
          <w:b/>
          <w:color w:val="auto"/>
          <w:position w:val="16"/>
          <w:sz w:val="56"/>
          <w:szCs w:val="72"/>
          <w:highlight w:val="none"/>
        </w:rPr>
        <w:t>技术规范书</w:t>
      </w:r>
      <w:bookmarkEnd w:id="0"/>
      <w:bookmarkEnd w:id="1"/>
    </w:p>
    <w:p>
      <w:pPr>
        <w:widowControl/>
        <w:spacing w:beforeLines="50" w:afterLines="50" w:line="560" w:lineRule="atLeast"/>
        <w:jc w:val="left"/>
        <w:outlineLvl w:val="0"/>
        <w:rPr>
          <w:rFonts w:hint="eastAsia" w:ascii="Times New Roman" w:eastAsia="楷体_GB2312"/>
          <w:b/>
          <w:color w:val="auto"/>
          <w:position w:val="16"/>
          <w:sz w:val="56"/>
          <w:szCs w:val="72"/>
          <w:highlight w:val="none"/>
        </w:rPr>
      </w:pPr>
    </w:p>
    <w:p>
      <w:pPr>
        <w:widowControl/>
        <w:spacing w:beforeLines="50" w:afterLines="50" w:line="560" w:lineRule="atLeast"/>
        <w:jc w:val="left"/>
        <w:outlineLvl w:val="0"/>
        <w:rPr>
          <w:rFonts w:hint="eastAsia" w:ascii="Times New Roman" w:eastAsia="楷体_GB2312"/>
          <w:b/>
          <w:color w:val="auto"/>
          <w:position w:val="16"/>
          <w:sz w:val="56"/>
          <w:szCs w:val="72"/>
          <w:highlight w:val="none"/>
        </w:rPr>
      </w:pPr>
    </w:p>
    <w:p>
      <w:pPr>
        <w:widowControl/>
        <w:spacing w:beforeLines="50" w:afterLines="50" w:line="560" w:lineRule="atLeast"/>
        <w:jc w:val="left"/>
        <w:outlineLvl w:val="0"/>
        <w:rPr>
          <w:rFonts w:hint="eastAsia" w:ascii="Times New Roman" w:eastAsia="楷体_GB2312"/>
          <w:b/>
          <w:color w:val="auto"/>
          <w:position w:val="16"/>
          <w:sz w:val="56"/>
          <w:szCs w:val="72"/>
          <w:highlight w:val="none"/>
        </w:rPr>
      </w:pPr>
    </w:p>
    <w:p>
      <w:pPr>
        <w:widowControl/>
        <w:spacing w:beforeLines="50" w:afterLines="50" w:line="560" w:lineRule="atLeast"/>
        <w:jc w:val="left"/>
        <w:outlineLvl w:val="0"/>
        <w:rPr>
          <w:rFonts w:hint="eastAsia" w:eastAsia="楷体_GB2312"/>
          <w:b/>
          <w:color w:val="auto"/>
          <w:position w:val="16"/>
          <w:sz w:val="36"/>
          <w:highlight w:val="none"/>
        </w:rPr>
      </w:pPr>
    </w:p>
    <w:p>
      <w:pPr>
        <w:widowControl/>
        <w:spacing w:beforeLines="50" w:afterLines="50" w:line="560" w:lineRule="atLeast"/>
        <w:jc w:val="left"/>
        <w:outlineLvl w:val="0"/>
        <w:rPr>
          <w:rFonts w:hint="eastAsia" w:eastAsia="楷体_GB2312"/>
          <w:b/>
          <w:color w:val="auto"/>
          <w:position w:val="16"/>
          <w:sz w:val="36"/>
          <w:highlight w:val="none"/>
        </w:rPr>
      </w:pPr>
    </w:p>
    <w:p>
      <w:pPr>
        <w:widowControl/>
        <w:spacing w:beforeLines="50" w:afterLines="50" w:line="560" w:lineRule="atLeast"/>
        <w:jc w:val="left"/>
        <w:outlineLvl w:val="0"/>
        <w:rPr>
          <w:rFonts w:hint="eastAsia" w:eastAsia="楷体_GB2312"/>
          <w:b/>
          <w:color w:val="auto"/>
          <w:position w:val="16"/>
          <w:sz w:val="36"/>
          <w:highlight w:val="none"/>
        </w:rPr>
      </w:pPr>
      <w:bookmarkStart w:id="24" w:name="_GoBack"/>
      <w:bookmarkEnd w:id="24"/>
    </w:p>
    <w:p>
      <w:pPr>
        <w:widowControl/>
        <w:spacing w:beforeLines="50" w:afterLines="50" w:line="560" w:lineRule="atLeast"/>
        <w:jc w:val="left"/>
        <w:outlineLvl w:val="0"/>
        <w:rPr>
          <w:rFonts w:hint="eastAsia" w:eastAsia="楷体_GB2312"/>
          <w:b/>
          <w:color w:val="auto"/>
          <w:position w:val="16"/>
          <w:sz w:val="36"/>
          <w:highlight w:val="none"/>
        </w:rPr>
      </w:pPr>
    </w:p>
    <w:p>
      <w:pPr>
        <w:keepNext w:val="0"/>
        <w:keepLines w:val="0"/>
        <w:pageBreakBefore w:val="0"/>
        <w:widowControl/>
        <w:kinsoku/>
        <w:wordWrap/>
        <w:overflowPunct/>
        <w:topLinePunct w:val="0"/>
        <w:autoSpaceDE/>
        <w:autoSpaceDN/>
        <w:bidi w:val="0"/>
        <w:adjustRightInd/>
        <w:snapToGrid/>
        <w:spacing w:beforeLines="50" w:afterLines="50" w:line="560" w:lineRule="atLeast"/>
        <w:ind w:firstLine="0" w:firstLineChars="0"/>
        <w:jc w:val="center"/>
        <w:textAlignment w:val="auto"/>
        <w:outlineLvl w:val="0"/>
        <w:sectPr>
          <w:footerReference r:id="rId5" w:type="default"/>
          <w:pgSz w:w="11906" w:h="16839"/>
          <w:pgMar w:top="1431" w:right="1785" w:bottom="400" w:left="1785" w:header="0" w:footer="0" w:gutter="0"/>
          <w:pgNumType w:fmt="decimal"/>
          <w:cols w:space="720" w:num="1"/>
        </w:sectPr>
      </w:pPr>
      <w:bookmarkStart w:id="2" w:name="_Toc23451"/>
      <w:bookmarkStart w:id="3" w:name="_Toc26311"/>
      <w:r>
        <w:rPr>
          <w:rFonts w:hint="eastAsia" w:eastAsia="楷体_GB2312"/>
          <w:b/>
          <w:color w:val="auto"/>
          <w:position w:val="16"/>
          <w:sz w:val="36"/>
          <w:highlight w:val="none"/>
        </w:rPr>
        <w:t>二〇</w:t>
      </w:r>
      <w:r>
        <w:rPr>
          <w:rFonts w:hint="eastAsia" w:eastAsia="楷体_GB2312"/>
          <w:b/>
          <w:color w:val="auto"/>
          <w:position w:val="16"/>
          <w:sz w:val="36"/>
          <w:highlight w:val="none"/>
          <w:lang w:val="en-US" w:eastAsia="zh-CN"/>
        </w:rPr>
        <w:t>二五</w:t>
      </w:r>
      <w:r>
        <w:rPr>
          <w:rFonts w:hint="eastAsia" w:eastAsia="楷体_GB2312"/>
          <w:b/>
          <w:color w:val="auto"/>
          <w:position w:val="16"/>
          <w:sz w:val="36"/>
          <w:highlight w:val="none"/>
        </w:rPr>
        <w:t>年</w:t>
      </w:r>
      <w:r>
        <w:rPr>
          <w:rFonts w:hint="eastAsia" w:eastAsia="楷体_GB2312"/>
          <w:b/>
          <w:color w:val="auto"/>
          <w:position w:val="16"/>
          <w:sz w:val="36"/>
          <w:highlight w:val="none"/>
          <w:lang w:val="en-US" w:eastAsia="zh-CN"/>
        </w:rPr>
        <w:t>十一</w:t>
      </w:r>
      <w:r>
        <w:rPr>
          <w:rFonts w:hint="eastAsia" w:eastAsia="楷体_GB2312"/>
          <w:b/>
          <w:color w:val="auto"/>
          <w:position w:val="16"/>
          <w:sz w:val="36"/>
          <w:highlight w:val="none"/>
        </w:rPr>
        <w:t>月</w:t>
      </w:r>
      <w:bookmarkEnd w:id="2"/>
      <w:bookmarkEnd w:id="3"/>
    </w:p>
    <w:p>
      <w:pPr>
        <w:keepNext w:val="0"/>
        <w:keepLines w:val="0"/>
        <w:pageBreakBefore/>
        <w:widowControl w:val="0"/>
        <w:kinsoku/>
        <w:wordWrap/>
        <w:overflowPunct/>
        <w:topLinePunct w:val="0"/>
        <w:autoSpaceDE/>
        <w:autoSpaceDN/>
        <w:bidi w:val="0"/>
        <w:adjustRightInd/>
        <w:snapToGrid/>
        <w:spacing w:before="100" w:beforeAutospacing="1" w:after="100" w:afterAutospacing="1" w:line="240" w:lineRule="auto"/>
        <w:ind w:left="0" w:leftChars="0" w:firstLine="0" w:firstLineChars="0"/>
        <w:jc w:val="center"/>
        <w:textAlignment w:val="auto"/>
        <w:rPr>
          <w:rFonts w:hint="eastAsia"/>
          <w:b/>
          <w:bCs/>
          <w:color w:val="auto"/>
          <w:sz w:val="96"/>
          <w:szCs w:val="56"/>
          <w:highlight w:val="none"/>
        </w:rPr>
      </w:pPr>
      <w:r>
        <w:rPr>
          <w:rFonts w:hint="eastAsia"/>
          <w:b/>
          <w:bCs/>
          <w:color w:val="auto"/>
          <w:sz w:val="96"/>
          <w:szCs w:val="56"/>
          <w:highlight w:val="none"/>
          <w:lang w:val="en-US" w:eastAsia="zh-CN"/>
        </w:rPr>
        <w:t>目</w:t>
      </w:r>
      <w:r>
        <w:rPr>
          <w:rFonts w:hint="eastAsia"/>
          <w:b/>
          <w:bCs/>
          <w:color w:val="auto"/>
          <w:sz w:val="96"/>
          <w:szCs w:val="56"/>
          <w:highlight w:val="none"/>
        </w:rPr>
        <w:t>录</w:t>
      </w:r>
    </w:p>
    <w:p>
      <w:pPr>
        <w:pStyle w:val="11"/>
        <w:tabs>
          <w:tab w:val="right" w:leader="dot" w:pos="8306"/>
          <w:tab w:val="clear" w:pos="420"/>
          <w:tab w:val="clear" w:pos="8296"/>
        </w:tabs>
      </w:pPr>
      <w:r>
        <w:rPr>
          <w:color w:val="auto"/>
          <w:sz w:val="32"/>
          <w:highlight w:val="none"/>
        </w:rPr>
        <w:fldChar w:fldCharType="begin"/>
      </w:r>
      <w:r>
        <w:rPr>
          <w:color w:val="auto"/>
          <w:sz w:val="32"/>
          <w:highlight w:val="none"/>
        </w:rPr>
        <w:instrText xml:space="preserve">TOC \o "1-3" \u </w:instrText>
      </w:r>
      <w:r>
        <w:rPr>
          <w:color w:val="auto"/>
          <w:sz w:val="32"/>
          <w:highlight w:val="none"/>
        </w:rPr>
        <w:fldChar w:fldCharType="separate"/>
      </w:r>
    </w:p>
    <w:p>
      <w:pPr>
        <w:pStyle w:val="11"/>
        <w:tabs>
          <w:tab w:val="right" w:leader="dot" w:pos="8306"/>
          <w:tab w:val="clear" w:pos="420"/>
          <w:tab w:val="clear" w:pos="8296"/>
        </w:tabs>
        <w:rPr>
          <w:sz w:val="40"/>
          <w:szCs w:val="32"/>
        </w:rPr>
      </w:pPr>
      <w:r>
        <w:rPr>
          <w:rFonts w:hint="eastAsia" w:ascii="黑体" w:hAnsi="黑体" w:eastAsia="黑体" w:cs="黑体"/>
          <w:color w:val="auto"/>
          <w:sz w:val="40"/>
          <w:szCs w:val="48"/>
          <w:highlight w:val="none"/>
          <w:lang w:val="en-US" w:eastAsia="zh-CN"/>
        </w:rPr>
        <w:t>一、技术服务范围</w:t>
      </w:r>
      <w:r>
        <w:rPr>
          <w:sz w:val="40"/>
          <w:szCs w:val="32"/>
        </w:rPr>
        <w:tab/>
      </w:r>
      <w:r>
        <w:rPr>
          <w:sz w:val="40"/>
          <w:szCs w:val="32"/>
        </w:rPr>
        <w:fldChar w:fldCharType="begin"/>
      </w:r>
      <w:r>
        <w:rPr>
          <w:sz w:val="40"/>
          <w:szCs w:val="32"/>
        </w:rPr>
        <w:instrText xml:space="preserve"> PAGEREF _Toc11612 \h </w:instrText>
      </w:r>
      <w:r>
        <w:rPr>
          <w:sz w:val="40"/>
          <w:szCs w:val="32"/>
        </w:rPr>
        <w:fldChar w:fldCharType="separate"/>
      </w:r>
      <w:r>
        <w:rPr>
          <w:sz w:val="40"/>
          <w:szCs w:val="32"/>
        </w:rPr>
        <w:t>3</w:t>
      </w:r>
      <w:r>
        <w:rPr>
          <w:sz w:val="40"/>
          <w:szCs w:val="32"/>
        </w:rPr>
        <w:fldChar w:fldCharType="end"/>
      </w:r>
    </w:p>
    <w:p>
      <w:pPr>
        <w:pStyle w:val="11"/>
        <w:tabs>
          <w:tab w:val="right" w:leader="dot" w:pos="8306"/>
          <w:tab w:val="clear" w:pos="420"/>
          <w:tab w:val="clear" w:pos="8296"/>
        </w:tabs>
        <w:rPr>
          <w:sz w:val="40"/>
          <w:szCs w:val="32"/>
        </w:rPr>
      </w:pPr>
      <w:r>
        <w:rPr>
          <w:rFonts w:hint="eastAsia" w:ascii="黑体" w:hAnsi="黑体" w:eastAsia="黑体" w:cs="黑体"/>
          <w:color w:val="auto"/>
          <w:sz w:val="40"/>
          <w:szCs w:val="48"/>
          <w:highlight w:val="none"/>
          <w:lang w:val="en-US" w:eastAsia="zh-CN"/>
        </w:rPr>
        <w:t>二、技术规范</w:t>
      </w:r>
      <w:r>
        <w:rPr>
          <w:sz w:val="40"/>
          <w:szCs w:val="32"/>
        </w:rPr>
        <w:tab/>
      </w:r>
      <w:r>
        <w:rPr>
          <w:sz w:val="40"/>
          <w:szCs w:val="32"/>
        </w:rPr>
        <w:fldChar w:fldCharType="begin"/>
      </w:r>
      <w:r>
        <w:rPr>
          <w:sz w:val="40"/>
          <w:szCs w:val="32"/>
        </w:rPr>
        <w:instrText xml:space="preserve"> PAGEREF _Toc19600 \h </w:instrText>
      </w:r>
      <w:r>
        <w:rPr>
          <w:sz w:val="40"/>
          <w:szCs w:val="32"/>
        </w:rPr>
        <w:fldChar w:fldCharType="separate"/>
      </w:r>
      <w:r>
        <w:rPr>
          <w:sz w:val="40"/>
          <w:szCs w:val="32"/>
        </w:rPr>
        <w:t>3</w:t>
      </w:r>
      <w:r>
        <w:rPr>
          <w:sz w:val="40"/>
          <w:szCs w:val="32"/>
        </w:rPr>
        <w:fldChar w:fldCharType="end"/>
      </w:r>
    </w:p>
    <w:p>
      <w:pPr>
        <w:pStyle w:val="11"/>
        <w:tabs>
          <w:tab w:val="right" w:leader="dot" w:pos="8306"/>
          <w:tab w:val="clear" w:pos="420"/>
          <w:tab w:val="clear" w:pos="8296"/>
        </w:tabs>
        <w:rPr>
          <w:sz w:val="40"/>
          <w:szCs w:val="32"/>
        </w:rPr>
      </w:pPr>
      <w:r>
        <w:rPr>
          <w:rFonts w:hint="eastAsia" w:ascii="黑体" w:hAnsi="黑体" w:eastAsia="黑体" w:cs="黑体"/>
          <w:sz w:val="40"/>
          <w:szCs w:val="48"/>
          <w:lang w:val="en-US" w:eastAsia="zh-CN"/>
        </w:rPr>
        <w:t>三、技术服务内容</w:t>
      </w:r>
      <w:r>
        <w:rPr>
          <w:sz w:val="40"/>
          <w:szCs w:val="32"/>
        </w:rPr>
        <w:tab/>
      </w:r>
      <w:r>
        <w:rPr>
          <w:sz w:val="40"/>
          <w:szCs w:val="32"/>
        </w:rPr>
        <w:fldChar w:fldCharType="begin"/>
      </w:r>
      <w:r>
        <w:rPr>
          <w:sz w:val="40"/>
          <w:szCs w:val="32"/>
        </w:rPr>
        <w:instrText xml:space="preserve"> PAGEREF _Toc17210 \h </w:instrText>
      </w:r>
      <w:r>
        <w:rPr>
          <w:sz w:val="40"/>
          <w:szCs w:val="32"/>
        </w:rPr>
        <w:fldChar w:fldCharType="separate"/>
      </w:r>
      <w:r>
        <w:rPr>
          <w:sz w:val="40"/>
          <w:szCs w:val="32"/>
        </w:rPr>
        <w:t>5</w:t>
      </w:r>
      <w:r>
        <w:rPr>
          <w:sz w:val="40"/>
          <w:szCs w:val="32"/>
        </w:rPr>
        <w:fldChar w:fldCharType="end"/>
      </w:r>
    </w:p>
    <w:p>
      <w:pPr>
        <w:pStyle w:val="11"/>
        <w:tabs>
          <w:tab w:val="right" w:leader="dot" w:pos="8306"/>
          <w:tab w:val="clear" w:pos="420"/>
          <w:tab w:val="clear" w:pos="8296"/>
        </w:tabs>
        <w:rPr>
          <w:sz w:val="40"/>
          <w:szCs w:val="32"/>
        </w:rPr>
      </w:pPr>
      <w:r>
        <w:rPr>
          <w:rFonts w:hint="eastAsia" w:ascii="黑体" w:hAnsi="黑体" w:eastAsia="黑体" w:cs="黑体"/>
          <w:color w:val="auto"/>
          <w:sz w:val="40"/>
          <w:szCs w:val="48"/>
          <w:highlight w:val="none"/>
          <w:lang w:val="en-US" w:eastAsia="zh-CN"/>
        </w:rPr>
        <w:t>四、技术实施要求</w:t>
      </w:r>
      <w:r>
        <w:rPr>
          <w:sz w:val="40"/>
          <w:szCs w:val="32"/>
        </w:rPr>
        <w:tab/>
      </w:r>
      <w:r>
        <w:rPr>
          <w:sz w:val="40"/>
          <w:szCs w:val="32"/>
        </w:rPr>
        <w:fldChar w:fldCharType="begin"/>
      </w:r>
      <w:r>
        <w:rPr>
          <w:sz w:val="40"/>
          <w:szCs w:val="32"/>
        </w:rPr>
        <w:instrText xml:space="preserve"> PAGEREF _Toc27994 \h </w:instrText>
      </w:r>
      <w:r>
        <w:rPr>
          <w:sz w:val="40"/>
          <w:szCs w:val="32"/>
        </w:rPr>
        <w:fldChar w:fldCharType="separate"/>
      </w:r>
      <w:r>
        <w:rPr>
          <w:sz w:val="40"/>
          <w:szCs w:val="32"/>
        </w:rPr>
        <w:t>7</w:t>
      </w:r>
      <w:r>
        <w:rPr>
          <w:sz w:val="40"/>
          <w:szCs w:val="32"/>
        </w:rPr>
        <w:fldChar w:fldCharType="end"/>
      </w:r>
    </w:p>
    <w:p>
      <w:pPr>
        <w:pStyle w:val="11"/>
        <w:tabs>
          <w:tab w:val="right" w:leader="dot" w:pos="8306"/>
          <w:tab w:val="clear" w:pos="420"/>
          <w:tab w:val="clear" w:pos="8296"/>
        </w:tabs>
        <w:rPr>
          <w:sz w:val="40"/>
          <w:szCs w:val="32"/>
        </w:rPr>
      </w:pPr>
      <w:r>
        <w:rPr>
          <w:rFonts w:hint="eastAsia" w:ascii="黑体" w:hAnsi="黑体" w:eastAsia="黑体" w:cs="黑体"/>
          <w:color w:val="auto"/>
          <w:sz w:val="40"/>
          <w:szCs w:val="48"/>
          <w:highlight w:val="none"/>
          <w:lang w:val="en-US" w:eastAsia="zh-CN"/>
        </w:rPr>
        <w:t>五、技术服务目标</w:t>
      </w:r>
      <w:r>
        <w:rPr>
          <w:sz w:val="40"/>
          <w:szCs w:val="32"/>
        </w:rPr>
        <w:tab/>
      </w:r>
      <w:r>
        <w:rPr>
          <w:sz w:val="40"/>
          <w:szCs w:val="32"/>
        </w:rPr>
        <w:fldChar w:fldCharType="begin"/>
      </w:r>
      <w:r>
        <w:rPr>
          <w:sz w:val="40"/>
          <w:szCs w:val="32"/>
        </w:rPr>
        <w:instrText xml:space="preserve"> PAGEREF _Toc25552 \h </w:instrText>
      </w:r>
      <w:r>
        <w:rPr>
          <w:sz w:val="40"/>
          <w:szCs w:val="32"/>
        </w:rPr>
        <w:fldChar w:fldCharType="separate"/>
      </w:r>
      <w:r>
        <w:rPr>
          <w:sz w:val="40"/>
          <w:szCs w:val="32"/>
        </w:rPr>
        <w:t>7</w:t>
      </w:r>
      <w:r>
        <w:rPr>
          <w:sz w:val="40"/>
          <w:szCs w:val="32"/>
        </w:rPr>
        <w:fldChar w:fldCharType="end"/>
      </w:r>
    </w:p>
    <w:p>
      <w:pPr>
        <w:pStyle w:val="11"/>
        <w:tabs>
          <w:tab w:val="right" w:leader="dot" w:pos="8306"/>
          <w:tab w:val="clear" w:pos="420"/>
          <w:tab w:val="clear" w:pos="8296"/>
        </w:tabs>
      </w:pPr>
      <w:r>
        <w:rPr>
          <w:rFonts w:hint="eastAsia" w:ascii="黑体" w:hAnsi="黑体" w:eastAsia="黑体" w:cs="黑体"/>
          <w:sz w:val="40"/>
          <w:szCs w:val="48"/>
          <w:lang w:val="en-US" w:eastAsia="zh-CN"/>
        </w:rPr>
        <w:t>六、资质要求</w:t>
      </w:r>
      <w:r>
        <w:rPr>
          <w:sz w:val="40"/>
          <w:szCs w:val="32"/>
        </w:rPr>
        <w:tab/>
      </w:r>
      <w:r>
        <w:fldChar w:fldCharType="begin"/>
      </w:r>
      <w:r>
        <w:instrText xml:space="preserve"> PAGEREF _Toc1118 \h </w:instrText>
      </w:r>
      <w:r>
        <w:fldChar w:fldCharType="separate"/>
      </w:r>
      <w:r>
        <w:t>8</w:t>
      </w:r>
      <w:r>
        <w:fldChar w:fldCharType="end"/>
      </w:r>
    </w:p>
    <w:p>
      <w:pPr>
        <w:pStyle w:val="11"/>
        <w:tabs>
          <w:tab w:val="right" w:leader="dot" w:pos="9026"/>
          <w:tab w:val="clear" w:pos="420"/>
          <w:tab w:val="clear" w:pos="8296"/>
        </w:tabs>
        <w:rPr>
          <w:color w:val="auto"/>
          <w:sz w:val="32"/>
          <w:highlight w:val="none"/>
        </w:rPr>
      </w:pPr>
      <w:r>
        <w:rPr>
          <w:color w:val="auto"/>
          <w:highlight w:val="none"/>
        </w:rPr>
        <w:fldChar w:fldCharType="end"/>
      </w:r>
    </w:p>
    <w:p>
      <w:pPr>
        <w:pStyle w:val="3"/>
        <w:numPr>
          <w:ilvl w:val="0"/>
          <w:numId w:val="0"/>
        </w:numPr>
        <w:tabs>
          <w:tab w:val="left" w:pos="284"/>
        </w:tabs>
        <w:ind w:left="432" w:leftChars="0"/>
        <w:rPr>
          <w:rStyle w:val="17"/>
          <w:rFonts w:hint="eastAsia" w:ascii="黑体" w:hAnsi="黑体" w:eastAsia="黑体" w:cs="黑体"/>
          <w:color w:val="auto"/>
          <w:sz w:val="32"/>
          <w:szCs w:val="32"/>
          <w:highlight w:val="none"/>
        </w:rPr>
      </w:pPr>
      <w:bookmarkStart w:id="4" w:name="_Toc454043110"/>
      <w:bookmarkStart w:id="5" w:name="_Toc350000270"/>
      <w:bookmarkStart w:id="6" w:name="_Toc29497"/>
      <w:bookmarkStart w:id="7" w:name="_Toc30576"/>
      <w:bookmarkStart w:id="8" w:name="_Toc410209542"/>
      <w:bookmarkStart w:id="9" w:name="_Toc11612"/>
      <w:r>
        <w:rPr>
          <w:rFonts w:hint="eastAsia" w:ascii="黑体" w:hAnsi="黑体" w:eastAsia="黑体" w:cs="黑体"/>
          <w:color w:val="auto"/>
          <w:sz w:val="32"/>
          <w:szCs w:val="32"/>
          <w:highlight w:val="none"/>
          <w:lang w:val="en-US" w:eastAsia="zh-CN"/>
        </w:rPr>
        <w:t>一、</w:t>
      </w:r>
      <w:bookmarkEnd w:id="4"/>
      <w:bookmarkEnd w:id="5"/>
      <w:bookmarkEnd w:id="6"/>
      <w:bookmarkEnd w:id="7"/>
      <w:bookmarkEnd w:id="8"/>
      <w:r>
        <w:rPr>
          <w:rStyle w:val="17"/>
          <w:rFonts w:hint="eastAsia" w:ascii="黑体" w:hAnsi="黑体" w:eastAsia="黑体" w:cs="黑体"/>
          <w:color w:val="auto"/>
          <w:sz w:val="32"/>
          <w:szCs w:val="32"/>
          <w:highlight w:val="none"/>
          <w:lang w:val="en-US" w:eastAsia="zh-CN"/>
        </w:rPr>
        <w:t>技术服务范围</w:t>
      </w:r>
      <w:bookmarkEnd w:id="9"/>
    </w:p>
    <w:p>
      <w:pPr>
        <w:bidi w:val="0"/>
        <w:rPr>
          <w:rFonts w:hint="eastAsia" w:ascii="仿宋" w:hAnsi="仿宋" w:eastAsia="仿宋" w:cs="仿宋"/>
          <w:sz w:val="32"/>
          <w:szCs w:val="32"/>
        </w:rPr>
      </w:pPr>
      <w:bookmarkStart w:id="10" w:name="_Toc11241"/>
      <w:bookmarkStart w:id="11" w:name="_Toc16199"/>
      <w:bookmarkStart w:id="12" w:name="_Toc454043112"/>
      <w:bookmarkStart w:id="13" w:name="OLE_LINK4"/>
      <w:bookmarkStart w:id="14" w:name="OLE_LINK1"/>
      <w:bookmarkStart w:id="15" w:name="OLE_LINK2"/>
      <w:r>
        <w:rPr>
          <w:rFonts w:hint="eastAsia" w:ascii="仿宋" w:hAnsi="仿宋" w:eastAsia="仿宋" w:cs="仿宋"/>
          <w:sz w:val="32"/>
          <w:szCs w:val="32"/>
          <w:lang w:val="en-US" w:eastAsia="zh-CN"/>
        </w:rPr>
        <w:t>1.服务</w:t>
      </w:r>
      <w:r>
        <w:rPr>
          <w:rFonts w:hint="eastAsia" w:ascii="仿宋" w:hAnsi="仿宋" w:eastAsia="仿宋" w:cs="仿宋"/>
          <w:sz w:val="32"/>
          <w:szCs w:val="32"/>
        </w:rPr>
        <w:t>范围</w:t>
      </w:r>
      <w:bookmarkEnd w:id="10"/>
      <w:bookmarkEnd w:id="11"/>
      <w:bookmarkEnd w:id="12"/>
    </w:p>
    <w:p>
      <w:pPr>
        <w:bidi w:val="0"/>
        <w:rPr>
          <w:rFonts w:hint="default" w:ascii="仿宋" w:hAnsi="仿宋" w:eastAsia="仿宋" w:cs="仿宋"/>
          <w:b/>
          <w:bCs/>
          <w:color w:val="FF0000"/>
          <w:sz w:val="32"/>
          <w:szCs w:val="32"/>
          <w:highlight w:val="none"/>
          <w:lang w:val="en-US" w:eastAsia="zh-CN"/>
        </w:rPr>
      </w:pPr>
      <w:r>
        <w:rPr>
          <w:rFonts w:hint="eastAsia" w:ascii="仿宋" w:hAnsi="仿宋" w:eastAsia="仿宋" w:cs="仿宋"/>
          <w:sz w:val="32"/>
          <w:szCs w:val="32"/>
          <w:highlight w:val="none"/>
          <w:lang w:val="en-US" w:eastAsia="zh-CN"/>
        </w:rPr>
        <w:t>对鲁厂水工建筑物监测自动化改造项目新建系统</w:t>
      </w:r>
      <w:r>
        <w:rPr>
          <w:rFonts w:hint="eastAsia" w:ascii="仿宋" w:hAnsi="仿宋" w:eastAsia="仿宋" w:cs="仿宋"/>
          <w:color w:val="auto"/>
          <w:kern w:val="2"/>
          <w:sz w:val="32"/>
          <w:szCs w:val="32"/>
          <w:highlight w:val="none"/>
          <w:lang w:val="en-US" w:eastAsia="zh-CN" w:bidi="ar-SA"/>
        </w:rPr>
        <w:t>进行入网安全测试。</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2.服务地点</w:t>
      </w:r>
    </w:p>
    <w:p>
      <w:pPr>
        <w:bidi w:val="0"/>
        <w:rPr>
          <w:rFonts w:hint="default" w:ascii="仿宋" w:hAnsi="仿宋" w:eastAsia="仿宋" w:cs="仿宋"/>
          <w:sz w:val="32"/>
          <w:szCs w:val="32"/>
          <w:highlight w:val="none"/>
          <w:lang w:val="en-US" w:eastAsia="zh-CN"/>
        </w:rPr>
      </w:pPr>
      <w:bookmarkStart w:id="16" w:name="_Toc17968"/>
      <w:r>
        <w:rPr>
          <w:rFonts w:hint="eastAsia" w:ascii="仿宋" w:hAnsi="仿宋" w:eastAsia="仿宋" w:cs="仿宋"/>
          <w:sz w:val="32"/>
          <w:szCs w:val="32"/>
          <w:highlight w:val="none"/>
          <w:lang w:val="en-US" w:eastAsia="zh-CN"/>
        </w:rPr>
        <w:t>云南省罗平县。</w:t>
      </w:r>
    </w:p>
    <w:p>
      <w:pPr>
        <w:bidi w:val="0"/>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3.服务有效期</w:t>
      </w:r>
      <w:bookmarkEnd w:id="13"/>
      <w:bookmarkEnd w:id="14"/>
      <w:bookmarkEnd w:id="15"/>
      <w:bookmarkEnd w:id="16"/>
    </w:p>
    <w:p>
      <w:pPr>
        <w:numPr>
          <w:ilvl w:val="0"/>
          <w:numId w:val="0"/>
        </w:numPr>
        <w:bidi w:val="0"/>
        <w:ind w:firstLine="640" w:firstLineChars="200"/>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en-US" w:eastAsia="zh-CN"/>
        </w:rPr>
        <w:t>协议生效之日</w:t>
      </w:r>
      <w:r>
        <w:rPr>
          <w:rFonts w:hint="eastAsia" w:ascii="仿宋" w:hAnsi="仿宋" w:eastAsia="仿宋" w:cs="仿宋"/>
          <w:color w:val="auto"/>
          <w:sz w:val="32"/>
          <w:szCs w:val="32"/>
          <w:highlight w:val="none"/>
          <w:lang w:val="zh-CN"/>
        </w:rPr>
        <w:t>起至</w:t>
      </w:r>
      <w:r>
        <w:rPr>
          <w:rFonts w:hint="eastAsia" w:ascii="仿宋" w:hAnsi="仿宋" w:eastAsia="仿宋" w:cs="仿宋"/>
          <w:color w:val="auto"/>
          <w:sz w:val="32"/>
          <w:szCs w:val="32"/>
          <w:highlight w:val="none"/>
          <w:lang w:val="en-US" w:eastAsia="zh-CN"/>
        </w:rPr>
        <w:t>2025</w:t>
      </w:r>
      <w:r>
        <w:rPr>
          <w:rFonts w:hint="eastAsia" w:ascii="仿宋" w:hAnsi="仿宋" w:eastAsia="仿宋" w:cs="仿宋"/>
          <w:color w:val="auto"/>
          <w:sz w:val="32"/>
          <w:szCs w:val="32"/>
          <w:highlight w:val="none"/>
          <w:lang w:val="zh-CN"/>
        </w:rPr>
        <w:t>年</w:t>
      </w:r>
      <w:r>
        <w:rPr>
          <w:rFonts w:hint="eastAsia" w:ascii="仿宋" w:hAnsi="仿宋" w:eastAsia="仿宋" w:cs="仿宋"/>
          <w:color w:val="auto"/>
          <w:sz w:val="32"/>
          <w:szCs w:val="32"/>
          <w:highlight w:val="none"/>
          <w:lang w:val="en-US" w:eastAsia="zh-CN"/>
        </w:rPr>
        <w:t>12</w:t>
      </w:r>
      <w:r>
        <w:rPr>
          <w:rFonts w:hint="eastAsia" w:ascii="仿宋" w:hAnsi="仿宋" w:eastAsia="仿宋" w:cs="仿宋"/>
          <w:color w:val="auto"/>
          <w:sz w:val="32"/>
          <w:szCs w:val="32"/>
          <w:highlight w:val="none"/>
          <w:lang w:val="zh-CN"/>
        </w:rPr>
        <w:t>月</w:t>
      </w:r>
      <w:r>
        <w:rPr>
          <w:rFonts w:hint="eastAsia" w:ascii="仿宋" w:hAnsi="仿宋" w:eastAsia="仿宋" w:cs="仿宋"/>
          <w:color w:val="auto"/>
          <w:sz w:val="32"/>
          <w:szCs w:val="32"/>
          <w:highlight w:val="none"/>
          <w:lang w:val="en-US" w:eastAsia="zh-CN"/>
        </w:rPr>
        <w:t>31</w:t>
      </w:r>
      <w:r>
        <w:rPr>
          <w:rFonts w:hint="eastAsia" w:ascii="仿宋" w:hAnsi="仿宋" w:eastAsia="仿宋" w:cs="仿宋"/>
          <w:color w:val="auto"/>
          <w:sz w:val="32"/>
          <w:szCs w:val="32"/>
          <w:highlight w:val="none"/>
          <w:lang w:val="zh-CN"/>
        </w:rPr>
        <w:t>日。</w:t>
      </w:r>
    </w:p>
    <w:p>
      <w:pPr>
        <w:pStyle w:val="3"/>
        <w:keepNext/>
        <w:keepLines/>
        <w:pageBreakBefore w:val="0"/>
        <w:widowControl w:val="0"/>
        <w:numPr>
          <w:ilvl w:val="0"/>
          <w:numId w:val="0"/>
        </w:numPr>
        <w:tabs>
          <w:tab w:val="left" w:pos="284"/>
        </w:tabs>
        <w:kinsoku/>
        <w:wordWrap/>
        <w:overflowPunct/>
        <w:topLinePunct w:val="0"/>
        <w:autoSpaceDE/>
        <w:autoSpaceDN/>
        <w:bidi w:val="0"/>
        <w:adjustRightInd w:val="0"/>
        <w:snapToGrid w:val="0"/>
        <w:ind w:left="431" w:leftChars="0"/>
        <w:textAlignment w:val="auto"/>
        <w:rPr>
          <w:rFonts w:hint="eastAsia" w:ascii="黑体" w:hAnsi="黑体" w:eastAsia="黑体" w:cs="黑体"/>
          <w:color w:val="auto"/>
          <w:sz w:val="32"/>
          <w:szCs w:val="32"/>
          <w:highlight w:val="none"/>
          <w:lang w:val="en-US" w:eastAsia="zh-CN"/>
        </w:rPr>
      </w:pPr>
      <w:bookmarkStart w:id="17" w:name="_Toc19600"/>
      <w:r>
        <w:rPr>
          <w:rFonts w:hint="eastAsia" w:ascii="黑体" w:hAnsi="黑体" w:eastAsia="黑体" w:cs="黑体"/>
          <w:color w:val="auto"/>
          <w:sz w:val="32"/>
          <w:szCs w:val="32"/>
          <w:highlight w:val="none"/>
          <w:lang w:val="en-US" w:eastAsia="zh-CN"/>
        </w:rPr>
        <w:t>二、技术规范</w:t>
      </w:r>
      <w:bookmarkEnd w:id="17"/>
    </w:p>
    <w:p>
      <w:pPr>
        <w:numPr>
          <w:ilvl w:val="0"/>
          <w:numId w:val="0"/>
        </w:numPr>
        <w:bidi w:val="0"/>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本项目必须遵守但不限于如下规范：</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《信息安全等级保护管理办法》（公通字[2007]43号）</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《信息安全技术网络安全等级保护基本要求》（GB/T 22239-2019）</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《中国南方电网有限责任公司电力监控系统网络安全等级保护管理业务指导书》（Q/CSG2084031-2024）</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《中国南方电网有限责任公司网络安全等级保护管理细则（试行）》（Q/CSG2222001-2024）</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《中国南方电网有限责任公司数据应用管理细则》（Q/CSG2153088-2021）</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《南方电网电力监控系统网络安全异常及设备故障处理业务指导书》（Q/CSG2084062-2023）</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《中国南方电网有限责任公司新产品（技术）入网及推</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广应用管理办法（试行）》（Q/CSG2062004-2021）</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ascii="仿宋" w:hAnsi="仿宋" w:eastAsia="仿宋" w:cs="仿宋"/>
          <w:color w:val="auto"/>
          <w:sz w:val="32"/>
          <w:szCs w:val="32"/>
          <w:highlight w:val="none"/>
          <w:lang w:val="en-US" w:eastAsia="zh-CN"/>
        </w:rPr>
        <w:t>《中国南方电网电力监控系统网络安全管理办法》（Q/CSG2072003-2021）</w:t>
      </w:r>
    </w:p>
    <w:p>
      <w:pPr>
        <w:pStyle w:val="3"/>
        <w:keepNext/>
        <w:keepLines/>
        <w:pageBreakBefore w:val="0"/>
        <w:widowControl w:val="0"/>
        <w:numPr>
          <w:ilvl w:val="0"/>
          <w:numId w:val="0"/>
        </w:numPr>
        <w:tabs>
          <w:tab w:val="left" w:pos="284"/>
        </w:tabs>
        <w:kinsoku/>
        <w:wordWrap/>
        <w:overflowPunct/>
        <w:topLinePunct w:val="0"/>
        <w:autoSpaceDE/>
        <w:autoSpaceDN/>
        <w:bidi w:val="0"/>
        <w:adjustRightInd w:val="0"/>
        <w:snapToGrid w:val="0"/>
        <w:ind w:leftChars="258"/>
        <w:textAlignment w:val="auto"/>
        <w:rPr>
          <w:rStyle w:val="17"/>
          <w:rFonts w:hint="eastAsia" w:ascii="黑体" w:hAnsi="黑体" w:eastAsia="黑体" w:cs="黑体"/>
          <w:sz w:val="32"/>
          <w:szCs w:val="32"/>
          <w:lang w:val="en-US" w:eastAsia="zh-CN"/>
        </w:rPr>
      </w:pPr>
      <w:bookmarkStart w:id="18" w:name="_Toc17210"/>
      <w:bookmarkStart w:id="19" w:name="_Toc19508"/>
      <w:r>
        <w:rPr>
          <w:rStyle w:val="17"/>
          <w:rFonts w:hint="eastAsia" w:ascii="黑体" w:hAnsi="黑体" w:eastAsia="黑体" w:cs="黑体"/>
          <w:sz w:val="32"/>
          <w:szCs w:val="32"/>
          <w:lang w:val="en-US" w:eastAsia="zh-CN"/>
        </w:rPr>
        <w:t>三、技术服务内容</w:t>
      </w:r>
      <w:bookmarkEnd w:id="18"/>
    </w:p>
    <w:p>
      <w:pPr>
        <w:pStyle w:val="8"/>
        <w:widowControl w:val="0"/>
        <w:numPr>
          <w:ilvl w:val="0"/>
          <w:numId w:val="3"/>
        </w:numPr>
        <w:kinsoku/>
        <w:wordWrap/>
        <w:overflowPunct/>
        <w:topLinePunct w:val="0"/>
        <w:autoSpaceDE/>
        <w:autoSpaceDN/>
        <w:bidi w:val="0"/>
        <w:adjustRightInd/>
        <w:snapToGrid/>
        <w:spacing w:line="360" w:lineRule="auto"/>
        <w:ind w:left="0" w:leftChars="0"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开展鲁厂水工建筑物监测自动化改造项目的入网安全测试。过程要求如下：</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1.调研阶段。乙方应先对被测系统相关信息、框架结构、部署环境等内容进行调研。</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2.分析阶段。乙方应根据调研的信息对系统的主要功能、部署情况、架构进行分析，确定测试的需求及对象。</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设计阶段。乙方应根据调研信息和分析结果，制定测试方案及测试计划，内容至少应包括概述、测试需求、测试对象及特性、测试项、测试入口/出口准则、测试缺陷划分、测试工具与环境、项目组织、测试进度计划、测试风险与应急措施和测试交付项等内容。</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4.实现阶段。乙方应根据测试计划生成测试数据设置测试条件，把逻辑测试用例转为具体的测试用例。</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5.执行阶段。乙方应执行各项安全测试，并且将检测出的问题进行分析整理。</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6.整改阶段。乙方应对存在问题提供整改、优化建议，积极配合招标人进行整改和优化。</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7.复测阶段。招标人完成整改优化后，乙方应对系统进行安全测试检测出的问题进行复测，对于无法整改或优化的，应判定遗留的缺陷和采取的防范措施对系统整体安全、性能的影响是否在可接受范围。</w:t>
      </w:r>
    </w:p>
    <w:p>
      <w:pPr>
        <w:bidi w:val="0"/>
        <w:rPr>
          <w:rFonts w:hint="default"/>
          <w:lang w:val="en-US" w:eastAsia="zh-CN"/>
        </w:rPr>
      </w:pPr>
      <w:r>
        <w:rPr>
          <w:rFonts w:hint="eastAsia" w:ascii="仿宋" w:hAnsi="仿宋" w:eastAsia="仿宋" w:cs="仿宋"/>
          <w:sz w:val="32"/>
          <w:szCs w:val="32"/>
          <w:lang w:val="en-US" w:eastAsia="zh-CN"/>
        </w:rPr>
        <w:t>8.报告阶段。乙方针对测试的结果进行分析，得出结论，交付系统《入网安全测试报告》，内容至少应包含：测试概要、测试范围、测试结论、问题统计、测试结果、测试工具、系统测试环境配置、系统信息、测试人员等内容。</w:t>
      </w:r>
    </w:p>
    <w:p>
      <w:pPr>
        <w:pStyle w:val="8"/>
        <w:bidi w:val="0"/>
        <w:jc w:val="left"/>
        <w:rPr>
          <w:rFonts w:hint="default" w:ascii="楷体" w:hAnsi="楷体" w:eastAsia="楷体" w:cs="楷体"/>
          <w:sz w:val="32"/>
          <w:szCs w:val="32"/>
          <w:lang w:val="en-US" w:eastAsia="zh-CN"/>
        </w:rPr>
      </w:pPr>
      <w:r>
        <w:rPr>
          <w:rFonts w:hint="eastAsia" w:ascii="楷体" w:hAnsi="楷体" w:eastAsia="楷体" w:cs="楷体"/>
          <w:sz w:val="32"/>
          <w:szCs w:val="32"/>
          <w:lang w:val="en-US" w:eastAsia="zh-CN"/>
        </w:rPr>
        <w:t>（二）入网安全测试具体包括以下6个技术控制点，乙方应在技术服务方案中给出每个控制点的测试思路和技术方法：</w:t>
      </w:r>
    </w:p>
    <w:p>
      <w:pPr>
        <w:bidi w:val="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1.主机漏洞检查。使用漏洞扫描工具，对信息系统的服务器（含操作系统、数据库、中间件）开展漏洞检测，至少覆盖被CVE收录的漏洞。如果还覆盖被CNNVD收录的漏洞更优。</w:t>
      </w:r>
    </w:p>
    <w:p>
      <w:pPr>
        <w:bidi w:val="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信息安全基线检查。对信息系统的服务器（含操作系统、数据库、中间件）开展信息安全配置方面的检查，至少覆盖身份鉴别、访问控制、通信保密性、安全审计、资源控制五类基线规范。如果还覆盖通信完整性、入侵防范两类基线规范更优。</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3.应用漏洞检查。使用漏洞扫描工具，对信息系统的应用层面开展漏洞检测，至少覆盖被CVE收录的漏洞。如果还覆盖被CNNVD收录的漏洞更优。</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应用安全合规性检查。采用人工核查的方法，对信息系统的应用层面开展合规性检查，至少覆盖身份鉴别、访问控制、通信保密性、安全审计、资源控制五类合规要求。如果还覆盖通信完整性、剩余信息保护、软件容错三类合规要求更优。</w:t>
      </w:r>
    </w:p>
    <w:p>
      <w:pPr>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渗透性测试。对信息系统开展渗透测试，包含web层面和移动应用层面，至少覆盖注入漏洞、跨站脚本攻击、敏感信息泄露、越权、目录遍历、认证绕过、文件上传绕过、任意目录遍历、移动应用组件漏洞、移动客户端反编译漏洞十类安全问题。如果还覆盖远程命令执行、用户名口令枚举、请求伪造三类安全问题更优</w:t>
      </w:r>
    </w:p>
    <w:p>
      <w:pPr>
        <w:pStyle w:val="3"/>
        <w:keepNext/>
        <w:keepLines/>
        <w:pageBreakBefore w:val="0"/>
        <w:widowControl w:val="0"/>
        <w:numPr>
          <w:ilvl w:val="0"/>
          <w:numId w:val="0"/>
        </w:numPr>
        <w:tabs>
          <w:tab w:val="left" w:pos="284"/>
        </w:tabs>
        <w:kinsoku/>
        <w:wordWrap/>
        <w:overflowPunct/>
        <w:topLinePunct w:val="0"/>
        <w:autoSpaceDE/>
        <w:autoSpaceDN/>
        <w:bidi w:val="0"/>
        <w:adjustRightInd w:val="0"/>
        <w:snapToGrid w:val="0"/>
        <w:textAlignment w:val="auto"/>
        <w:rPr>
          <w:rFonts w:hint="eastAsia" w:ascii="黑体" w:hAnsi="黑体" w:eastAsia="黑体" w:cs="黑体"/>
          <w:color w:val="auto"/>
          <w:sz w:val="32"/>
          <w:szCs w:val="32"/>
          <w:highlight w:val="none"/>
          <w:lang w:val="en-US" w:eastAsia="zh-CN"/>
        </w:rPr>
      </w:pPr>
      <w:bookmarkStart w:id="20" w:name="_Toc27994"/>
      <w:r>
        <w:rPr>
          <w:rFonts w:hint="eastAsia" w:ascii="黑体" w:hAnsi="黑体" w:eastAsia="黑体" w:cs="黑体"/>
          <w:color w:val="auto"/>
          <w:sz w:val="32"/>
          <w:szCs w:val="32"/>
          <w:highlight w:val="none"/>
          <w:lang w:val="en-US" w:eastAsia="zh-CN"/>
        </w:rPr>
        <w:t>四、技术实施要求</w:t>
      </w:r>
      <w:bookmarkEnd w:id="19"/>
      <w:bookmarkEnd w:id="20"/>
    </w:p>
    <w:p>
      <w:pPr>
        <w:pStyle w:val="8"/>
        <w:widowControl w:val="0"/>
        <w:kinsoku/>
        <w:wordWrap/>
        <w:overflowPunct/>
        <w:topLinePunct w:val="0"/>
        <w:autoSpaceDE/>
        <w:autoSpaceDN/>
        <w:bidi w:val="0"/>
        <w:adjustRightInd/>
        <w:snapToGrid/>
        <w:spacing w:line="360" w:lineRule="auto"/>
        <w:ind w:left="0" w:leftChars="0"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rPr>
        <w:t>项目服务交付物</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4"/>
        <w:gridCol w:w="6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34" w:type="dxa"/>
            <w:vAlign w:val="center"/>
          </w:tcPr>
          <w:p>
            <w:pPr>
              <w:pStyle w:val="8"/>
              <w:keepNext w:val="0"/>
              <w:keepLines w:val="0"/>
              <w:suppressLineNumbers w:val="0"/>
              <w:spacing w:before="0" w:beforeAutospacing="0" w:after="0" w:afterAutospacing="0"/>
              <w:ind w:left="0" w:leftChars="0" w:right="0" w:firstLine="0" w:firstLineChars="0"/>
              <w:jc w:val="center"/>
              <w:rPr>
                <w:rFonts w:hint="default" w:ascii="仿宋" w:hAnsi="仿宋" w:eastAsia="仿宋" w:cs="仿宋"/>
                <w:b/>
                <w:bCs/>
                <w:sz w:val="32"/>
                <w:szCs w:val="32"/>
                <w:vertAlign w:val="baseline"/>
                <w:lang w:val="en-US" w:eastAsia="zh-CN"/>
              </w:rPr>
            </w:pPr>
            <w:r>
              <w:rPr>
                <w:rFonts w:hint="eastAsia" w:ascii="仿宋" w:hAnsi="仿宋" w:eastAsia="仿宋" w:cs="仿宋"/>
                <w:b/>
                <w:bCs/>
                <w:sz w:val="32"/>
                <w:szCs w:val="32"/>
                <w:vertAlign w:val="baseline"/>
                <w:lang w:val="en-US" w:eastAsia="zh-CN"/>
              </w:rPr>
              <w:t>序号</w:t>
            </w:r>
          </w:p>
        </w:tc>
        <w:tc>
          <w:tcPr>
            <w:tcW w:w="6473" w:type="dxa"/>
            <w:vAlign w:val="center"/>
          </w:tcPr>
          <w:p>
            <w:pPr>
              <w:pStyle w:val="8"/>
              <w:keepNext w:val="0"/>
              <w:keepLines w:val="0"/>
              <w:suppressLineNumbers w:val="0"/>
              <w:spacing w:before="0" w:beforeAutospacing="0" w:after="0" w:afterAutospacing="0"/>
              <w:ind w:left="0" w:leftChars="0" w:right="0" w:firstLine="0" w:firstLineChars="0"/>
              <w:jc w:val="center"/>
              <w:rPr>
                <w:rFonts w:hint="default" w:ascii="仿宋" w:hAnsi="仿宋" w:eastAsia="仿宋" w:cs="仿宋"/>
                <w:b/>
                <w:bCs/>
                <w:sz w:val="32"/>
                <w:szCs w:val="32"/>
                <w:vertAlign w:val="baseline"/>
                <w:lang w:val="en-US" w:eastAsia="zh-CN"/>
              </w:rPr>
            </w:pPr>
            <w:r>
              <w:rPr>
                <w:rFonts w:hint="eastAsia" w:ascii="仿宋" w:hAnsi="仿宋" w:eastAsia="仿宋" w:cs="仿宋"/>
                <w:b/>
                <w:bCs/>
                <w:sz w:val="32"/>
                <w:szCs w:val="32"/>
                <w:vertAlign w:val="baseline"/>
                <w:lang w:val="en-US" w:eastAsia="zh-CN"/>
              </w:rPr>
              <w:t>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34" w:type="dxa"/>
            <w:vAlign w:val="center"/>
          </w:tcPr>
          <w:p>
            <w:pPr>
              <w:pStyle w:val="8"/>
              <w:keepNext w:val="0"/>
              <w:keepLines w:val="0"/>
              <w:suppressLineNumbers w:val="0"/>
              <w:spacing w:before="0" w:beforeAutospacing="0" w:after="0" w:afterAutospacing="0"/>
              <w:ind w:left="0" w:leftChars="0" w:right="0" w:firstLine="0" w:firstLineChars="0"/>
              <w:jc w:val="center"/>
              <w:rPr>
                <w:rFonts w:hint="default" w:ascii="仿宋" w:hAnsi="仿宋" w:eastAsia="仿宋" w:cs="仿宋"/>
                <w:sz w:val="32"/>
                <w:szCs w:val="32"/>
                <w:vertAlign w:val="baseline"/>
                <w:lang w:val="en-US" w:eastAsia="zh-CN"/>
              </w:rPr>
            </w:pPr>
            <w:r>
              <w:rPr>
                <w:rFonts w:hint="eastAsia" w:ascii="仿宋" w:hAnsi="仿宋" w:eastAsia="仿宋" w:cs="仿宋"/>
                <w:sz w:val="32"/>
                <w:szCs w:val="32"/>
                <w:vertAlign w:val="baseline"/>
                <w:lang w:val="en-US" w:eastAsia="zh-CN"/>
              </w:rPr>
              <w:t>1</w:t>
            </w:r>
          </w:p>
        </w:tc>
        <w:tc>
          <w:tcPr>
            <w:tcW w:w="6473" w:type="dxa"/>
            <w:vAlign w:val="center"/>
          </w:tcPr>
          <w:p>
            <w:pPr>
              <w:pStyle w:val="8"/>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sz w:val="32"/>
                <w:szCs w:val="32"/>
                <w:vertAlign w:val="baseline"/>
                <w:lang w:val="en-US" w:eastAsia="zh-CN"/>
              </w:rPr>
            </w:pPr>
            <w:r>
              <w:rPr>
                <w:rFonts w:hint="eastAsia" w:ascii="仿宋" w:hAnsi="仿宋" w:eastAsia="仿宋" w:cs="仿宋"/>
                <w:sz w:val="32"/>
                <w:szCs w:val="32"/>
                <w:lang w:val="en-US" w:eastAsia="zh-CN"/>
              </w:rPr>
              <w:t>入网安全测试报告</w:t>
            </w:r>
          </w:p>
        </w:tc>
      </w:tr>
    </w:tbl>
    <w:p>
      <w:pPr>
        <w:pStyle w:val="8"/>
        <w:rPr>
          <w:rFonts w:hint="default"/>
          <w:lang w:val="en-US" w:eastAsia="zh-CN"/>
        </w:rPr>
      </w:pPr>
    </w:p>
    <w:p>
      <w:pPr>
        <w:pStyle w:val="3"/>
        <w:keepNext/>
        <w:keepLines/>
        <w:pageBreakBefore w:val="0"/>
        <w:widowControl w:val="0"/>
        <w:numPr>
          <w:ilvl w:val="0"/>
          <w:numId w:val="0"/>
        </w:numPr>
        <w:tabs>
          <w:tab w:val="left" w:pos="284"/>
        </w:tabs>
        <w:kinsoku/>
        <w:wordWrap/>
        <w:overflowPunct/>
        <w:topLinePunct w:val="0"/>
        <w:autoSpaceDE/>
        <w:autoSpaceDN/>
        <w:bidi w:val="0"/>
        <w:adjustRightInd w:val="0"/>
        <w:snapToGrid w:val="0"/>
        <w:textAlignment w:val="auto"/>
        <w:rPr>
          <w:rFonts w:hint="eastAsia" w:ascii="黑体" w:hAnsi="黑体" w:eastAsia="黑体" w:cs="黑体"/>
          <w:color w:val="FF0000"/>
          <w:sz w:val="32"/>
          <w:szCs w:val="32"/>
          <w:highlight w:val="none"/>
          <w:lang w:val="en-US" w:eastAsia="zh-CN"/>
        </w:rPr>
      </w:pPr>
      <w:bookmarkStart w:id="21" w:name="_Toc25552"/>
      <w:bookmarkStart w:id="22" w:name="_Toc364941978"/>
      <w:r>
        <w:rPr>
          <w:rFonts w:hint="eastAsia" w:ascii="黑体" w:hAnsi="黑体" w:eastAsia="黑体" w:cs="黑体"/>
          <w:color w:val="auto"/>
          <w:sz w:val="32"/>
          <w:szCs w:val="32"/>
          <w:highlight w:val="none"/>
          <w:lang w:val="en-US" w:eastAsia="zh-CN"/>
        </w:rPr>
        <w:t>五、技术服务目标</w:t>
      </w:r>
      <w:bookmarkEnd w:id="21"/>
    </w:p>
    <w:p>
      <w:pPr>
        <w:pStyle w:val="5"/>
        <w:widowControl w:val="0"/>
        <w:numPr>
          <w:ilvl w:val="1"/>
          <w:numId w:val="0"/>
        </w:numPr>
        <w:spacing w:line="360" w:lineRule="auto"/>
        <w:ind w:left="630" w:leftChars="0"/>
        <w:jc w:val="both"/>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项目指标要求</w:t>
      </w:r>
    </w:p>
    <w:p>
      <w:pPr>
        <w:pStyle w:val="6"/>
        <w:ind w:firstLine="640" w:firstLineChars="200"/>
        <w:rPr>
          <w:rFonts w:hint="default" w:ascii="楷体" w:hAnsi="楷体" w:eastAsia="楷体" w:cs="楷体"/>
          <w:b/>
          <w:bCs/>
          <w:color w:val="FF0000"/>
          <w:sz w:val="32"/>
          <w:szCs w:val="32"/>
          <w:highlight w:val="none"/>
          <w:lang w:val="en-US" w:eastAsia="zh-CN"/>
        </w:rPr>
      </w:pPr>
      <w:r>
        <w:rPr>
          <w:rFonts w:hint="eastAsia" w:ascii="仿宋" w:hAnsi="仿宋" w:eastAsia="仿宋" w:cs="仿宋"/>
          <w:sz w:val="32"/>
          <w:szCs w:val="32"/>
          <w:lang w:val="en-US" w:eastAsia="zh-CN"/>
        </w:rPr>
        <w:t>通过开展鲁厂水工建筑物监测自动化改造项目的入网安全测试，确保管理信息系统测试发现的安全问题整改、优化并通过复测后安全稳定运行。</w:t>
      </w:r>
    </w:p>
    <w:p>
      <w:pPr>
        <w:pStyle w:val="3"/>
        <w:keepNext/>
        <w:keepLines/>
        <w:pageBreakBefore w:val="0"/>
        <w:widowControl w:val="0"/>
        <w:numPr>
          <w:ilvl w:val="0"/>
          <w:numId w:val="0"/>
        </w:numPr>
        <w:tabs>
          <w:tab w:val="left" w:pos="284"/>
        </w:tabs>
        <w:kinsoku/>
        <w:wordWrap/>
        <w:overflowPunct/>
        <w:topLinePunct w:val="0"/>
        <w:autoSpaceDE/>
        <w:autoSpaceDN/>
        <w:bidi w:val="0"/>
        <w:adjustRightInd w:val="0"/>
        <w:snapToGrid w:val="0"/>
        <w:textAlignment w:val="auto"/>
        <w:rPr>
          <w:rStyle w:val="17"/>
          <w:rFonts w:hint="eastAsia" w:ascii="黑体" w:hAnsi="黑体" w:eastAsia="黑体" w:cs="黑体"/>
          <w:sz w:val="32"/>
          <w:szCs w:val="32"/>
          <w:lang w:eastAsia="zh-CN"/>
        </w:rPr>
      </w:pPr>
      <w:bookmarkStart w:id="23" w:name="_Toc1118"/>
      <w:r>
        <w:rPr>
          <w:rStyle w:val="17"/>
          <w:rFonts w:hint="eastAsia" w:ascii="黑体" w:hAnsi="黑体" w:eastAsia="黑体" w:cs="黑体"/>
          <w:sz w:val="32"/>
          <w:szCs w:val="32"/>
          <w:lang w:val="en-US" w:eastAsia="zh-CN"/>
        </w:rPr>
        <w:t>六、资质要求</w:t>
      </w:r>
      <w:bookmarkEnd w:id="22"/>
      <w:bookmarkEnd w:id="23"/>
    </w:p>
    <w:p>
      <w:pPr>
        <w:keepNext w:val="0"/>
        <w:keepLines w:val="0"/>
        <w:widowControl/>
        <w:suppressLineNumbers w:val="0"/>
        <w:jc w:val="left"/>
        <w:rPr>
          <w:rFonts w:hint="eastAsia" w:ascii="仿宋" w:hAnsi="仿宋" w:eastAsia="仿宋" w:cs="仿宋"/>
          <w:kern w:val="0"/>
          <w:sz w:val="32"/>
          <w:szCs w:val="32"/>
          <w:lang w:val="en-US" w:eastAsia="zh-CN" w:bidi="ar-SA"/>
        </w:rPr>
      </w:pPr>
      <w:r>
        <w:rPr>
          <w:rFonts w:hint="eastAsia" w:ascii="仿宋" w:hAnsi="仿宋" w:eastAsia="仿宋" w:cs="仿宋"/>
          <w:kern w:val="0"/>
          <w:sz w:val="32"/>
          <w:szCs w:val="32"/>
          <w:lang w:val="en-US" w:eastAsia="zh-CN" w:bidi="ar-SA"/>
        </w:rPr>
        <w:t>（1）具有国家相关部门或机构认可的网络安全服务认证证书等级保护测评服务认证；</w:t>
      </w:r>
    </w:p>
    <w:p>
      <w:pPr>
        <w:keepNext w:val="0"/>
        <w:keepLines w:val="0"/>
        <w:widowControl/>
        <w:suppressLineNumbers w:val="0"/>
        <w:jc w:val="left"/>
        <w:rPr>
          <w:rFonts w:hint="eastAsia" w:ascii="仿宋" w:hAnsi="仿宋" w:eastAsia="仿宋" w:cs="仿宋"/>
          <w:kern w:val="0"/>
          <w:sz w:val="32"/>
          <w:szCs w:val="32"/>
          <w:lang w:val="en-US" w:eastAsia="zh-CN" w:bidi="ar-SA"/>
        </w:rPr>
      </w:pPr>
      <w:r>
        <w:rPr>
          <w:rFonts w:hint="eastAsia" w:ascii="仿宋" w:hAnsi="仿宋" w:eastAsia="仿宋" w:cs="仿宋"/>
          <w:kern w:val="0"/>
          <w:sz w:val="32"/>
          <w:szCs w:val="32"/>
          <w:lang w:val="en-US" w:eastAsia="zh-CN" w:bidi="ar-SA"/>
        </w:rPr>
        <w:t>（2）具有国家相关部门或机构认可的信息安全风险评估服务资质；</w:t>
      </w:r>
    </w:p>
    <w:p>
      <w:pPr>
        <w:keepNext w:val="0"/>
        <w:keepLines w:val="0"/>
        <w:widowControl/>
        <w:suppressLineNumbers w:val="0"/>
        <w:jc w:val="left"/>
        <w:rPr>
          <w:rFonts w:hint="eastAsia" w:ascii="仿宋" w:hAnsi="仿宋" w:eastAsia="仿宋" w:cs="仿宋"/>
          <w:kern w:val="0"/>
          <w:sz w:val="32"/>
          <w:szCs w:val="32"/>
          <w:lang w:val="en-US" w:eastAsia="zh-CN" w:bidi="ar-SA"/>
        </w:rPr>
      </w:pPr>
      <w:r>
        <w:rPr>
          <w:rFonts w:hint="eastAsia" w:ascii="仿宋" w:hAnsi="仿宋" w:eastAsia="仿宋" w:cs="仿宋"/>
          <w:kern w:val="0"/>
          <w:sz w:val="32"/>
          <w:szCs w:val="32"/>
          <w:lang w:val="en-US" w:eastAsia="zh-CN" w:bidi="ar-SA"/>
        </w:rPr>
        <w:t>（3）项目经理需具备网络安全等级测评师证书（中级或以上），以及软件评测师(软考中级)或软件性能测试高级工程师，提供扫描件。</w:t>
      </w:r>
    </w:p>
    <w:p>
      <w:pPr>
        <w:ind w:left="0" w:leftChars="0" w:firstLine="0" w:firstLineChars="0"/>
      </w:pPr>
    </w:p>
    <w:sectPr>
      <w:head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rFonts w:ascii="宋体" w:hAnsi="宋体"/>
      </w:rPr>
      <w:drawing>
        <wp:anchor distT="0" distB="0" distL="114300" distR="114300" simplePos="0" relativeHeight="251659264" behindDoc="1" locked="0" layoutInCell="1" allowOverlap="1">
          <wp:simplePos x="0" y="0"/>
          <wp:positionH relativeFrom="column">
            <wp:posOffset>-390525</wp:posOffset>
          </wp:positionH>
          <wp:positionV relativeFrom="paragraph">
            <wp:posOffset>-142240</wp:posOffset>
          </wp:positionV>
          <wp:extent cx="1656080" cy="400050"/>
          <wp:effectExtent l="0" t="0" r="127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tretch>
                    <a:fillRect/>
                  </a:stretch>
                </pic:blipFill>
                <pic:spPr>
                  <a:xfrm>
                    <a:off x="0" y="0"/>
                    <a:ext cx="1656080" cy="40005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ED639"/>
    <w:multiLevelType w:val="multilevel"/>
    <w:tmpl w:val="877ED639"/>
    <w:lvl w:ilvl="0" w:tentative="0">
      <w:start w:val="1"/>
      <w:numFmt w:val="decimal"/>
      <w:pStyle w:val="3"/>
      <w:suff w:val="nothing"/>
      <w:lvlText w:val="%1"/>
      <w:lvlJc w:val="left"/>
      <w:pPr>
        <w:ind w:left="432" w:hanging="432"/>
      </w:pPr>
      <w:rPr>
        <w:rFonts w:hint="default" w:ascii="宋体" w:hAnsi="宋体" w:eastAsia="宋体" w:cs="宋体"/>
      </w:rPr>
    </w:lvl>
    <w:lvl w:ilvl="1" w:tentative="0">
      <w:start w:val="1"/>
      <w:numFmt w:val="decimal"/>
      <w:suff w:val="nothing"/>
      <w:lvlText w:val="%2 "/>
      <w:lvlJc w:val="left"/>
      <w:pPr>
        <w:tabs>
          <w:tab w:val="left" w:pos="0"/>
        </w:tabs>
        <w:ind w:left="718" w:hanging="576"/>
      </w:pPr>
      <w:rPr>
        <w:rFonts w:hint="default" w:ascii="宋体" w:hAnsi="宋体" w:eastAsia="宋体" w:cs="宋体"/>
      </w:rPr>
    </w:lvl>
    <w:lvl w:ilvl="2" w:tentative="0">
      <w:start w:val="1"/>
      <w:numFmt w:val="decimal"/>
      <w:pStyle w:val="4"/>
      <w:suff w:val="nothing"/>
      <w:lvlText w:val="%2.%3 "/>
      <w:lvlJc w:val="left"/>
      <w:pPr>
        <w:tabs>
          <w:tab w:val="left" w:pos="420"/>
        </w:tabs>
        <w:ind w:left="720" w:hanging="720"/>
      </w:pPr>
      <w:rPr>
        <w:rFonts w:hint="default" w:ascii="宋体" w:hAnsi="宋体" w:eastAsia="宋体" w:cs="宋体"/>
      </w:rPr>
    </w:lvl>
    <w:lvl w:ilvl="3" w:tentative="0">
      <w:start w:val="1"/>
      <w:numFmt w:val="decimal"/>
      <w:lvlText w:val="%2.%3.%4 "/>
      <w:lvlJc w:val="left"/>
      <w:pPr>
        <w:tabs>
          <w:tab w:val="left" w:pos="420"/>
        </w:tabs>
        <w:ind w:left="1074" w:hanging="864"/>
      </w:pPr>
      <w:rPr>
        <w:rFonts w:hint="default" w:ascii="宋体" w:hAnsi="宋体" w:eastAsia="宋体" w:cs="宋体"/>
      </w:rPr>
    </w:lvl>
    <w:lvl w:ilvl="4" w:tentative="0">
      <w:start w:val="1"/>
      <w:numFmt w:val="decimal"/>
      <w:lvlText w:val="%2.%3.%4.%5"/>
      <w:lvlJc w:val="left"/>
      <w:pPr>
        <w:ind w:left="1008" w:hanging="1008"/>
      </w:pPr>
      <w:rPr>
        <w:rFonts w:hint="default" w:ascii="宋体" w:hAnsi="宋体" w:eastAsia="宋体" w:cs="宋体"/>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
    <w:nsid w:val="EA7E489E"/>
    <w:multiLevelType w:val="singleLevel"/>
    <w:tmpl w:val="EA7E489E"/>
    <w:lvl w:ilvl="0" w:tentative="0">
      <w:start w:val="1"/>
      <w:numFmt w:val="chineseCounting"/>
      <w:suff w:val="nothing"/>
      <w:lvlText w:val="（%1）"/>
      <w:lvlJc w:val="left"/>
      <w:rPr>
        <w:rFonts w:hint="eastAsia"/>
      </w:rPr>
    </w:lvl>
  </w:abstractNum>
  <w:abstractNum w:abstractNumId="2">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5"/>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DC73D1"/>
    <w:rsid w:val="2BD32298"/>
    <w:rsid w:val="31125EC6"/>
    <w:rsid w:val="50BA4FAD"/>
    <w:rsid w:val="60647886"/>
    <w:rsid w:val="610E3822"/>
    <w:rsid w:val="6540054B"/>
    <w:rsid w:val="69E40B0A"/>
    <w:rsid w:val="7807471D"/>
    <w:rsid w:val="78AA4E2A"/>
    <w:rsid w:val="BFDE359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pageBreakBefore/>
      <w:numPr>
        <w:ilvl w:val="0"/>
        <w:numId w:val="1"/>
      </w:numPr>
      <w:adjustRightInd w:val="0"/>
      <w:snapToGrid w:val="0"/>
      <w:ind w:left="431"/>
      <w:outlineLvl w:val="0"/>
    </w:pPr>
    <w:rPr>
      <w:rFonts w:ascii="Times New Roman" w:hAnsi="Times New Roman" w:eastAsia="宋体"/>
      <w:b/>
      <w:bCs/>
      <w:kern w:val="44"/>
      <w:sz w:val="30"/>
      <w:szCs w:val="44"/>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paragraph" w:styleId="5">
    <w:name w:val="Normal Indent"/>
    <w:basedOn w:val="1"/>
    <w:next w:val="6"/>
    <w:qFormat/>
    <w:uiPriority w:val="0"/>
    <w:pPr>
      <w:numPr>
        <w:ilvl w:val="1"/>
        <w:numId w:val="2"/>
      </w:numPr>
      <w:tabs>
        <w:tab w:val="left" w:pos="1534"/>
        <w:tab w:val="clear" w:pos="2254"/>
      </w:tabs>
      <w:ind w:firstLine="0" w:firstLineChars="0"/>
    </w:pPr>
  </w:style>
  <w:style w:type="paragraph" w:customStyle="1" w:styleId="6">
    <w:name w:val="正文（绿盟科技）"/>
    <w:qFormat/>
    <w:uiPriority w:val="0"/>
    <w:pPr>
      <w:spacing w:line="300" w:lineRule="auto"/>
    </w:pPr>
    <w:rPr>
      <w:rFonts w:ascii="Arial" w:hAnsi="Arial" w:eastAsia="宋体" w:cs="Times New Roman"/>
      <w:sz w:val="21"/>
      <w:szCs w:val="21"/>
      <w:lang w:val="en-US" w:eastAsia="zh-CN" w:bidi="ar-SA"/>
    </w:rPr>
  </w:style>
  <w:style w:type="paragraph" w:styleId="7">
    <w:name w:val="annotation text"/>
    <w:basedOn w:val="1"/>
    <w:qFormat/>
    <w:uiPriority w:val="0"/>
    <w:pPr>
      <w:jc w:val="left"/>
    </w:pPr>
  </w:style>
  <w:style w:type="paragraph" w:styleId="8">
    <w:name w:val="Body Text"/>
    <w:basedOn w:val="1"/>
    <w:next w:val="1"/>
    <w:qFormat/>
    <w:uiPriority w:val="0"/>
    <w:pPr>
      <w:spacing w:beforeLines="50" w:afterLines="50"/>
    </w:pPr>
    <w:rPr>
      <w:rFonts w:ascii="宋体" w:hAnsi="宋体"/>
      <w:color w:val="000000"/>
      <w:kern w:val="0"/>
      <w:sz w:val="24"/>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unhideWhenUsed/>
    <w:qFormat/>
    <w:uiPriority w:val="39"/>
    <w:pPr>
      <w:tabs>
        <w:tab w:val="left" w:pos="420"/>
        <w:tab w:val="right" w:leader="dot" w:pos="8296"/>
      </w:tabs>
      <w:ind w:firstLine="0" w:firstLineChars="0"/>
      <w:jc w:val="left"/>
    </w:pPr>
    <w:rPr>
      <w:b/>
      <w:sz w:val="24"/>
      <w:szCs w:val="21"/>
    </w:rPr>
  </w:style>
  <w:style w:type="paragraph" w:styleId="12">
    <w:name w:val="Normal (Web)"/>
    <w:basedOn w:val="1"/>
    <w:uiPriority w:val="0"/>
    <w:pPr>
      <w:spacing w:before="0" w:beforeAutospacing="1" w:after="0" w:afterAutospacing="1"/>
      <w:ind w:left="0" w:right="0"/>
      <w:jc w:val="left"/>
    </w:pPr>
    <w:rPr>
      <w:kern w:val="0"/>
      <w:sz w:val="24"/>
      <w:lang w:val="en-US" w:eastAsia="zh-CN" w:bidi="ar"/>
    </w:rPr>
  </w:style>
  <w:style w:type="paragraph" w:styleId="1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table" w:styleId="15">
    <w:name w:val="Table Grid"/>
    <w:basedOn w:val="1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7">
    <w:name w:val="标题 1 Char1"/>
    <w:qFormat/>
    <w:uiPriority w:val="0"/>
    <w:rPr>
      <w:rFonts w:ascii="Times New Roman" w:hAnsi="Times New Roman"/>
    </w:rPr>
  </w:style>
  <w:style w:type="paragraph" w:customStyle="1" w:styleId="18">
    <w:name w:val="内容正文"/>
    <w:basedOn w:val="1"/>
    <w:qFormat/>
    <w:uiPriority w:val="0"/>
    <w:pPr>
      <w:spacing w:beforeLines="50" w:afterLines="50"/>
    </w:pPr>
    <w:rPr>
      <w:rFonts w:ascii="Arial" w:hAnsi="Arial"/>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0</Words>
  <Characters>0</Characters>
  <Lines>0</Lines>
  <Paragraphs>0</Paragraphs>
  <TotalTime>12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2024-01-26T08:35:00Z</dcterms:created>
  <dc:creator>罗沛</dc:creator>
  <cp:lastModifiedBy>F199B5B158FE4D8E961406C8E17DD8F3</cp:lastModifiedBy>
  <dcterms:modified xsi:type="dcterms:W3CDTF">2025-11-27T01:36:04Z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9D559C2C97BA4649976D67F32524AB86</vt:lpwstr>
  </property>
</Properties>
</file>