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F1D25B">
      <w:pPr>
        <w:jc w:val="center"/>
        <w:rPr>
          <w:b/>
        </w:rPr>
      </w:pPr>
      <w:r>
        <w:rPr>
          <w:b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-1409700</wp:posOffset>
            </wp:positionH>
            <wp:positionV relativeFrom="paragraph">
              <wp:posOffset>-942975</wp:posOffset>
            </wp:positionV>
            <wp:extent cx="8447405" cy="2895600"/>
            <wp:effectExtent l="0" t="0" r="10795" b="0"/>
            <wp:wrapNone/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7"/>
                    <a:srcRect b="75984"/>
                    <a:stretch>
                      <a:fillRect/>
                    </a:stretch>
                  </pic:blipFill>
                  <pic:spPr>
                    <a:xfrm>
                      <a:off x="0" y="0"/>
                      <a:ext cx="8447405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527EE3A6">
      <w:pPr>
        <w:jc w:val="center"/>
        <w:rPr>
          <w:b/>
        </w:rPr>
      </w:pPr>
    </w:p>
    <w:p w14:paraId="262B4B46">
      <w:pPr>
        <w:jc w:val="center"/>
        <w:rPr>
          <w:b/>
        </w:rPr>
      </w:pPr>
    </w:p>
    <w:p w14:paraId="7007A815">
      <w:pPr>
        <w:jc w:val="center"/>
        <w:rPr>
          <w:b/>
        </w:rPr>
      </w:pPr>
    </w:p>
    <w:p w14:paraId="162DF537">
      <w:pPr>
        <w:jc w:val="center"/>
        <w:rPr>
          <w:b/>
        </w:rPr>
      </w:pPr>
    </w:p>
    <w:p w14:paraId="7886BFBC">
      <w:pPr>
        <w:jc w:val="center"/>
        <w:rPr>
          <w:b/>
        </w:rPr>
      </w:pPr>
    </w:p>
    <w:p w14:paraId="68D5E6B1">
      <w:pPr>
        <w:spacing w:line="300" w:lineRule="auto"/>
        <w:jc w:val="center"/>
        <w:rPr>
          <w:b/>
          <w:sz w:val="36"/>
          <w:szCs w:val="36"/>
        </w:rPr>
      </w:pPr>
    </w:p>
    <w:p w14:paraId="40763427">
      <w:pPr>
        <w:spacing w:line="300" w:lineRule="auto"/>
        <w:jc w:val="center"/>
        <w:rPr>
          <w:b/>
          <w:sz w:val="36"/>
          <w:szCs w:val="36"/>
        </w:rPr>
      </w:pPr>
    </w:p>
    <w:p w14:paraId="03813257">
      <w:pPr>
        <w:spacing w:line="300" w:lineRule="auto"/>
        <w:jc w:val="center"/>
        <w:rPr>
          <w:b/>
          <w:sz w:val="36"/>
          <w:szCs w:val="36"/>
        </w:rPr>
      </w:pPr>
    </w:p>
    <w:p w14:paraId="12F0F7D0">
      <w:pPr>
        <w:tabs>
          <w:tab w:val="left" w:pos="480"/>
        </w:tabs>
        <w:adjustRightInd w:val="0"/>
        <w:snapToGrid w:val="0"/>
        <w:jc w:val="center"/>
        <w:rPr>
          <w:rFonts w:hint="eastAsia"/>
          <w:b/>
          <w:sz w:val="44"/>
          <w:szCs w:val="44"/>
          <w:lang w:val="en-US" w:eastAsia="zh-CN"/>
        </w:rPr>
      </w:pPr>
      <w:r>
        <w:rPr>
          <w:rFonts w:hint="eastAsia"/>
          <w:b/>
          <w:sz w:val="44"/>
          <w:szCs w:val="44"/>
          <w:lang w:val="en-US" w:eastAsia="zh-CN"/>
        </w:rPr>
        <w:t>一种</w:t>
      </w:r>
      <w:bookmarkStart w:id="0" w:name="_Toc2675"/>
      <w:r>
        <w:rPr>
          <w:rFonts w:hint="eastAsia"/>
          <w:b/>
          <w:sz w:val="44"/>
          <w:szCs w:val="44"/>
          <w:lang w:val="en-US" w:eastAsia="zh-CN"/>
        </w:rPr>
        <w:t>低压发电车带负荷能力辅助提升装置</w:t>
      </w:r>
    </w:p>
    <w:p w14:paraId="6435E319">
      <w:pPr>
        <w:tabs>
          <w:tab w:val="left" w:pos="480"/>
        </w:tabs>
        <w:adjustRightInd w:val="0"/>
        <w:snapToGrid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技术规范</w:t>
      </w:r>
      <w:r>
        <w:rPr>
          <w:rFonts w:hint="eastAsia"/>
          <w:b/>
          <w:sz w:val="44"/>
          <w:szCs w:val="44"/>
        </w:rPr>
        <w:t>书</w:t>
      </w:r>
      <w:bookmarkEnd w:id="0"/>
    </w:p>
    <w:p w14:paraId="2EF6F66E">
      <w:pPr>
        <w:jc w:val="center"/>
      </w:pPr>
    </w:p>
    <w:p w14:paraId="349ABE4A">
      <w:pPr>
        <w:jc w:val="center"/>
      </w:pPr>
    </w:p>
    <w:p w14:paraId="51EB6DCA">
      <w:pPr>
        <w:jc w:val="center"/>
      </w:pPr>
    </w:p>
    <w:p w14:paraId="08CB6830">
      <w:pPr>
        <w:jc w:val="center"/>
      </w:pPr>
    </w:p>
    <w:p w14:paraId="253630D3">
      <w:pPr>
        <w:jc w:val="center"/>
      </w:pPr>
    </w:p>
    <w:p w14:paraId="5FDED851">
      <w:pPr>
        <w:jc w:val="center"/>
      </w:pPr>
    </w:p>
    <w:p w14:paraId="79144CE1">
      <w:pPr>
        <w:jc w:val="center"/>
      </w:pPr>
    </w:p>
    <w:p w14:paraId="516C0E1D">
      <w:pPr>
        <w:jc w:val="center"/>
      </w:pPr>
    </w:p>
    <w:p w14:paraId="68633891">
      <w:pPr>
        <w:jc w:val="center"/>
      </w:pPr>
    </w:p>
    <w:p w14:paraId="5001A0EC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海南电网</w:t>
      </w:r>
      <w:r>
        <w:rPr>
          <w:rFonts w:hint="eastAsia"/>
          <w:b/>
          <w:sz w:val="44"/>
          <w:szCs w:val="44"/>
        </w:rPr>
        <w:t>有限责任</w:t>
      </w:r>
      <w:r>
        <w:rPr>
          <w:b/>
          <w:sz w:val="44"/>
          <w:szCs w:val="44"/>
        </w:rPr>
        <w:t>公司</w:t>
      </w:r>
    </w:p>
    <w:p w14:paraId="721AB329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二〇</w:t>
      </w:r>
      <w:r>
        <w:rPr>
          <w:rFonts w:hint="eastAsia"/>
          <w:b/>
          <w:sz w:val="30"/>
          <w:szCs w:val="30"/>
        </w:rPr>
        <w:t>二</w:t>
      </w:r>
      <w:r>
        <w:rPr>
          <w:rFonts w:hint="eastAsia"/>
          <w:b/>
          <w:sz w:val="30"/>
          <w:szCs w:val="30"/>
          <w:lang w:val="en-US" w:eastAsia="zh-CN"/>
        </w:rPr>
        <w:t>五</w:t>
      </w:r>
      <w:r>
        <w:rPr>
          <w:b/>
          <w:sz w:val="30"/>
          <w:szCs w:val="30"/>
        </w:rPr>
        <w:t>年</w:t>
      </w:r>
      <w:r>
        <w:rPr>
          <w:rFonts w:hint="eastAsia"/>
          <w:b/>
          <w:sz w:val="30"/>
          <w:szCs w:val="30"/>
          <w:lang w:val="en-US" w:eastAsia="zh-CN"/>
        </w:rPr>
        <w:t>十一</w:t>
      </w:r>
      <w:r>
        <w:rPr>
          <w:b/>
          <w:sz w:val="30"/>
          <w:szCs w:val="30"/>
        </w:rPr>
        <w:t>月</w:t>
      </w:r>
    </w:p>
    <w:p w14:paraId="42B7B167">
      <w:pPr>
        <w:jc w:val="center"/>
      </w:pPr>
      <w:r>
        <w:br w:type="page"/>
      </w:r>
    </w:p>
    <w:sdt>
      <w:sdtPr>
        <w:rPr>
          <w:rFonts w:ascii="宋体" w:hAnsi="宋体" w:eastAsia="宋体" w:cs="Times New Roman"/>
          <w:kern w:val="2"/>
          <w:sz w:val="21"/>
          <w:szCs w:val="24"/>
          <w:lang w:val="en-US" w:eastAsia="zh-CN" w:bidi="ar-SA"/>
        </w:rPr>
        <w:id w:val="147458049"/>
        <w15:color w:val="DBDBDB"/>
        <w:docPartObj>
          <w:docPartGallery w:val="Table of Contents"/>
          <w:docPartUnique/>
        </w:docPartObj>
      </w:sdtPr>
      <w:sdtEndPr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sdtEndPr>
      <w:sdtContent>
        <w:p w14:paraId="6B62C3E4">
          <w:pPr>
            <w:pStyle w:val="8"/>
            <w:tabs>
              <w:tab w:val="left" w:pos="420"/>
              <w:tab w:val="right" w:leader="dot" w:pos="8296"/>
            </w:tabs>
            <w:jc w:val="center"/>
            <w:rPr>
              <w:rFonts w:ascii="Times New Roman" w:hAnsi="Times New Roman" w:eastAsia="宋体" w:cs="Times New Roman"/>
              <w:b/>
              <w:kern w:val="2"/>
              <w:sz w:val="30"/>
              <w:szCs w:val="30"/>
              <w:lang w:val="en-US" w:eastAsia="zh-CN" w:bidi="ar-SA"/>
            </w:rPr>
          </w:pPr>
          <w:r>
            <w:rPr>
              <w:b/>
              <w:sz w:val="30"/>
              <w:szCs w:val="30"/>
              <w:lang w:val="en-US" w:eastAsia="zh-CN"/>
            </w:rPr>
            <w:t>目</w:t>
          </w:r>
          <w:r>
            <w:rPr>
              <w:rFonts w:hint="eastAsia"/>
              <w:b/>
              <w:sz w:val="30"/>
              <w:szCs w:val="30"/>
              <w:lang w:val="en-US" w:eastAsia="zh-CN"/>
            </w:rPr>
            <w:t xml:space="preserve">  </w:t>
          </w:r>
          <w:r>
            <w:rPr>
              <w:b/>
              <w:sz w:val="30"/>
              <w:szCs w:val="30"/>
              <w:lang w:val="en-US" w:eastAsia="zh-CN"/>
            </w:rPr>
            <w:t>录</w:t>
          </w:r>
        </w:p>
        <w:p w14:paraId="48CBE2A6">
          <w:pPr>
            <w:pStyle w:val="9"/>
            <w:widowControl w:val="0"/>
            <w:tabs>
              <w:tab w:val="right" w:leader="dot" w:pos="8306"/>
            </w:tabs>
            <w:spacing w:after="0" w:line="360" w:lineRule="auto"/>
            <w:ind w:left="480" w:leftChars="200"/>
            <w:jc w:val="both"/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</w:pPr>
          <w:r>
            <w:fldChar w:fldCharType="begin"/>
          </w:r>
          <w:r>
            <w:instrText xml:space="preserve">TOC \o "1-3" \h \u </w:instrText>
          </w:r>
          <w:r>
            <w:fldChar w:fldCharType="separate"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begin"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instrText xml:space="preserve"> HYPERLINK \l _Toc18400 </w:instrText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separate"/>
          </w:r>
          <w:r>
            <w:rPr>
              <w:rFonts w:hint="eastAsia"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t>1.总则</w:t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tab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begin"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instrText xml:space="preserve"> PAGEREF _Toc18400 \h </w:instrText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separate"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t>1</w:t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end"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end"/>
          </w:r>
        </w:p>
        <w:p w14:paraId="214FFC48">
          <w:pPr>
            <w:pStyle w:val="9"/>
            <w:widowControl w:val="0"/>
            <w:tabs>
              <w:tab w:val="right" w:leader="dot" w:pos="8306"/>
            </w:tabs>
            <w:spacing w:after="0" w:line="360" w:lineRule="auto"/>
            <w:ind w:left="480" w:leftChars="200"/>
            <w:jc w:val="both"/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</w:pP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begin"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instrText xml:space="preserve"> HYPERLINK \l _Toc24580 </w:instrText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separate"/>
          </w:r>
          <w:r>
            <w:rPr>
              <w:rFonts w:hint="eastAsia"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t>2.项目目标</w:t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tab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begin"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instrText xml:space="preserve"> PAGEREF _Toc24580 \h </w:instrText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separate"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t>1</w:t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end"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end"/>
          </w:r>
        </w:p>
        <w:p w14:paraId="4123B0A5">
          <w:pPr>
            <w:pStyle w:val="9"/>
            <w:widowControl w:val="0"/>
            <w:tabs>
              <w:tab w:val="right" w:leader="dot" w:pos="8306"/>
            </w:tabs>
            <w:spacing w:after="0" w:line="360" w:lineRule="auto"/>
            <w:ind w:left="480" w:leftChars="200"/>
            <w:jc w:val="both"/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</w:pP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begin"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instrText xml:space="preserve"> HYPERLINK \l _Toc3135 </w:instrText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separate"/>
          </w:r>
          <w:r>
            <w:rPr>
              <w:rFonts w:hint="eastAsia"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t>3.服务界限</w:t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tab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begin"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instrText xml:space="preserve"> PAGEREF _Toc3135 \h </w:instrText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separate"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t>1</w:t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end"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end"/>
          </w:r>
        </w:p>
        <w:p w14:paraId="6DDA415A">
          <w:pPr>
            <w:pStyle w:val="9"/>
            <w:widowControl w:val="0"/>
            <w:tabs>
              <w:tab w:val="right" w:leader="dot" w:pos="8306"/>
            </w:tabs>
            <w:spacing w:after="0" w:line="360" w:lineRule="auto"/>
            <w:ind w:left="480" w:leftChars="200"/>
            <w:jc w:val="both"/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</w:pP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begin"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instrText xml:space="preserve"> HYPERLINK \l _Toc777 </w:instrText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separate"/>
          </w:r>
          <w:r>
            <w:rPr>
              <w:rFonts w:hint="eastAsia"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t>4.项目总体要求</w:t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tab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begin"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instrText xml:space="preserve"> PAGEREF _Toc777 \h </w:instrText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separate"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t>2</w:t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end"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end"/>
          </w:r>
        </w:p>
        <w:p w14:paraId="3EE366D5">
          <w:pPr>
            <w:pStyle w:val="9"/>
            <w:widowControl w:val="0"/>
            <w:tabs>
              <w:tab w:val="right" w:leader="dot" w:pos="8306"/>
            </w:tabs>
            <w:spacing w:after="0" w:line="360" w:lineRule="auto"/>
            <w:ind w:left="480" w:leftChars="200"/>
            <w:jc w:val="both"/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</w:pP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begin"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instrText xml:space="preserve"> HYPERLINK \l _Toc24559 </w:instrText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separate"/>
          </w:r>
          <w:r>
            <w:rPr>
              <w:rFonts w:hint="eastAsia"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t>5.</w:t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t xml:space="preserve"> </w:t>
          </w:r>
          <w:r>
            <w:rPr>
              <w:rFonts w:hint="eastAsia"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t>技术要求与指标</w:t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tab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begin"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instrText xml:space="preserve"> PAGEREF _Toc24559 \h </w:instrText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separate"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t>2</w:t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end"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end"/>
          </w:r>
        </w:p>
        <w:p w14:paraId="22A05409">
          <w:pPr>
            <w:pStyle w:val="5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_Toc10847 </w:instrText>
          </w:r>
          <w:r>
            <w:fldChar w:fldCharType="separate"/>
          </w:r>
          <w:r>
            <w:rPr>
              <w:rFonts w:hint="eastAsia"/>
            </w:rPr>
            <w:t>5.1功能说明及技术参数</w:t>
          </w:r>
          <w:r>
            <w:tab/>
          </w:r>
          <w:r>
            <w:fldChar w:fldCharType="begin"/>
          </w:r>
          <w:r>
            <w:instrText xml:space="preserve"> PAGEREF _Toc10847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fldChar w:fldCharType="end"/>
          </w:r>
        </w:p>
        <w:p w14:paraId="501AA87B">
          <w:pPr>
            <w:pStyle w:val="5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_Toc30934 </w:instrText>
          </w:r>
          <w:r>
            <w:fldChar w:fldCharType="separate"/>
          </w:r>
          <w:r>
            <w:rPr>
              <w:rFonts w:hint="eastAsia"/>
            </w:rPr>
            <w:t>5.2 所需专用材料使用条件</w:t>
          </w:r>
          <w:r>
            <w:tab/>
          </w:r>
          <w:r>
            <w:fldChar w:fldCharType="begin"/>
          </w:r>
          <w:r>
            <w:instrText xml:space="preserve"> PAGEREF _Toc30934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 w14:paraId="4F032276">
          <w:pPr>
            <w:pStyle w:val="9"/>
            <w:widowControl w:val="0"/>
            <w:tabs>
              <w:tab w:val="right" w:leader="dot" w:pos="8306"/>
            </w:tabs>
            <w:spacing w:after="0" w:line="360" w:lineRule="auto"/>
            <w:ind w:left="480" w:leftChars="200"/>
            <w:jc w:val="both"/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</w:pP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begin"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instrText xml:space="preserve"> HYPERLINK \l _Toc20618 </w:instrText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separate"/>
          </w:r>
          <w:r>
            <w:rPr>
              <w:rFonts w:hint="eastAsia"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t>6.项目管理</w:t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tab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begin"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instrText xml:space="preserve"> PAGEREF _Toc20618 \h </w:instrText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separate"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t>3</w:t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end"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end"/>
          </w:r>
        </w:p>
        <w:p w14:paraId="11D4CA7F">
          <w:pPr>
            <w:pStyle w:val="5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_Toc23256 </w:instrText>
          </w:r>
          <w:r>
            <w:fldChar w:fldCharType="separate"/>
          </w:r>
          <w:r>
            <w:rPr>
              <w:rFonts w:hint="eastAsia"/>
            </w:rPr>
            <w:t>6.1</w:t>
          </w:r>
          <w:r>
            <w:t>项目管理</w:t>
          </w:r>
          <w:r>
            <w:tab/>
          </w:r>
          <w:r>
            <w:fldChar w:fldCharType="begin"/>
          </w:r>
          <w:r>
            <w:instrText xml:space="preserve"> PAGEREF _Toc23256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 w14:paraId="7F6BBD01">
          <w:pPr>
            <w:pStyle w:val="5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_Toc14237 </w:instrText>
          </w:r>
          <w:r>
            <w:fldChar w:fldCharType="separate"/>
          </w:r>
          <w:r>
            <w:rPr>
              <w:rFonts w:hint="eastAsia"/>
            </w:rPr>
            <w:t>6.2质量保证</w:t>
          </w:r>
          <w:r>
            <w:tab/>
          </w:r>
          <w:r>
            <w:fldChar w:fldCharType="begin"/>
          </w:r>
          <w:r>
            <w:instrText xml:space="preserve"> PAGEREF _Toc14237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 w14:paraId="449EC26C">
          <w:pPr>
            <w:pStyle w:val="5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_Toc24178 </w:instrText>
          </w:r>
          <w:r>
            <w:fldChar w:fldCharType="separate"/>
          </w:r>
          <w:r>
            <w:rPr>
              <w:rFonts w:hint="eastAsia"/>
              <w:szCs w:val="28"/>
              <w:highlight w:val="none"/>
            </w:rPr>
            <w:t>6.3</w:t>
          </w:r>
          <w:r>
            <w:rPr>
              <w:szCs w:val="28"/>
              <w:highlight w:val="none"/>
            </w:rPr>
            <w:t>项目进度管理</w:t>
          </w:r>
          <w:r>
            <w:tab/>
          </w:r>
          <w:r>
            <w:fldChar w:fldCharType="begin"/>
          </w:r>
          <w:r>
            <w:instrText xml:space="preserve"> PAGEREF _Toc24178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 w14:paraId="32AC598B">
          <w:pPr>
            <w:pStyle w:val="9"/>
            <w:widowControl w:val="0"/>
            <w:tabs>
              <w:tab w:val="right" w:leader="dot" w:pos="8306"/>
            </w:tabs>
            <w:spacing w:after="0" w:line="360" w:lineRule="auto"/>
            <w:ind w:left="480" w:leftChars="200"/>
            <w:jc w:val="both"/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</w:pP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begin"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instrText xml:space="preserve"> HYPERLINK \l _Toc25076 </w:instrText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separate"/>
          </w:r>
          <w:r>
            <w:rPr>
              <w:rFonts w:hint="eastAsia"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t>7.技术服务</w:t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tab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begin"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instrText xml:space="preserve"> PAGEREF _Toc25076 \h </w:instrText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separate"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t>4</w:t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end"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end"/>
          </w:r>
        </w:p>
        <w:p w14:paraId="6BF400B7">
          <w:pPr>
            <w:pStyle w:val="9"/>
            <w:widowControl w:val="0"/>
            <w:tabs>
              <w:tab w:val="right" w:leader="dot" w:pos="8306"/>
            </w:tabs>
            <w:spacing w:after="0" w:line="360" w:lineRule="auto"/>
            <w:ind w:left="480" w:leftChars="200"/>
            <w:jc w:val="both"/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</w:pP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begin"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instrText xml:space="preserve"> HYPERLINK \l _Toc8476 </w:instrText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separate"/>
          </w:r>
          <w:r>
            <w:rPr>
              <w:rFonts w:hint="eastAsia"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t>8.验收</w:t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tab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begin"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instrText xml:space="preserve"> PAGEREF _Toc8476 \h </w:instrText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separate"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t>5</w:t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end"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end"/>
          </w:r>
        </w:p>
        <w:p w14:paraId="44F19B9C">
          <w:pPr>
            <w:pStyle w:val="9"/>
            <w:widowControl w:val="0"/>
            <w:tabs>
              <w:tab w:val="right" w:leader="dot" w:pos="8306"/>
            </w:tabs>
            <w:spacing w:after="0" w:line="360" w:lineRule="auto"/>
            <w:ind w:left="480" w:leftChars="200"/>
            <w:jc w:val="both"/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</w:pP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begin"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instrText xml:space="preserve"> HYPERLINK \l _Toc12684 </w:instrText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separate"/>
          </w:r>
          <w:r>
            <w:rPr>
              <w:rFonts w:hint="eastAsia"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t>9.预期成果</w:t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tab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begin"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instrText xml:space="preserve"> PAGEREF _Toc12684 \h </w:instrText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separate"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t>5</w:t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end"/>
          </w:r>
          <w:r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  <w:fldChar w:fldCharType="end"/>
          </w:r>
        </w:p>
        <w:p w14:paraId="0C0770DB">
          <w:pPr>
            <w:jc w:val="center"/>
            <w:rPr>
              <w:rFonts w:ascii="Times New Roman" w:hAnsi="Times New Roman" w:eastAsia="宋体" w:cs="Times New Roman"/>
              <w:kern w:val="2"/>
              <w:sz w:val="24"/>
              <w:szCs w:val="24"/>
              <w:lang w:val="en-US" w:eastAsia="zh-CN" w:bidi="ar-SA"/>
            </w:rPr>
          </w:pPr>
          <w:r>
            <w:fldChar w:fldCharType="end"/>
          </w:r>
        </w:p>
      </w:sdtContent>
    </w:sdt>
    <w:p w14:paraId="2843639E">
      <w:pPr>
        <w:jc w:val="center"/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</w:p>
    <w:p w14:paraId="73F91607">
      <w:pPr>
        <w:jc w:val="center"/>
      </w:pPr>
    </w:p>
    <w:p w14:paraId="5D269965"/>
    <w:p w14:paraId="3D812507"/>
    <w:p w14:paraId="2B00EA53"/>
    <w:p w14:paraId="3A3E3DD7"/>
    <w:p w14:paraId="49D62BA3"/>
    <w:p w14:paraId="603976AD"/>
    <w:p w14:paraId="03870896"/>
    <w:p w14:paraId="22ECCD34"/>
    <w:p w14:paraId="1D203CA2"/>
    <w:p w14:paraId="76D4E415"/>
    <w:p w14:paraId="327620AC"/>
    <w:p w14:paraId="6E0E934E"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1CB830AF">
      <w:pPr>
        <w:pStyle w:val="2"/>
        <w:outlineLvl w:val="0"/>
        <w:rPr>
          <w:rFonts w:ascii="Times New Roman" w:hAnsi="Times New Roman"/>
          <w:szCs w:val="30"/>
        </w:rPr>
      </w:pPr>
      <w:bookmarkStart w:id="1" w:name="_Toc291690053"/>
      <w:bookmarkStart w:id="2" w:name="_Toc351722588"/>
      <w:bookmarkStart w:id="3" w:name="_Toc18400"/>
      <w:bookmarkStart w:id="4" w:name="_Toc32676"/>
      <w:bookmarkStart w:id="5" w:name="_Toc10814"/>
      <w:bookmarkStart w:id="6" w:name="_Toc10800"/>
      <w:bookmarkStart w:id="7" w:name="_Toc25851"/>
      <w:r>
        <w:rPr>
          <w:rFonts w:hint="eastAsia" w:ascii="Times New Roman" w:hAnsi="Times New Roman"/>
          <w:szCs w:val="30"/>
        </w:rPr>
        <w:t>1.总则</w:t>
      </w:r>
      <w:bookmarkEnd w:id="1"/>
      <w:bookmarkEnd w:id="2"/>
      <w:bookmarkEnd w:id="3"/>
      <w:bookmarkEnd w:id="4"/>
      <w:bookmarkEnd w:id="5"/>
      <w:bookmarkEnd w:id="6"/>
      <w:bookmarkEnd w:id="7"/>
    </w:p>
    <w:p w14:paraId="1F96786C">
      <w:pPr>
        <w:adjustRightInd w:val="0"/>
        <w:snapToGrid w:val="0"/>
        <w:ind w:firstLine="480" w:firstLineChars="200"/>
      </w:pPr>
      <w:r>
        <w:t>本技术规范仅针对</w:t>
      </w:r>
      <w:r>
        <w:rPr>
          <w:rFonts w:hint="eastAsia"/>
        </w:rPr>
        <w:t>“</w:t>
      </w:r>
      <w:r>
        <w:rPr>
          <w:rFonts w:hint="eastAsia" w:ascii="宋体" w:hAnsi="宋体" w:cs="宋体"/>
          <w:szCs w:val="21"/>
          <w:lang w:eastAsia="zh-CN"/>
        </w:rPr>
        <w:t>低压发电车带负荷能力辅助提升装置</w:t>
      </w:r>
      <w:r>
        <w:rPr>
          <w:rFonts w:hint="eastAsia"/>
        </w:rPr>
        <w:t>”项目</w:t>
      </w:r>
      <w:r>
        <w:t>（以下简称项目）。</w:t>
      </w:r>
    </w:p>
    <w:p w14:paraId="1F2C2E10">
      <w:pPr>
        <w:adjustRightInd w:val="0"/>
        <w:snapToGrid w:val="0"/>
        <w:ind w:firstLine="480" w:firstLineChars="200"/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1）</w:t>
      </w:r>
      <w:r>
        <w:t>本技术规范提出的是该项目最低限度的技术要求</w:t>
      </w:r>
      <w:r>
        <w:rPr>
          <w:rFonts w:hint="eastAsia"/>
        </w:rPr>
        <w:t>，如有与计划任务单研究要求有差异，投标人的响应应满足两者的最高研究要求。</w:t>
      </w:r>
    </w:p>
    <w:p w14:paraId="7EF7A00C">
      <w:pPr>
        <w:adjustRightInd w:val="0"/>
        <w:snapToGrid w:val="0"/>
        <w:ind w:firstLine="480" w:firstLineChars="200"/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2）</w:t>
      </w:r>
      <w:r>
        <w:t>如果投标人以书面形式对本技术规范的条文提出异议</w:t>
      </w:r>
      <w:r>
        <w:rPr>
          <w:rFonts w:hint="eastAsia"/>
        </w:rPr>
        <w:t>，</w:t>
      </w:r>
      <w:r>
        <w:t>则招标人</w:t>
      </w:r>
      <w:r>
        <w:rPr>
          <w:rFonts w:hint="eastAsia"/>
        </w:rPr>
        <w:t>、</w:t>
      </w:r>
      <w:r>
        <w:t>投标人双方应达成一致意见后，方可修改研究方向。</w:t>
      </w:r>
    </w:p>
    <w:p w14:paraId="2258D348">
      <w:pPr>
        <w:adjustRightInd w:val="0"/>
        <w:snapToGrid w:val="0"/>
        <w:ind w:firstLine="480" w:firstLineChars="200"/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3）</w:t>
      </w:r>
      <w:r>
        <w:t>投标人所执行的内容如与本技术规范</w:t>
      </w:r>
      <w:r>
        <w:rPr>
          <w:rFonts w:hint="eastAsia"/>
        </w:rPr>
        <w:t>书要求</w:t>
      </w:r>
      <w:r>
        <w:t>的项目研究内容</w:t>
      </w:r>
      <w:r>
        <w:rPr>
          <w:rFonts w:hint="eastAsia"/>
        </w:rPr>
        <w:t>有差异</w:t>
      </w:r>
      <w:r>
        <w:t>，投标人应按</w:t>
      </w:r>
      <w:r>
        <w:rPr>
          <w:rFonts w:hint="eastAsia"/>
        </w:rPr>
        <w:t>招标人认可的</w:t>
      </w:r>
      <w:r>
        <w:t>更</w:t>
      </w:r>
      <w:r>
        <w:rPr>
          <w:rFonts w:hint="eastAsia"/>
        </w:rPr>
        <w:t>高</w:t>
      </w:r>
      <w:r>
        <w:t>研究标准执行。</w:t>
      </w:r>
    </w:p>
    <w:p w14:paraId="13B0CACC">
      <w:pPr>
        <w:adjustRightInd w:val="0"/>
        <w:snapToGrid w:val="0"/>
        <w:ind w:firstLine="480" w:firstLineChars="200"/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4）</w:t>
      </w:r>
      <w:r>
        <w:t>本技术规范未尽事宜</w:t>
      </w:r>
      <w:r>
        <w:rPr>
          <w:rFonts w:hint="eastAsia"/>
        </w:rPr>
        <w:t>，</w:t>
      </w:r>
      <w:r>
        <w:t>由招标人、投标人双方协商确定。</w:t>
      </w:r>
    </w:p>
    <w:p w14:paraId="6D8617A1">
      <w:pPr>
        <w:adjustRightInd w:val="0"/>
        <w:snapToGrid w:val="0"/>
        <w:ind w:firstLine="480" w:firstLineChars="200"/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5）</w:t>
      </w:r>
      <w:r>
        <w:rPr>
          <w:rFonts w:hint="eastAsia"/>
        </w:rPr>
        <w:t>本规范书指标要求中，凡标有下划线或加“★”的地方均被视为重要的技术指标要求或性能要求，投标方必须做详细应答。</w:t>
      </w:r>
    </w:p>
    <w:p w14:paraId="62DF4239">
      <w:pPr>
        <w:adjustRightInd w:val="0"/>
        <w:snapToGrid w:val="0"/>
        <w:ind w:firstLine="480" w:firstLineChars="200"/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6）</w:t>
      </w:r>
      <w:r>
        <w:rPr>
          <w:rFonts w:hint="eastAsia"/>
        </w:rPr>
        <w:t>★投标方应在投标文件中给出项目实施具体方案，需满足技术要求和功能要求。</w:t>
      </w:r>
    </w:p>
    <w:p w14:paraId="4F0C282E">
      <w:pPr>
        <w:adjustRightInd w:val="0"/>
        <w:snapToGrid w:val="0"/>
        <w:ind w:firstLine="480" w:firstLineChars="200"/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7）</w:t>
      </w:r>
      <w:r>
        <w:rPr>
          <w:rFonts w:hint="eastAsia"/>
        </w:rPr>
        <w:t>★投标方</w:t>
      </w:r>
      <w:r>
        <w:rPr>
          <w:rFonts w:hint="eastAsia"/>
          <w:lang w:val="en-US" w:eastAsia="zh-CN"/>
        </w:rPr>
        <w:t>需要确保不得侵犯他人知识产权，否则将承担相应的法律责任。</w:t>
      </w:r>
    </w:p>
    <w:p w14:paraId="3863CED7">
      <w:pPr>
        <w:pStyle w:val="2"/>
        <w:outlineLvl w:val="0"/>
        <w:rPr>
          <w:rFonts w:ascii="Times New Roman" w:hAnsi="Times New Roman"/>
          <w:szCs w:val="30"/>
        </w:rPr>
      </w:pPr>
      <w:bookmarkStart w:id="8" w:name="_Toc1374"/>
      <w:bookmarkStart w:id="9" w:name="_Toc10585"/>
      <w:bookmarkStart w:id="10" w:name="_Toc13136"/>
      <w:bookmarkStart w:id="11" w:name="_Toc24580"/>
      <w:bookmarkStart w:id="12" w:name="_Toc28325"/>
      <w:r>
        <w:rPr>
          <w:rFonts w:hint="eastAsia" w:ascii="Times New Roman" w:hAnsi="Times New Roman"/>
          <w:szCs w:val="30"/>
        </w:rPr>
        <w:t>2.项目目标</w:t>
      </w:r>
      <w:bookmarkEnd w:id="8"/>
      <w:bookmarkEnd w:id="9"/>
      <w:bookmarkEnd w:id="10"/>
      <w:bookmarkEnd w:id="11"/>
      <w:bookmarkEnd w:id="12"/>
    </w:p>
    <w:p w14:paraId="5D231E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napToGrid/>
        <w:spacing w:line="500" w:lineRule="exact"/>
        <w:ind w:firstLine="480" w:firstLineChars="200"/>
        <w:jc w:val="left"/>
        <w:rPr>
          <w:rFonts w:hint="eastAsia" w:asciiTheme="minorEastAsia" w:hAnsiTheme="minorEastAsia" w:eastAsiaTheme="minorEastAsia" w:cstheme="minorEastAsia"/>
          <w:i w:val="0"/>
          <w:color w:val="auto"/>
          <w:lang w:val="en-US" w:eastAsia="zh-CN"/>
        </w:rPr>
      </w:pPr>
      <w:bookmarkStart w:id="13" w:name="OLE_LINK1"/>
      <w:bookmarkStart w:id="14" w:name="OLE_LINK2"/>
      <w:r>
        <w:rPr>
          <w:rFonts w:hint="eastAsia"/>
        </w:rPr>
        <w:t>本项目</w:t>
      </w:r>
      <w:r>
        <w:rPr>
          <w:rFonts w:hint="eastAsia" w:asciiTheme="minorEastAsia" w:hAnsiTheme="minorEastAsia" w:eastAsiaTheme="minorEastAsia" w:cstheme="minorEastAsia"/>
          <w:i w:val="0"/>
          <w:color w:val="auto"/>
          <w:lang w:val="en-US" w:eastAsia="zh-CN"/>
        </w:rPr>
        <w:t>基于三相有源逆变理论，研制一种低压发电车带负荷能力辅助提升装置，通过在发电车出口并联提升装置的措施，可将低压发电车输出负荷三相不平衡度最大100%调控至5%以内，负荷谐波含有率最大（THD）20%调控至（THD）5%以内。解决低压发电车因居民负荷不平衡和非线性问题而停机的问题。</w:t>
      </w:r>
    </w:p>
    <w:bookmarkEnd w:id="13"/>
    <w:bookmarkEnd w:id="14"/>
    <w:p w14:paraId="07293CA5">
      <w:pPr>
        <w:pStyle w:val="2"/>
        <w:outlineLvl w:val="0"/>
        <w:rPr>
          <w:rFonts w:ascii="Times New Roman" w:hAnsi="Times New Roman"/>
          <w:szCs w:val="30"/>
        </w:rPr>
      </w:pPr>
      <w:bookmarkStart w:id="15" w:name="_Toc8705"/>
      <w:bookmarkStart w:id="16" w:name="_Toc5893"/>
      <w:bookmarkStart w:id="17" w:name="_Toc30712"/>
      <w:bookmarkStart w:id="18" w:name="_Toc3135"/>
      <w:bookmarkStart w:id="19" w:name="_Toc11329"/>
      <w:r>
        <w:rPr>
          <w:rFonts w:hint="eastAsia" w:ascii="Times New Roman" w:hAnsi="Times New Roman"/>
          <w:szCs w:val="30"/>
        </w:rPr>
        <w:t>3.服务界限</w:t>
      </w:r>
      <w:bookmarkEnd w:id="15"/>
      <w:bookmarkEnd w:id="16"/>
      <w:bookmarkEnd w:id="17"/>
      <w:bookmarkEnd w:id="18"/>
      <w:bookmarkEnd w:id="19"/>
    </w:p>
    <w:p w14:paraId="044533D8">
      <w:pPr>
        <w:adjustRightInd w:val="0"/>
        <w:snapToGrid w:val="0"/>
        <w:ind w:firstLine="480" w:firstLineChars="200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1）</w:t>
      </w:r>
      <w:r>
        <w:rPr>
          <w:rFonts w:hint="eastAsia"/>
        </w:rPr>
        <w:t>投标方需完成本技术规范书规定的研究内容，包含但不限于功能</w:t>
      </w:r>
      <w:r>
        <w:rPr>
          <w:rFonts w:hint="eastAsia"/>
          <w:lang w:val="en-US" w:eastAsia="zh-CN"/>
        </w:rPr>
        <w:t>开</w:t>
      </w:r>
      <w:r>
        <w:rPr>
          <w:rFonts w:hint="eastAsia"/>
        </w:rPr>
        <w:t>发及其他成果的集成。</w:t>
      </w:r>
    </w:p>
    <w:p w14:paraId="5BDCBB82">
      <w:pPr>
        <w:adjustRightInd w:val="0"/>
        <w:snapToGrid w:val="0"/>
        <w:ind w:firstLine="480" w:firstLineChars="200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2）</w:t>
      </w:r>
      <w:r>
        <w:rPr>
          <w:rFonts w:hint="eastAsia"/>
        </w:rPr>
        <w:t>投标人配合招标人做好项目专利申请，视频制作等工作。</w:t>
      </w:r>
    </w:p>
    <w:p w14:paraId="778E8FBE">
      <w:pPr>
        <w:adjustRightInd w:val="0"/>
        <w:snapToGrid w:val="0"/>
        <w:ind w:firstLine="480" w:firstLineChars="200"/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3）</w:t>
      </w:r>
      <w:r>
        <w:rPr>
          <w:rFonts w:hint="eastAsia"/>
        </w:rPr>
        <w:t>投标方必须提供系统使用手册，负责招标方技术人员的培训，确保技术人员在培训后能熟练地掌握程序软件的运行、维护和管理。</w:t>
      </w:r>
    </w:p>
    <w:p w14:paraId="414C3828">
      <w:pPr>
        <w:adjustRightInd w:val="0"/>
        <w:snapToGrid w:val="0"/>
        <w:ind w:firstLine="480" w:firstLineChars="200"/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4）</w:t>
      </w:r>
      <w:r>
        <w:rPr>
          <w:rFonts w:hint="eastAsia"/>
        </w:rPr>
        <w:t>投标人定期向建设单位汇报项目进展，并根据需求在项目实施现场开展相应的研发工作。</w:t>
      </w:r>
    </w:p>
    <w:p w14:paraId="084B3790">
      <w:pPr>
        <w:adjustRightInd w:val="0"/>
        <w:snapToGrid w:val="0"/>
        <w:ind w:firstLine="480" w:firstLineChars="200"/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5）</w:t>
      </w:r>
      <w:r>
        <w:rPr>
          <w:rFonts w:hint="eastAsia"/>
        </w:rPr>
        <w:t>投标人应按项目计划进度，协助召开项目的检查、评审、验收等会议。</w:t>
      </w:r>
    </w:p>
    <w:p w14:paraId="29672834">
      <w:pPr>
        <w:adjustRightInd w:val="0"/>
        <w:snapToGrid w:val="0"/>
        <w:ind w:firstLine="480" w:firstLineChars="200"/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6）</w:t>
      </w:r>
      <w:r>
        <w:rPr>
          <w:rFonts w:hint="eastAsia"/>
        </w:rPr>
        <w:t>投标人必须配合做好项目研究开发费的税前加计扣除工作，具体要求见《财政部关于企业加强研发费用财务管理的若干意见》和《企业研究开发费用税前扣除管理办法（试行）》。</w:t>
      </w:r>
    </w:p>
    <w:p w14:paraId="55B3CFB8">
      <w:pPr>
        <w:pStyle w:val="2"/>
        <w:outlineLvl w:val="0"/>
        <w:rPr>
          <w:rFonts w:ascii="Times New Roman" w:hAnsi="Times New Roman"/>
          <w:szCs w:val="30"/>
        </w:rPr>
      </w:pPr>
      <w:bookmarkStart w:id="20" w:name="_Toc4307"/>
      <w:bookmarkStart w:id="21" w:name="_Toc4126"/>
      <w:bookmarkStart w:id="22" w:name="_Toc17978"/>
      <w:bookmarkStart w:id="23" w:name="_Toc777"/>
      <w:bookmarkStart w:id="24" w:name="_Toc25678"/>
      <w:r>
        <w:rPr>
          <w:rFonts w:hint="eastAsia" w:ascii="Times New Roman" w:hAnsi="Times New Roman"/>
          <w:szCs w:val="30"/>
        </w:rPr>
        <w:t>4.项目总体要求</w:t>
      </w:r>
      <w:bookmarkEnd w:id="20"/>
      <w:bookmarkEnd w:id="21"/>
      <w:bookmarkEnd w:id="22"/>
      <w:bookmarkEnd w:id="23"/>
      <w:bookmarkEnd w:id="24"/>
    </w:p>
    <w:p w14:paraId="24F36024">
      <w:pPr>
        <w:spacing w:line="500" w:lineRule="exact"/>
        <w:ind w:firstLine="480" w:firstLineChars="200"/>
      </w:pPr>
      <w:r>
        <w:rPr>
          <w:rFonts w:hint="eastAsia"/>
        </w:rPr>
        <w:t>★投标方需了解</w:t>
      </w:r>
      <w:r>
        <w:rPr>
          <w:rFonts w:hint="eastAsia"/>
          <w:lang w:val="en-US" w:eastAsia="zh-CN"/>
        </w:rPr>
        <w:t>且</w:t>
      </w:r>
      <w:r>
        <w:rPr>
          <w:rFonts w:hint="eastAsia"/>
        </w:rPr>
        <w:t>理解具体技术方向，并</w:t>
      </w:r>
      <w:r>
        <w:rPr>
          <w:rFonts w:hint="eastAsia"/>
          <w:lang w:val="en-US" w:eastAsia="zh-CN"/>
        </w:rPr>
        <w:t>根据项目目标</w:t>
      </w:r>
      <w:r>
        <w:rPr>
          <w:rFonts w:hint="eastAsia"/>
        </w:rPr>
        <w:t>提供具体解决方案以证明投标方具有本项目的研发和服务能力。</w:t>
      </w:r>
      <w:r>
        <w:rPr>
          <w:rFonts w:hint="eastAsia"/>
          <w:lang w:val="en-US" w:eastAsia="zh-CN"/>
        </w:rPr>
        <w:t>同时</w:t>
      </w:r>
      <w:r>
        <w:rPr>
          <w:rFonts w:hint="eastAsia"/>
        </w:rPr>
        <w:t>列出可能的材料清单。</w:t>
      </w:r>
    </w:p>
    <w:p w14:paraId="30E04A2E">
      <w:pPr>
        <w:pStyle w:val="2"/>
        <w:outlineLvl w:val="0"/>
        <w:rPr>
          <w:rFonts w:ascii="Times New Roman" w:hAnsi="Times New Roman"/>
          <w:szCs w:val="30"/>
        </w:rPr>
      </w:pPr>
      <w:bookmarkStart w:id="25" w:name="_Toc24559"/>
      <w:bookmarkStart w:id="26" w:name="_Toc17086"/>
      <w:bookmarkStart w:id="27" w:name="_Toc4890"/>
      <w:bookmarkStart w:id="28" w:name="_Toc25694"/>
      <w:bookmarkStart w:id="29" w:name="_Toc24568"/>
      <w:r>
        <w:rPr>
          <w:rFonts w:hint="eastAsia" w:ascii="Times New Roman" w:hAnsi="Times New Roman"/>
          <w:szCs w:val="30"/>
        </w:rPr>
        <w:t>5.技术要求与指标</w:t>
      </w:r>
      <w:bookmarkEnd w:id="25"/>
      <w:bookmarkEnd w:id="26"/>
      <w:bookmarkEnd w:id="27"/>
      <w:bookmarkEnd w:id="28"/>
      <w:bookmarkEnd w:id="29"/>
    </w:p>
    <w:p w14:paraId="0F73F21F">
      <w:pPr>
        <w:pStyle w:val="4"/>
        <w:outlineLvl w:val="1"/>
        <w:rPr>
          <w:rFonts w:hint="eastAsia"/>
          <w:szCs w:val="28"/>
          <w:highlight w:val="none"/>
        </w:rPr>
      </w:pPr>
      <w:bookmarkStart w:id="30" w:name="_Toc10847"/>
      <w:bookmarkStart w:id="31" w:name="_Toc2363"/>
      <w:r>
        <w:rPr>
          <w:rFonts w:hint="eastAsia"/>
          <w:szCs w:val="28"/>
          <w:highlight w:val="none"/>
        </w:rPr>
        <w:t>5.1功能说明及技术参数</w:t>
      </w:r>
      <w:bookmarkEnd w:id="30"/>
      <w:bookmarkEnd w:id="31"/>
    </w:p>
    <w:p w14:paraId="26B752FE">
      <w:pPr>
        <w:jc w:val="center"/>
        <w:rPr>
          <w:rFonts w:hint="eastAsia"/>
        </w:rPr>
      </w:pPr>
      <w:r>
        <w:rPr>
          <w:color w:val="auto"/>
        </w:rPr>
        <w:drawing>
          <wp:inline distT="0" distB="0" distL="114300" distR="114300">
            <wp:extent cx="3271520" cy="3172460"/>
            <wp:effectExtent l="0" t="0" r="5080" b="254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71520" cy="317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C2809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napToGrid/>
        <w:spacing w:line="500" w:lineRule="exact"/>
        <w:ind w:firstLine="480" w:firstLineChars="200"/>
        <w:jc w:val="left"/>
        <w:rPr>
          <w:rFonts w:hint="eastAsia"/>
          <w:lang w:val="en-US" w:eastAsia="zh-CN"/>
        </w:rPr>
      </w:pPr>
      <w:r>
        <w:rPr>
          <w:rFonts w:hint="eastAsia"/>
        </w:rPr>
        <w:t>★5.1.1</w:t>
      </w:r>
      <w:r>
        <w:rPr>
          <w:rFonts w:hint="eastAsia"/>
          <w:lang w:val="en-US" w:eastAsia="zh-CN"/>
        </w:rPr>
        <w:t xml:space="preserve"> 低压发电车带负荷能力辅助提升装置的技术原理如上图所示，其本质是一个可编程的三相电力电子受控电流源，通过微处理器对装置的三相输出电流进行编程。</w:t>
      </w:r>
    </w:p>
    <w:p w14:paraId="2010C497">
      <w:pPr>
        <w:ind w:firstLine="480" w:firstLineChars="200"/>
        <w:rPr>
          <w:rFonts w:hint="eastAsia"/>
          <w:lang w:val="en-US" w:eastAsia="zh-CN"/>
        </w:rPr>
      </w:pPr>
      <w:r>
        <w:rPr>
          <w:rFonts w:hint="eastAsia"/>
        </w:rPr>
        <w:t>★5.1.2</w:t>
      </w:r>
      <w:r>
        <w:rPr>
          <w:rFonts w:hint="eastAsia"/>
          <w:lang w:val="en-US" w:eastAsia="zh-CN"/>
        </w:rPr>
        <w:t xml:space="preserve"> 三相电流平衡补偿功能：装置需具备可编程三相电力电子受控电流源核心特性，通过微处理器实时监测用户负荷 A、B、C 三相电流，当任意两相电流出现不平衡时，可精准调节对应桥臂 IGBT 逆变桥的脉宽调制波，实现电流定向补偿。例如当 B 相电流大于 A 相电流场景下，通过控制装置 A 相端电压 UA1 略低于系统电压 UA2，从 A 相取流并经 B 桥臂补偿至 B 相，最终使发电机侧观测到的用户负荷三相电流完全一致。</w:t>
      </w:r>
    </w:p>
    <w:p w14:paraId="5D924831">
      <w:pPr>
        <w:ind w:firstLine="480" w:firstLineChars="200"/>
        <w:rPr>
          <w:rFonts w:hint="eastAsia"/>
          <w:lang w:val="en-US" w:eastAsia="zh-CN"/>
        </w:rPr>
      </w:pPr>
      <w:r>
        <w:rPr>
          <w:rFonts w:hint="eastAsia"/>
        </w:rPr>
        <w:t xml:space="preserve">★5.1.3 </w:t>
      </w:r>
      <w:r>
        <w:rPr>
          <w:rFonts w:hint="eastAsia"/>
          <w:lang w:val="en-US" w:eastAsia="zh-CN"/>
        </w:rPr>
        <w:t>谐波抑制功能：需实时采样用户负荷电流中的谐波分量，在 IGBT 脉宽调制波编程过程中，精准叠加与谐波分量大小相等、方向相反的补偿分量，有效抵消负荷谐波对发电车发电机的不良影响，保障发电机稳定运行。</w:t>
      </w:r>
    </w:p>
    <w:p w14:paraId="413E4128">
      <w:pPr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★5.1.4 实时监测与自适应调节功能：内置高精度电流检测模块，持续监测三相负荷电流及谐波含量，监测数据采样频率需满足补偿控制实时性需求；微处理器需具备自适应调节能力，根据负荷电流变化动态调整脉宽调制策略，无需人工干预。</w:t>
      </w:r>
    </w:p>
    <w:p w14:paraId="1FE7BD57">
      <w:pPr>
        <w:ind w:firstLine="480" w:firstLineChars="200"/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5.1.5 功能描述</w:t>
      </w:r>
    </w:p>
    <w:p w14:paraId="354281E0"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Chars="0" w:firstLine="480" w:firstLineChars="200"/>
        <w:textAlignment w:val="auto"/>
        <w:rPr>
          <w:rFonts w:hint="eastAsia" w:asciiTheme="minorEastAsia" w:hAnsiTheme="minorEastAsia" w:eastAsiaTheme="minorEastAsia"/>
          <w:kern w:val="0"/>
          <w:sz w:val="24"/>
          <w:lang w:eastAsia="zh-CN"/>
        </w:rPr>
      </w:pPr>
      <w:r>
        <w:rPr>
          <w:rFonts w:hint="eastAsia" w:asciiTheme="minorEastAsia" w:hAnsiTheme="minorEastAsia" w:eastAsiaTheme="minorEastAsia"/>
          <w:kern w:val="0"/>
          <w:sz w:val="24"/>
        </w:rPr>
        <w:t>功能选择：补偿谐波、无功及不平衡可选，任意优先级配置</w:t>
      </w:r>
      <w:r>
        <w:rPr>
          <w:rFonts w:hint="eastAsia" w:asciiTheme="minorEastAsia" w:hAnsiTheme="minorEastAsia" w:eastAsiaTheme="minorEastAsia"/>
          <w:kern w:val="0"/>
          <w:sz w:val="24"/>
          <w:lang w:eastAsia="zh-CN"/>
        </w:rPr>
        <w:t>；</w:t>
      </w:r>
    </w:p>
    <w:p w14:paraId="380DF894"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Chars="0" w:firstLine="480" w:firstLineChars="200"/>
        <w:textAlignment w:val="auto"/>
        <w:rPr>
          <w:rFonts w:asciiTheme="minorEastAsia" w:hAnsiTheme="minorEastAsia" w:eastAsiaTheme="minorEastAsia"/>
          <w:kern w:val="0"/>
          <w:sz w:val="24"/>
        </w:rPr>
      </w:pPr>
      <w:r>
        <w:rPr>
          <w:rFonts w:hint="eastAsia" w:asciiTheme="minorEastAsia" w:hAnsiTheme="minorEastAsia" w:eastAsiaTheme="minorEastAsia"/>
          <w:kern w:val="0"/>
          <w:sz w:val="24"/>
        </w:rPr>
        <w:t>无功补偿率≥99%；</w:t>
      </w:r>
    </w:p>
    <w:p w14:paraId="2E9F2ADF"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Chars="0" w:firstLine="480" w:firstLineChars="200"/>
        <w:textAlignment w:val="auto"/>
        <w:rPr>
          <w:rFonts w:asciiTheme="minorEastAsia" w:hAnsiTheme="minorEastAsia" w:eastAsiaTheme="minorEastAsia"/>
          <w:kern w:val="0"/>
          <w:sz w:val="24"/>
        </w:rPr>
      </w:pPr>
      <w:r>
        <w:rPr>
          <w:rFonts w:hint="eastAsia" w:asciiTheme="minorEastAsia" w:hAnsiTheme="minorEastAsia" w:eastAsiaTheme="minorEastAsia"/>
          <w:kern w:val="0"/>
          <w:sz w:val="24"/>
          <w:lang w:val="en-US" w:eastAsia="zh-CN"/>
        </w:rPr>
        <w:t>谐波补偿率≥85%；</w:t>
      </w:r>
    </w:p>
    <w:p w14:paraId="1B9EB400"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Chars="0" w:firstLine="480" w:firstLineChars="200"/>
        <w:textAlignment w:val="auto"/>
        <w:rPr>
          <w:rFonts w:asciiTheme="minorEastAsia" w:hAnsiTheme="minorEastAsia" w:eastAsiaTheme="minorEastAsia"/>
          <w:kern w:val="0"/>
          <w:sz w:val="24"/>
        </w:rPr>
      </w:pPr>
      <w:r>
        <w:rPr>
          <w:rFonts w:asciiTheme="minorEastAsia" w:hAnsiTheme="minorEastAsia" w:eastAsiaTheme="minorEastAsia"/>
          <w:kern w:val="0"/>
          <w:sz w:val="24"/>
        </w:rPr>
        <w:t>无功补偿范围</w:t>
      </w:r>
      <w:r>
        <w:rPr>
          <w:rFonts w:hint="eastAsia" w:asciiTheme="minorEastAsia" w:hAnsiTheme="minorEastAsia" w:eastAsiaTheme="minorEastAsia"/>
          <w:kern w:val="0"/>
          <w:sz w:val="24"/>
        </w:rPr>
        <w:t>：</w:t>
      </w:r>
      <w:r>
        <w:rPr>
          <w:rFonts w:asciiTheme="minorEastAsia" w:hAnsiTheme="minorEastAsia" w:eastAsiaTheme="minorEastAsia"/>
          <w:kern w:val="0"/>
          <w:sz w:val="24"/>
        </w:rPr>
        <w:t>从</w:t>
      </w:r>
      <w:r>
        <w:rPr>
          <w:rFonts w:hint="eastAsia" w:asciiTheme="minorEastAsia" w:hAnsiTheme="minorEastAsia" w:eastAsiaTheme="minorEastAsia"/>
          <w:kern w:val="0"/>
          <w:sz w:val="24"/>
        </w:rPr>
        <w:t>-1~+1连续可调；</w:t>
      </w:r>
    </w:p>
    <w:p w14:paraId="3ACC73E4"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Chars="0" w:firstLine="480" w:firstLineChars="200"/>
        <w:textAlignment w:val="auto"/>
        <w:rPr>
          <w:rFonts w:asciiTheme="minorEastAsia" w:hAnsiTheme="minorEastAsia" w:eastAsiaTheme="minorEastAsia"/>
          <w:kern w:val="0"/>
          <w:sz w:val="24"/>
        </w:rPr>
      </w:pPr>
      <w:r>
        <w:rPr>
          <w:rFonts w:hint="eastAsia" w:asciiTheme="minorEastAsia" w:hAnsiTheme="minorEastAsia" w:eastAsiaTheme="minorEastAsia"/>
          <w:kern w:val="0"/>
          <w:sz w:val="24"/>
        </w:rPr>
        <w:t>无功调节：应在额定容性无功和额定感性无功之间里连续调节，稳态时，装置实际输出的无功功率与设定值之间最大允许偏差，通常不超过±2.5%；</w:t>
      </w:r>
    </w:p>
    <w:p w14:paraId="246E46E4"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Chars="0" w:firstLine="480" w:firstLineChars="200"/>
        <w:textAlignment w:val="auto"/>
        <w:rPr>
          <w:rFonts w:asciiTheme="minorEastAsia" w:hAnsiTheme="minorEastAsia" w:eastAsiaTheme="minorEastAsia"/>
          <w:kern w:val="0"/>
          <w:sz w:val="24"/>
        </w:rPr>
      </w:pPr>
      <w:r>
        <w:rPr>
          <w:rFonts w:hint="eastAsia" w:asciiTheme="minorEastAsia" w:hAnsiTheme="minorEastAsia" w:eastAsiaTheme="minorEastAsia"/>
          <w:kern w:val="0"/>
          <w:sz w:val="24"/>
        </w:rPr>
        <w:t>三相不平衡补偿不平衡度≤5%；</w:t>
      </w:r>
    </w:p>
    <w:p w14:paraId="79B508E8"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Chars="0" w:firstLine="480" w:firstLineChars="200"/>
        <w:textAlignment w:val="auto"/>
        <w:rPr>
          <w:rFonts w:asciiTheme="minorEastAsia" w:hAnsiTheme="minorEastAsia" w:eastAsiaTheme="minorEastAsia"/>
          <w:kern w:val="0"/>
          <w:sz w:val="24"/>
        </w:rPr>
      </w:pPr>
      <w:r>
        <w:rPr>
          <w:rFonts w:hint="eastAsia" w:asciiTheme="minorEastAsia" w:hAnsiTheme="minorEastAsia" w:eastAsiaTheme="minorEastAsia"/>
          <w:kern w:val="0"/>
          <w:sz w:val="24"/>
          <w:lang w:val="en-US" w:eastAsia="zh-CN"/>
        </w:rPr>
        <w:t>PWM逆变器模块</w:t>
      </w:r>
      <w:r>
        <w:rPr>
          <w:rFonts w:hint="eastAsia" w:asciiTheme="minorEastAsia" w:hAnsiTheme="minorEastAsia" w:eastAsiaTheme="minorEastAsia"/>
          <w:kern w:val="0"/>
          <w:sz w:val="24"/>
        </w:rPr>
        <w:t>控制部分应采用DSP+FPGA控制体系，以保证控制系统可靠性和抗干扰能力；</w:t>
      </w:r>
    </w:p>
    <w:p w14:paraId="11A96359"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Chars="0" w:firstLine="480" w:firstLineChars="200"/>
        <w:textAlignment w:val="auto"/>
        <w:rPr>
          <w:rFonts w:asciiTheme="minorEastAsia" w:hAnsiTheme="minorEastAsia" w:eastAsiaTheme="minorEastAsia"/>
          <w:kern w:val="0"/>
          <w:sz w:val="24"/>
        </w:rPr>
      </w:pPr>
      <w:r>
        <w:rPr>
          <w:rFonts w:hint="eastAsia" w:asciiTheme="minorEastAsia" w:hAnsiTheme="minorEastAsia" w:eastAsiaTheme="minorEastAsia"/>
          <w:kern w:val="0"/>
          <w:sz w:val="24"/>
          <w:lang w:val="en-US" w:eastAsia="zh-CN"/>
        </w:rPr>
        <w:t>PWM逆变器模块</w:t>
      </w:r>
      <w:r>
        <w:rPr>
          <w:rFonts w:hint="eastAsia" w:asciiTheme="minorEastAsia" w:hAnsiTheme="minorEastAsia" w:eastAsiaTheme="minorEastAsia"/>
          <w:kern w:val="0"/>
          <w:sz w:val="24"/>
        </w:rPr>
        <w:t>采用先进的三电平拓扑结构，输出更接近完美正弦波，开关损耗和导通损耗降低，系统效率更高；</w:t>
      </w:r>
    </w:p>
    <w:p w14:paraId="43A42F29"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Chars="0" w:firstLine="480" w:firstLineChars="200"/>
        <w:textAlignment w:val="auto"/>
        <w:rPr>
          <w:rFonts w:asciiTheme="minorEastAsia" w:hAnsiTheme="minorEastAsia" w:eastAsiaTheme="minorEastAsia"/>
          <w:kern w:val="0"/>
          <w:sz w:val="24"/>
        </w:rPr>
      </w:pPr>
      <w:r>
        <w:rPr>
          <w:rFonts w:hint="eastAsia" w:asciiTheme="minorEastAsia" w:hAnsiTheme="minorEastAsia" w:eastAsiaTheme="minorEastAsia"/>
          <w:kern w:val="0"/>
          <w:sz w:val="24"/>
          <w:lang w:val="en-US" w:eastAsia="zh-CN"/>
        </w:rPr>
        <w:t>PWM逆变器模块</w:t>
      </w:r>
      <w:r>
        <w:rPr>
          <w:rFonts w:hint="eastAsia" w:asciiTheme="minorEastAsia" w:hAnsiTheme="minorEastAsia" w:eastAsiaTheme="minorEastAsia"/>
          <w:kern w:val="0"/>
          <w:sz w:val="24"/>
        </w:rPr>
        <w:t>应采用先进的独立风道设计，所有控制部分包括 DSP、FPGA以及 IGBT等元器件应位于独立的内部空间，避免粉尘吸附所带来的设备故障；</w:t>
      </w:r>
    </w:p>
    <w:p w14:paraId="1BC86DE1"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Chars="0" w:firstLine="480" w:firstLineChars="200"/>
        <w:textAlignment w:val="auto"/>
        <w:rPr>
          <w:rFonts w:asciiTheme="minorEastAsia" w:hAnsiTheme="minorEastAsia" w:eastAsiaTheme="minorEastAsia"/>
          <w:kern w:val="0"/>
          <w:sz w:val="24"/>
        </w:rPr>
      </w:pPr>
      <w:r>
        <w:rPr>
          <w:rFonts w:hint="eastAsia" w:asciiTheme="minorEastAsia" w:hAnsiTheme="minorEastAsia" w:eastAsiaTheme="minorEastAsia"/>
          <w:kern w:val="0"/>
          <w:sz w:val="24"/>
          <w:lang w:val="en-US" w:eastAsia="zh-CN"/>
        </w:rPr>
        <w:t>PWM逆变器模块</w:t>
      </w:r>
      <w:r>
        <w:rPr>
          <w:rFonts w:hint="eastAsia" w:asciiTheme="minorEastAsia" w:hAnsiTheme="minorEastAsia" w:eastAsiaTheme="minorEastAsia"/>
          <w:kern w:val="0"/>
          <w:sz w:val="24"/>
        </w:rPr>
        <w:t>应独立于电网阻抗及系统阻抗之外，不受电网阻抗和系统阻抗变化的影响；</w:t>
      </w:r>
    </w:p>
    <w:p w14:paraId="193E75E7"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Chars="0" w:firstLine="480" w:firstLineChars="200"/>
        <w:textAlignment w:val="auto"/>
        <w:rPr>
          <w:rFonts w:asciiTheme="minorEastAsia" w:hAnsiTheme="minorEastAsia" w:eastAsiaTheme="minorEastAsia"/>
          <w:kern w:val="0"/>
          <w:sz w:val="24"/>
        </w:rPr>
      </w:pPr>
      <w:r>
        <w:rPr>
          <w:rFonts w:hint="eastAsia" w:asciiTheme="minorEastAsia" w:hAnsiTheme="minorEastAsia" w:eastAsiaTheme="minorEastAsia"/>
          <w:kern w:val="0"/>
          <w:sz w:val="24"/>
          <w:lang w:val="en-US" w:eastAsia="zh-CN"/>
        </w:rPr>
        <w:t>PWM逆变器模块</w:t>
      </w:r>
      <w:r>
        <w:rPr>
          <w:rFonts w:hint="eastAsia" w:asciiTheme="minorEastAsia" w:hAnsiTheme="minorEastAsia" w:eastAsiaTheme="minorEastAsia"/>
          <w:kern w:val="0"/>
          <w:sz w:val="24"/>
        </w:rPr>
        <w:t>能够自动根据电网运行方式的变化和负载的波动调整输出，以补偿电网中的无功缺额；</w:t>
      </w:r>
    </w:p>
    <w:p w14:paraId="01B395C7"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Chars="0" w:firstLine="480" w:firstLineChars="200"/>
        <w:textAlignment w:val="auto"/>
        <w:rPr>
          <w:rFonts w:asciiTheme="minorEastAsia" w:hAnsiTheme="minorEastAsia" w:eastAsiaTheme="minorEastAsia"/>
          <w:kern w:val="0"/>
          <w:sz w:val="24"/>
        </w:rPr>
      </w:pPr>
      <w:r>
        <w:rPr>
          <w:rFonts w:hint="eastAsia" w:asciiTheme="minorEastAsia" w:hAnsiTheme="minorEastAsia" w:eastAsiaTheme="minorEastAsia"/>
          <w:kern w:val="0"/>
          <w:sz w:val="24"/>
        </w:rPr>
        <w:t>控制算法：同时支持智能傅里叶和瞬时无功等算法。其中智能傅里叶算法可实现自动识别系统阻抗，有效避免谐振功能；</w:t>
      </w:r>
    </w:p>
    <w:p w14:paraId="39B46056"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Chars="0" w:firstLine="480" w:firstLineChars="200"/>
        <w:textAlignment w:val="auto"/>
        <w:rPr>
          <w:rFonts w:asciiTheme="minorEastAsia" w:hAnsiTheme="minorEastAsia" w:eastAsiaTheme="minorEastAsia"/>
          <w:kern w:val="0"/>
          <w:sz w:val="24"/>
        </w:rPr>
      </w:pPr>
      <w:r>
        <w:rPr>
          <w:rFonts w:hint="eastAsia" w:asciiTheme="minorEastAsia" w:hAnsiTheme="minorEastAsia" w:eastAsiaTheme="minorEastAsia"/>
          <w:kern w:val="0"/>
          <w:sz w:val="24"/>
          <w:lang w:val="en-US" w:eastAsia="zh-CN"/>
        </w:rPr>
        <w:t>PWM逆变器模块</w:t>
      </w:r>
      <w:r>
        <w:rPr>
          <w:rFonts w:hint="eastAsia" w:asciiTheme="minorEastAsia" w:hAnsiTheme="minorEastAsia" w:eastAsiaTheme="minorEastAsia"/>
          <w:kern w:val="0"/>
          <w:sz w:val="24"/>
        </w:rPr>
        <w:t>自身的高频载波不能回馈到电网，不能对电网系统和电网相关设备造成干扰；</w:t>
      </w:r>
    </w:p>
    <w:p w14:paraId="1ACE6BCE"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Chars="0" w:firstLine="480" w:firstLineChars="200"/>
        <w:textAlignment w:val="auto"/>
        <w:rPr>
          <w:rFonts w:asciiTheme="minorEastAsia" w:hAnsiTheme="minorEastAsia" w:eastAsiaTheme="minorEastAsia"/>
          <w:kern w:val="0"/>
          <w:sz w:val="24"/>
        </w:rPr>
      </w:pPr>
      <w:r>
        <w:rPr>
          <w:rFonts w:hint="eastAsia" w:asciiTheme="minorEastAsia" w:hAnsiTheme="minorEastAsia" w:eastAsiaTheme="minorEastAsia"/>
          <w:kern w:val="0"/>
          <w:sz w:val="24"/>
        </w:rPr>
        <w:t>具备完整的保护</w:t>
      </w:r>
      <w:r>
        <w:rPr>
          <w:rFonts w:hint="eastAsia" w:asciiTheme="minorEastAsia" w:hAnsiTheme="minorEastAsia" w:eastAsiaTheme="minorEastAsia"/>
          <w:kern w:val="0"/>
          <w:sz w:val="24"/>
          <w:lang w:val="en-US" w:eastAsia="zh-CN"/>
        </w:rPr>
        <w:t>功能</w:t>
      </w:r>
      <w:r>
        <w:rPr>
          <w:rFonts w:hint="eastAsia" w:asciiTheme="minorEastAsia" w:hAnsiTheme="minorEastAsia" w:eastAsiaTheme="minorEastAsia"/>
          <w:kern w:val="0"/>
          <w:sz w:val="24"/>
        </w:rPr>
        <w:t>，包括过压、欠压、过载、过电流、短路、缺相、IGBT异常、等功能，且相关参数可调；此外，还应具备系统自诊断功能。故障出现后机器会 自动报警且停止工作不会影响其他设备正常运行；</w:t>
      </w:r>
    </w:p>
    <w:p w14:paraId="37FB91F5"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Chars="0" w:firstLine="480" w:firstLineChars="200"/>
        <w:textAlignment w:val="auto"/>
        <w:rPr>
          <w:rFonts w:asciiTheme="minorEastAsia" w:hAnsiTheme="minorEastAsia" w:eastAsiaTheme="minorEastAsia"/>
          <w:kern w:val="0"/>
          <w:sz w:val="24"/>
        </w:rPr>
      </w:pPr>
      <w:r>
        <w:rPr>
          <w:rFonts w:hint="eastAsia" w:asciiTheme="minorEastAsia" w:hAnsiTheme="minorEastAsia" w:eastAsiaTheme="minorEastAsia"/>
          <w:kern w:val="0"/>
          <w:sz w:val="24"/>
        </w:rPr>
        <w:t>当系统断电时，</w:t>
      </w:r>
      <w:r>
        <w:rPr>
          <w:rFonts w:hint="eastAsia" w:asciiTheme="minorEastAsia" w:hAnsiTheme="minorEastAsia" w:eastAsiaTheme="minorEastAsia"/>
          <w:kern w:val="0"/>
          <w:sz w:val="24"/>
          <w:lang w:val="en-US" w:eastAsia="zh-CN"/>
        </w:rPr>
        <w:t>PWM逆变器模块</w:t>
      </w:r>
      <w:r>
        <w:rPr>
          <w:rFonts w:hint="eastAsia" w:asciiTheme="minorEastAsia" w:hAnsiTheme="minorEastAsia" w:eastAsiaTheme="minorEastAsia"/>
          <w:kern w:val="0"/>
          <w:sz w:val="24"/>
        </w:rPr>
        <w:t>应自动断开；在系统恢复后，能自动恢复并正常工作；</w:t>
      </w:r>
    </w:p>
    <w:p w14:paraId="273883F9"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Chars="0" w:firstLine="480" w:firstLineChars="200"/>
        <w:textAlignment w:val="auto"/>
        <w:rPr>
          <w:rFonts w:asciiTheme="minorEastAsia" w:hAnsiTheme="minorEastAsia" w:eastAsiaTheme="minorEastAsia"/>
          <w:kern w:val="0"/>
          <w:sz w:val="24"/>
        </w:rPr>
      </w:pPr>
      <w:r>
        <w:rPr>
          <w:rFonts w:hint="eastAsia" w:asciiTheme="minorEastAsia" w:hAnsiTheme="minorEastAsia" w:eastAsiaTheme="minorEastAsia"/>
          <w:kern w:val="0"/>
          <w:sz w:val="24"/>
          <w:lang w:val="en-US" w:eastAsia="zh-CN"/>
        </w:rPr>
        <w:t>PWM逆变器模块</w:t>
      </w:r>
      <w:r>
        <w:rPr>
          <w:rFonts w:hint="eastAsia" w:asciiTheme="minorEastAsia" w:hAnsiTheme="minorEastAsia" w:eastAsiaTheme="minorEastAsia"/>
          <w:kern w:val="0"/>
          <w:sz w:val="24"/>
        </w:rPr>
        <w:t>内部应具备自动限流功能，保证</w:t>
      </w:r>
      <w:r>
        <w:rPr>
          <w:rFonts w:hint="eastAsia" w:asciiTheme="minorEastAsia" w:hAnsiTheme="minorEastAsia" w:eastAsiaTheme="minorEastAsia"/>
          <w:kern w:val="0"/>
          <w:sz w:val="24"/>
          <w:lang w:val="en-US" w:eastAsia="zh-CN"/>
        </w:rPr>
        <w:t>PWM逆变器</w:t>
      </w:r>
      <w:r>
        <w:rPr>
          <w:rFonts w:hint="eastAsia" w:asciiTheme="minorEastAsia" w:hAnsiTheme="minorEastAsia" w:eastAsiaTheme="minorEastAsia"/>
          <w:kern w:val="0"/>
          <w:sz w:val="24"/>
        </w:rPr>
        <w:t>自动限制在 100%额定容量输出，而不会发生过载运行；</w:t>
      </w:r>
    </w:p>
    <w:p w14:paraId="46DB42AC"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Chars="0" w:firstLine="480" w:firstLineChars="200"/>
        <w:textAlignment w:val="auto"/>
        <w:rPr>
          <w:rFonts w:hint="eastAsia" w:asciiTheme="minorEastAsia" w:hAnsiTheme="minorEastAsia" w:eastAsiaTheme="minorEastAsia"/>
          <w:kern w:val="0"/>
          <w:sz w:val="24"/>
        </w:rPr>
      </w:pPr>
      <w:r>
        <w:rPr>
          <w:rFonts w:hint="eastAsia" w:asciiTheme="minorEastAsia" w:hAnsiTheme="minorEastAsia" w:eastAsiaTheme="minorEastAsia"/>
          <w:kern w:val="0"/>
          <w:sz w:val="24"/>
          <w:lang w:val="en-US" w:eastAsia="zh-CN"/>
        </w:rPr>
        <w:t>PWM逆变器模块</w:t>
      </w:r>
      <w:r>
        <w:rPr>
          <w:rFonts w:hint="eastAsia" w:asciiTheme="minorEastAsia" w:hAnsiTheme="minorEastAsia" w:eastAsiaTheme="minorEastAsia"/>
          <w:kern w:val="0"/>
          <w:sz w:val="24"/>
        </w:rPr>
        <w:t>的过压、欠压、过频点、欠频点、CT变比、并机容量、启动模式、功率因数等电参数或阈值可设置；</w:t>
      </w:r>
    </w:p>
    <w:p w14:paraId="5A90FB19"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Chars="0" w:firstLine="480" w:firstLineChars="200"/>
        <w:textAlignment w:val="auto"/>
        <w:rPr>
          <w:rFonts w:hint="eastAsia" w:asciiTheme="minorEastAsia" w:hAnsiTheme="minorEastAsia" w:eastAsiaTheme="minorEastAsia"/>
          <w:kern w:val="0"/>
          <w:sz w:val="24"/>
          <w:lang w:eastAsia="zh-CN"/>
        </w:rPr>
      </w:pPr>
      <w:r>
        <w:rPr>
          <w:rFonts w:hint="eastAsia" w:asciiTheme="minorEastAsia" w:hAnsiTheme="minorEastAsia" w:eastAsiaTheme="minorEastAsia"/>
          <w:kern w:val="0"/>
          <w:sz w:val="24"/>
          <w:lang w:val="en-US" w:eastAsia="zh-CN"/>
        </w:rPr>
        <w:t>PWM</w:t>
      </w:r>
      <w:r>
        <w:rPr>
          <w:rFonts w:hint="eastAsia" w:asciiTheme="minorEastAsia" w:hAnsiTheme="minorEastAsia" w:eastAsiaTheme="minorEastAsia"/>
          <w:kern w:val="0"/>
          <w:sz w:val="24"/>
        </w:rPr>
        <w:t>逆变</w:t>
      </w:r>
      <w:r>
        <w:rPr>
          <w:rFonts w:hint="eastAsia" w:asciiTheme="minorEastAsia" w:hAnsiTheme="minorEastAsia" w:eastAsiaTheme="minorEastAsia"/>
          <w:kern w:val="0"/>
          <w:sz w:val="24"/>
          <w:lang w:val="en-US" w:eastAsia="zh-CN"/>
        </w:rPr>
        <w:t>器模块</w:t>
      </w:r>
      <w:r>
        <w:rPr>
          <w:rFonts w:hint="eastAsia" w:asciiTheme="minorEastAsia" w:hAnsiTheme="minorEastAsia" w:eastAsiaTheme="minorEastAsia"/>
          <w:kern w:val="0"/>
          <w:sz w:val="24"/>
        </w:rPr>
        <w:t>电感需采用立绕电感，以降低关键元器件的温升，提高系统的可靠性</w:t>
      </w:r>
      <w:r>
        <w:rPr>
          <w:rFonts w:hint="eastAsia" w:asciiTheme="minorEastAsia" w:hAnsiTheme="minorEastAsia" w:eastAsiaTheme="minorEastAsia"/>
          <w:kern w:val="0"/>
          <w:sz w:val="24"/>
          <w:lang w:eastAsia="zh-CN"/>
        </w:rPr>
        <w:t>；</w:t>
      </w:r>
    </w:p>
    <w:p w14:paraId="10890859"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Chars="0" w:firstLine="480" w:firstLineChars="200"/>
        <w:textAlignment w:val="auto"/>
        <w:rPr>
          <w:rFonts w:hint="eastAsia" w:asciiTheme="minorEastAsia" w:hAnsiTheme="minorEastAsia" w:eastAsiaTheme="minorEastAsia"/>
          <w:kern w:val="0"/>
          <w:sz w:val="24"/>
          <w:lang w:eastAsia="zh-CN"/>
        </w:rPr>
      </w:pPr>
      <w:r>
        <w:rPr>
          <w:rFonts w:hint="eastAsia" w:asciiTheme="minorEastAsia" w:hAnsiTheme="minorEastAsia" w:eastAsiaTheme="minorEastAsia"/>
          <w:kern w:val="0"/>
          <w:sz w:val="24"/>
        </w:rPr>
        <w:t>支持远程监控的功能，提供网页版的查看控制功能</w:t>
      </w:r>
      <w:r>
        <w:rPr>
          <w:rFonts w:hint="eastAsia" w:asciiTheme="minorEastAsia" w:hAnsiTheme="minorEastAsia" w:eastAsiaTheme="minorEastAsia"/>
          <w:kern w:val="0"/>
          <w:sz w:val="24"/>
          <w:lang w:eastAsia="zh-CN"/>
        </w:rPr>
        <w:t>；</w:t>
      </w:r>
    </w:p>
    <w:p w14:paraId="1BB57720"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Chars="0" w:firstLine="480" w:firstLineChars="200"/>
        <w:textAlignment w:val="auto"/>
        <w:rPr>
          <w:rFonts w:asciiTheme="minorEastAsia" w:hAnsiTheme="minorEastAsia" w:eastAsiaTheme="minorEastAsia"/>
          <w:kern w:val="0"/>
          <w:sz w:val="24"/>
        </w:rPr>
      </w:pPr>
      <w:r>
        <w:rPr>
          <w:rFonts w:hint="eastAsia" w:asciiTheme="minorEastAsia" w:hAnsiTheme="minorEastAsia" w:eastAsiaTheme="minorEastAsia"/>
          <w:kern w:val="0"/>
          <w:sz w:val="24"/>
        </w:rPr>
        <w:t>绝缘电阻：在环境温度-5℃~40℃，相对湿度不大于90%时，用1000V绝缘电阻测试仪测量，绝缘电阻应不小于100MΩ。</w:t>
      </w:r>
    </w:p>
    <w:p w14:paraId="67BFF82D"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Chars="0" w:firstLine="480" w:firstLineChars="200"/>
        <w:textAlignment w:val="auto"/>
        <w:rPr>
          <w:rFonts w:asciiTheme="minorEastAsia" w:hAnsiTheme="minorEastAsia" w:eastAsiaTheme="minorEastAsia"/>
          <w:kern w:val="0"/>
          <w:sz w:val="24"/>
        </w:rPr>
      </w:pPr>
      <w:r>
        <w:rPr>
          <w:rFonts w:hint="eastAsia" w:asciiTheme="minorEastAsia" w:hAnsiTheme="minorEastAsia" w:eastAsiaTheme="minorEastAsia"/>
          <w:kern w:val="0"/>
          <w:sz w:val="24"/>
        </w:rPr>
        <w:t>绝缘强度：应能承受2000V交流（方均根值）或3000V直流试验电压，10mA漏电流，维持1min，应无绝缘击穿或闪络现象。</w:t>
      </w:r>
    </w:p>
    <w:p w14:paraId="3D5E2225"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Chars="0" w:firstLine="480" w:firstLineChars="200"/>
        <w:textAlignment w:val="auto"/>
        <w:rPr>
          <w:rFonts w:asciiTheme="minorEastAsia" w:hAnsiTheme="minorEastAsia" w:eastAsiaTheme="minorEastAsia"/>
          <w:kern w:val="0"/>
          <w:sz w:val="24"/>
        </w:rPr>
      </w:pPr>
      <w:r>
        <w:rPr>
          <w:rFonts w:hint="eastAsia" w:asciiTheme="minorEastAsia" w:hAnsiTheme="minorEastAsia" w:eastAsiaTheme="minorEastAsia"/>
          <w:kern w:val="0"/>
          <w:sz w:val="24"/>
        </w:rPr>
        <w:t>冲击电压：应能承受标准雷电波短时冲击电压试验，试验电压峰值5KV。试验后，滤波装置应无绝缘破坏。试验中，允许出线没有引起绝缘破坏的闪络现象。</w:t>
      </w:r>
    </w:p>
    <w:p w14:paraId="4A040677"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Chars="0" w:firstLine="480" w:firstLineChars="200"/>
        <w:textAlignment w:val="auto"/>
        <w:rPr>
          <w:rFonts w:asciiTheme="minorEastAsia" w:hAnsiTheme="minorEastAsia" w:eastAsiaTheme="minorEastAsia"/>
          <w:kern w:val="0"/>
          <w:sz w:val="24"/>
        </w:rPr>
      </w:pPr>
      <w:r>
        <w:rPr>
          <w:rFonts w:hint="eastAsia" w:asciiTheme="minorEastAsia" w:hAnsiTheme="minorEastAsia" w:eastAsiaTheme="minorEastAsia"/>
          <w:kern w:val="0"/>
          <w:sz w:val="24"/>
        </w:rPr>
        <w:t>电磁兼容，能承受《GB/T 17626.2 静电放电抗扰度试验》、《GB/T 17626.5浪涌抗扰度试验》、《GB/T 17626.4电快速瞬变脉冲群试验》、《GB/T 17626.6射频电磁场辐射抗扰度试验》、《GB/T 17626.8工频磁场抗扰度试验》中试验等级为三级的试验要求。</w:t>
      </w:r>
    </w:p>
    <w:p w14:paraId="282C5273">
      <w:pPr>
        <w:ind w:firstLine="480" w:firstLineChars="200"/>
        <w:rPr>
          <w:rFonts w:hint="eastAsia"/>
          <w:lang w:val="en-US" w:eastAsia="zh-CN"/>
        </w:rPr>
      </w:pPr>
    </w:p>
    <w:p w14:paraId="66052374">
      <w:pPr>
        <w:pStyle w:val="4"/>
        <w:outlineLvl w:val="1"/>
        <w:rPr>
          <w:rFonts w:hint="eastAsia"/>
          <w:szCs w:val="28"/>
          <w:highlight w:val="none"/>
        </w:rPr>
      </w:pPr>
      <w:bookmarkStart w:id="32" w:name="_Toc30934"/>
      <w:bookmarkStart w:id="33" w:name="_Toc18732"/>
      <w:r>
        <w:rPr>
          <w:rFonts w:hint="eastAsia"/>
          <w:szCs w:val="28"/>
          <w:highlight w:val="none"/>
        </w:rPr>
        <w:t>5.2所需专用材料使用条件</w:t>
      </w:r>
      <w:bookmarkEnd w:id="32"/>
      <w:bookmarkEnd w:id="33"/>
    </w:p>
    <w:p w14:paraId="67395A5A">
      <w:pPr>
        <w:ind w:firstLine="480" w:firstLineChars="200"/>
        <w:rPr>
          <w:rFonts w:hint="eastAsia"/>
        </w:rPr>
      </w:pPr>
      <w:r>
        <w:rPr>
          <w:rFonts w:hint="eastAsia"/>
        </w:rPr>
        <w:t>5.2.1使用温度范围：-20℃～+80℃。</w:t>
      </w:r>
    </w:p>
    <w:p w14:paraId="5552D80B">
      <w:pPr>
        <w:ind w:firstLine="480" w:firstLineChars="200"/>
        <w:rPr>
          <w:rFonts w:hint="eastAsia"/>
        </w:rPr>
      </w:pPr>
      <w:r>
        <w:rPr>
          <w:rFonts w:hint="eastAsia"/>
        </w:rPr>
        <w:t>5.2.2湿度：日相对湿度平均值≤95%，月相对湿度平均值≤90%海拔：≤2000m,2000米以上按照国标GB/T3859.2降额使用，每上升100m，功率降低1%。</w:t>
      </w:r>
    </w:p>
    <w:p w14:paraId="6414A480">
      <w:pPr>
        <w:ind w:firstLine="480" w:firstLineChars="200"/>
        <w:rPr>
          <w:rFonts w:hint="eastAsia"/>
        </w:rPr>
      </w:pPr>
      <w:r>
        <w:rPr>
          <w:rFonts w:hint="eastAsia"/>
        </w:rPr>
        <w:t>5.2.3电气性能:</w:t>
      </w:r>
    </w:p>
    <w:p w14:paraId="652F163C">
      <w:pPr>
        <w:ind w:firstLine="480" w:firstLineChars="200"/>
        <w:rPr>
          <w:rFonts w:hint="eastAsia"/>
        </w:rPr>
      </w:pPr>
      <w:r>
        <w:rPr>
          <w:rFonts w:hint="eastAsia"/>
        </w:rPr>
        <w:t>额定电压：AC400V（-40%～+20%）；AC690V（-30%～+10%）</w:t>
      </w:r>
    </w:p>
    <w:p w14:paraId="1C0BBA7C">
      <w:pPr>
        <w:ind w:firstLine="480" w:firstLineChars="200"/>
        <w:rPr>
          <w:rFonts w:hint="eastAsia"/>
        </w:rPr>
      </w:pPr>
      <w:r>
        <w:rPr>
          <w:rFonts w:hint="eastAsia"/>
        </w:rPr>
        <w:t>额定容量：100kVA</w:t>
      </w:r>
    </w:p>
    <w:p w14:paraId="4D4A6F06">
      <w:pPr>
        <w:ind w:firstLine="480" w:firstLineChars="200"/>
        <w:rPr>
          <w:rFonts w:hint="eastAsia"/>
        </w:rPr>
      </w:pPr>
      <w:r>
        <w:rPr>
          <w:rFonts w:hint="eastAsia"/>
        </w:rPr>
        <w:t>测量精度：电压和电流测量相对误差均不大于0.5%；</w:t>
      </w:r>
    </w:p>
    <w:p w14:paraId="6312C1E1">
      <w:pPr>
        <w:ind w:firstLine="480" w:firstLineChars="200"/>
        <w:rPr>
          <w:rFonts w:hint="eastAsia"/>
        </w:rPr>
      </w:pPr>
      <w:r>
        <w:rPr>
          <w:rFonts w:hint="eastAsia"/>
        </w:rPr>
        <w:t>工作频率：50/60 Hz±5%；</w:t>
      </w:r>
    </w:p>
    <w:p w14:paraId="6486A9FD">
      <w:pPr>
        <w:ind w:firstLine="480" w:firstLineChars="200"/>
        <w:rPr>
          <w:rFonts w:hint="eastAsia"/>
        </w:rPr>
      </w:pPr>
      <w:r>
        <w:rPr>
          <w:rFonts w:hint="eastAsia"/>
        </w:rPr>
        <w:t>完全响应时间≤10ms；</w:t>
      </w:r>
    </w:p>
    <w:p w14:paraId="572EF8BA">
      <w:pPr>
        <w:ind w:firstLine="480" w:firstLineChars="200"/>
        <w:rPr>
          <w:rFonts w:hint="eastAsia"/>
        </w:rPr>
      </w:pPr>
      <w:r>
        <w:rPr>
          <w:rFonts w:hint="eastAsia"/>
        </w:rPr>
        <w:t>损耗：装置在额定状况下的损耗不超过额定容量的2.5%；</w:t>
      </w:r>
    </w:p>
    <w:p w14:paraId="7C6DAB5A">
      <w:pPr>
        <w:ind w:firstLine="480" w:firstLineChars="200"/>
        <w:rPr>
          <w:rFonts w:hint="eastAsia"/>
        </w:rPr>
      </w:pPr>
      <w:r>
        <w:rPr>
          <w:rFonts w:hint="eastAsia"/>
        </w:rPr>
        <w:t>过载能力：装置在1.1倍额定电流时应能连续运行，1.2倍额定电流时运行时间不低于60S；</w:t>
      </w:r>
    </w:p>
    <w:p w14:paraId="7E6729F2">
      <w:pPr>
        <w:ind w:firstLine="480" w:firstLineChars="200"/>
        <w:rPr>
          <w:rFonts w:hint="eastAsia"/>
        </w:rPr>
      </w:pPr>
      <w:r>
        <w:rPr>
          <w:rFonts w:hint="eastAsia"/>
        </w:rPr>
        <w:t>电网结构：三相三线/三相四线，硬件兼容设计，只需通过软件更改；</w:t>
      </w:r>
    </w:p>
    <w:p w14:paraId="5C645608">
      <w:pPr>
        <w:ind w:firstLine="480" w:firstLineChars="200"/>
        <w:rPr>
          <w:rFonts w:hint="eastAsia"/>
        </w:rPr>
      </w:pPr>
      <w:r>
        <w:rPr>
          <w:rFonts w:hint="eastAsia"/>
        </w:rPr>
        <w:t xml:space="preserve">扩展：使用模块结构，单台集中监控最多可带8台功率模块； </w:t>
      </w:r>
    </w:p>
    <w:p w14:paraId="7BBC341E">
      <w:pPr>
        <w:ind w:firstLine="480" w:firstLineChars="200"/>
        <w:rPr>
          <w:rFonts w:hint="eastAsia"/>
        </w:rPr>
      </w:pPr>
      <w:r>
        <w:rPr>
          <w:rFonts w:hint="eastAsia"/>
        </w:rPr>
        <w:t>整机效率：&gt;97.5%</w:t>
      </w:r>
    </w:p>
    <w:p w14:paraId="4FE6C495">
      <w:pPr>
        <w:ind w:firstLine="480" w:firstLineChars="200"/>
        <w:rPr>
          <w:rFonts w:hint="eastAsia"/>
        </w:rPr>
      </w:pPr>
      <w:r>
        <w:rPr>
          <w:rFonts w:hint="eastAsia"/>
        </w:rPr>
        <w:t>平均无故障时间：10万小时</w:t>
      </w:r>
    </w:p>
    <w:p w14:paraId="2718643A">
      <w:pPr>
        <w:ind w:firstLine="480" w:firstLineChars="200"/>
        <w:rPr>
          <w:rFonts w:hint="eastAsia"/>
        </w:rPr>
      </w:pPr>
      <w:r>
        <w:rPr>
          <w:rFonts w:hint="eastAsia"/>
        </w:rPr>
        <w:t>开关频率：20kHz(平均)</w:t>
      </w:r>
    </w:p>
    <w:p w14:paraId="72FED471">
      <w:pPr>
        <w:ind w:firstLine="480" w:firstLineChars="200"/>
        <w:rPr>
          <w:rFonts w:hint="eastAsia"/>
        </w:rPr>
      </w:pPr>
      <w:r>
        <w:rPr>
          <w:rFonts w:hint="eastAsia"/>
        </w:rPr>
        <w:t>CT范围：150/5～10000/5</w:t>
      </w:r>
    </w:p>
    <w:p w14:paraId="48D871EE">
      <w:pPr>
        <w:pStyle w:val="2"/>
        <w:outlineLvl w:val="0"/>
        <w:rPr>
          <w:rFonts w:hint="eastAsia" w:ascii="Times New Roman" w:hAnsi="Times New Roman"/>
          <w:szCs w:val="30"/>
        </w:rPr>
      </w:pPr>
      <w:bookmarkStart w:id="34" w:name="_Toc5841"/>
      <w:bookmarkStart w:id="35" w:name="_Toc20618"/>
      <w:r>
        <w:rPr>
          <w:rFonts w:hint="eastAsia" w:ascii="Times New Roman" w:hAnsi="Times New Roman"/>
          <w:szCs w:val="30"/>
        </w:rPr>
        <w:t>6.项目管理</w:t>
      </w:r>
      <w:bookmarkEnd w:id="34"/>
      <w:bookmarkEnd w:id="35"/>
    </w:p>
    <w:p w14:paraId="655D1ABA">
      <w:pPr>
        <w:pStyle w:val="4"/>
        <w:outlineLvl w:val="1"/>
        <w:rPr>
          <w:szCs w:val="28"/>
        </w:rPr>
      </w:pPr>
      <w:bookmarkStart w:id="36" w:name="_Toc329878717"/>
      <w:bookmarkStart w:id="37" w:name="_Toc350950913"/>
      <w:bookmarkStart w:id="38" w:name="_Toc26663"/>
      <w:bookmarkStart w:id="39" w:name="_Toc28583"/>
      <w:bookmarkStart w:id="40" w:name="_Toc20047"/>
      <w:bookmarkStart w:id="41" w:name="_Toc350852856"/>
      <w:bookmarkStart w:id="42" w:name="_Toc23256"/>
      <w:bookmarkStart w:id="43" w:name="_Toc19642"/>
      <w:r>
        <w:rPr>
          <w:rFonts w:hint="eastAsia"/>
          <w:szCs w:val="28"/>
        </w:rPr>
        <w:t>6.1</w:t>
      </w:r>
      <w:r>
        <w:rPr>
          <w:szCs w:val="28"/>
        </w:rPr>
        <w:t>项目管理</w:t>
      </w:r>
      <w:bookmarkEnd w:id="36"/>
      <w:bookmarkEnd w:id="37"/>
      <w:bookmarkEnd w:id="38"/>
      <w:bookmarkEnd w:id="39"/>
      <w:bookmarkEnd w:id="40"/>
      <w:bookmarkEnd w:id="41"/>
      <w:bookmarkEnd w:id="42"/>
      <w:bookmarkEnd w:id="43"/>
    </w:p>
    <w:p w14:paraId="1F73B837">
      <w:pPr>
        <w:adjustRightInd w:val="0"/>
        <w:snapToGrid w:val="0"/>
        <w:ind w:firstLine="480" w:firstLineChars="200"/>
      </w:pPr>
      <w:r>
        <w:rPr>
          <w:rFonts w:hint="eastAsia"/>
        </w:rPr>
        <w:t>投标方</w:t>
      </w:r>
      <w:r>
        <w:t>设立项目负责人。项目负责人将全权负责与</w:t>
      </w:r>
      <w:r>
        <w:rPr>
          <w:rFonts w:hint="eastAsia"/>
        </w:rPr>
        <w:t>项目</w:t>
      </w:r>
      <w:r>
        <w:t>有关的全部事务，包括：</w:t>
      </w:r>
    </w:p>
    <w:p w14:paraId="37A43991">
      <w:pPr>
        <w:adjustRightInd w:val="0"/>
        <w:snapToGrid w:val="0"/>
        <w:ind w:firstLine="480" w:firstLineChars="200"/>
      </w:pPr>
      <w:r>
        <w:rPr>
          <w:rFonts w:hint="eastAsia"/>
        </w:rPr>
        <w:t>（1）</w:t>
      </w:r>
      <w:r>
        <w:t>负责项目的流程设计、过程控制及综合成果</w:t>
      </w:r>
      <w:r>
        <w:rPr>
          <w:rFonts w:hint="eastAsia"/>
        </w:rPr>
        <w:t>。</w:t>
      </w:r>
    </w:p>
    <w:p w14:paraId="3E085B20">
      <w:pPr>
        <w:adjustRightInd w:val="0"/>
        <w:snapToGrid w:val="0"/>
        <w:ind w:firstLine="480" w:firstLineChars="200"/>
      </w:pPr>
      <w:r>
        <w:rPr>
          <w:rFonts w:hint="eastAsia"/>
        </w:rPr>
        <w:t>（2）</w:t>
      </w:r>
      <w:r>
        <w:t>负责项目实施进度安排等事务协调</w:t>
      </w:r>
      <w:r>
        <w:rPr>
          <w:rFonts w:hint="eastAsia"/>
        </w:rPr>
        <w:t>。</w:t>
      </w:r>
    </w:p>
    <w:p w14:paraId="15D4F2CC">
      <w:pPr>
        <w:adjustRightInd w:val="0"/>
        <w:snapToGrid w:val="0"/>
        <w:ind w:firstLine="480" w:firstLineChars="200"/>
      </w:pPr>
      <w:r>
        <w:rPr>
          <w:rFonts w:hint="eastAsia"/>
        </w:rPr>
        <w:t>（3）</w:t>
      </w:r>
      <w:r>
        <w:t>作为与双方联络的全权代表，负责各种联系，研究协调和项目验收等事务的安排与协调</w:t>
      </w:r>
      <w:r>
        <w:rPr>
          <w:rFonts w:hint="eastAsia"/>
        </w:rPr>
        <w:t>。</w:t>
      </w:r>
    </w:p>
    <w:p w14:paraId="41E1287B">
      <w:pPr>
        <w:adjustRightInd w:val="0"/>
        <w:snapToGrid w:val="0"/>
        <w:ind w:firstLine="480" w:firstLineChars="200"/>
      </w:pPr>
      <w:r>
        <w:rPr>
          <w:rFonts w:hint="eastAsia"/>
        </w:rPr>
        <w:t>（4）</w:t>
      </w:r>
      <w:r>
        <w:t>按</w:t>
      </w:r>
      <w:r>
        <w:rPr>
          <w:rFonts w:hint="eastAsia"/>
        </w:rPr>
        <w:t>季度</w:t>
      </w:r>
      <w:r>
        <w:t>提交项目进度报告</w:t>
      </w:r>
      <w:r>
        <w:rPr>
          <w:rFonts w:hint="eastAsia"/>
        </w:rPr>
        <w:t>，并接受阶段性检查</w:t>
      </w:r>
      <w:r>
        <w:t>。</w:t>
      </w:r>
    </w:p>
    <w:p w14:paraId="2B7DC7FF">
      <w:pPr>
        <w:adjustRightInd w:val="0"/>
        <w:snapToGrid w:val="0"/>
        <w:ind w:firstLine="480" w:firstLineChars="200"/>
      </w:pPr>
      <w:r>
        <w:rPr>
          <w:rFonts w:hint="eastAsia"/>
        </w:rPr>
        <w:t>投标方应配备足够的项目组技术人员，技术人员将完成</w:t>
      </w:r>
      <w:r>
        <w:t>项目负责人</w:t>
      </w:r>
      <w:r>
        <w:rPr>
          <w:rFonts w:hint="eastAsia"/>
        </w:rPr>
        <w:t>交办</w:t>
      </w:r>
      <w:r>
        <w:t>的</w:t>
      </w:r>
      <w:r>
        <w:rPr>
          <w:rFonts w:hint="eastAsia"/>
        </w:rPr>
        <w:t>项目相关任务</w:t>
      </w:r>
      <w:r>
        <w:t>，包括：</w:t>
      </w:r>
    </w:p>
    <w:p w14:paraId="6DF28DC2">
      <w:pPr>
        <w:adjustRightInd w:val="0"/>
        <w:snapToGrid w:val="0"/>
        <w:ind w:firstLine="480" w:firstLineChars="200"/>
      </w:pPr>
      <w:r>
        <w:rPr>
          <w:rFonts w:hint="eastAsia"/>
        </w:rPr>
        <w:t>（1）在</w:t>
      </w:r>
      <w:r>
        <w:t>项目负责</w:t>
      </w:r>
      <w:r>
        <w:rPr>
          <w:rFonts w:hint="eastAsia"/>
        </w:rPr>
        <w:t>人安排下，完成各阶段任务的实施。</w:t>
      </w:r>
    </w:p>
    <w:p w14:paraId="16461ED6">
      <w:pPr>
        <w:adjustRightInd w:val="0"/>
        <w:snapToGrid w:val="0"/>
        <w:ind w:firstLine="480" w:firstLineChars="200"/>
      </w:pPr>
      <w:r>
        <w:rPr>
          <w:rFonts w:hint="eastAsia"/>
        </w:rPr>
        <w:t>（2）在项目实施过程中，按时向</w:t>
      </w:r>
      <w:r>
        <w:t>项目负责</w:t>
      </w:r>
      <w:r>
        <w:rPr>
          <w:rFonts w:hint="eastAsia"/>
        </w:rPr>
        <w:t>人反馈</w:t>
      </w:r>
      <w:r>
        <w:t>实施进度</w:t>
      </w:r>
      <w:r>
        <w:rPr>
          <w:rFonts w:hint="eastAsia"/>
        </w:rPr>
        <w:t>。</w:t>
      </w:r>
    </w:p>
    <w:p w14:paraId="0FABB1FC">
      <w:pPr>
        <w:adjustRightInd w:val="0"/>
        <w:snapToGrid w:val="0"/>
        <w:ind w:firstLine="480" w:firstLineChars="200"/>
      </w:pPr>
      <w:r>
        <w:rPr>
          <w:rFonts w:hint="eastAsia"/>
        </w:rPr>
        <w:t>（3）遇有困难或项目执行与计划有偏差，及时向</w:t>
      </w:r>
      <w:r>
        <w:t>项目负责</w:t>
      </w:r>
      <w:r>
        <w:rPr>
          <w:rFonts w:hint="eastAsia"/>
        </w:rPr>
        <w:t>人汇报并主动提出解决方案。</w:t>
      </w:r>
    </w:p>
    <w:p w14:paraId="27239B7D">
      <w:pPr>
        <w:adjustRightInd w:val="0"/>
        <w:snapToGrid w:val="0"/>
        <w:ind w:firstLine="480" w:firstLineChars="200"/>
      </w:pPr>
      <w:r>
        <w:rPr>
          <w:rFonts w:hint="eastAsia"/>
        </w:rPr>
        <w:t>（4）及时向项目负责人</w:t>
      </w:r>
      <w:r>
        <w:t>提交项目</w:t>
      </w:r>
      <w:r>
        <w:rPr>
          <w:rFonts w:hint="eastAsia"/>
        </w:rPr>
        <w:t>执行情况和阶段性研究小结</w:t>
      </w:r>
      <w:r>
        <w:t>。</w:t>
      </w:r>
    </w:p>
    <w:p w14:paraId="512F1D0D">
      <w:pPr>
        <w:pStyle w:val="4"/>
        <w:outlineLvl w:val="1"/>
        <w:rPr>
          <w:szCs w:val="28"/>
        </w:rPr>
      </w:pPr>
      <w:bookmarkStart w:id="44" w:name="_Toc350852857"/>
      <w:bookmarkStart w:id="45" w:name="_Toc329878718"/>
      <w:bookmarkStart w:id="46" w:name="_Toc350950914"/>
      <w:bookmarkStart w:id="47" w:name="_Toc14237"/>
      <w:bookmarkStart w:id="48" w:name="_Toc23876"/>
      <w:bookmarkStart w:id="49" w:name="_Toc1149"/>
      <w:bookmarkStart w:id="50" w:name="_Toc12829"/>
      <w:bookmarkStart w:id="51" w:name="_Toc23534"/>
      <w:r>
        <w:rPr>
          <w:rFonts w:hint="eastAsia"/>
          <w:szCs w:val="28"/>
        </w:rPr>
        <w:t>6.2质量保证</w:t>
      </w:r>
      <w:bookmarkEnd w:id="44"/>
      <w:bookmarkEnd w:id="45"/>
      <w:bookmarkEnd w:id="46"/>
      <w:bookmarkEnd w:id="47"/>
      <w:bookmarkEnd w:id="48"/>
      <w:bookmarkEnd w:id="49"/>
      <w:bookmarkEnd w:id="50"/>
      <w:bookmarkEnd w:id="51"/>
    </w:p>
    <w:p w14:paraId="28353D49">
      <w:pPr>
        <w:adjustRightInd w:val="0"/>
        <w:snapToGrid w:val="0"/>
        <w:ind w:firstLine="480" w:firstLineChars="200"/>
      </w:pPr>
      <w:r>
        <w:rPr>
          <w:rFonts w:hint="eastAsia"/>
        </w:rPr>
        <w:t xml:space="preserve">（1）正式签订合同后立即成立项目组，确定项目负责人和项目成员。 </w:t>
      </w:r>
    </w:p>
    <w:p w14:paraId="49CE3314">
      <w:pPr>
        <w:adjustRightInd w:val="0"/>
        <w:snapToGrid w:val="0"/>
        <w:ind w:firstLine="480" w:firstLineChars="200"/>
      </w:pPr>
      <w:r>
        <w:rPr>
          <w:rFonts w:hint="eastAsia"/>
        </w:rPr>
        <w:t>（2）项目负责人合理安排工作，让项目组人员能全身心投入到项目的攻关中来。</w:t>
      </w:r>
    </w:p>
    <w:p w14:paraId="79307AFD">
      <w:pPr>
        <w:adjustRightInd w:val="0"/>
        <w:snapToGrid w:val="0"/>
        <w:ind w:firstLine="480" w:firstLineChars="200"/>
      </w:pPr>
      <w:r>
        <w:rPr>
          <w:rFonts w:hint="eastAsia"/>
        </w:rPr>
        <w:t>（3）应按照项目管理要求开展项目实施，注重项目过程管理，定期召开项目讨论分析会，使项目能够按计划完成。</w:t>
      </w:r>
    </w:p>
    <w:p w14:paraId="5C8F3D61">
      <w:pPr>
        <w:adjustRightInd w:val="0"/>
        <w:snapToGrid w:val="0"/>
        <w:ind w:firstLine="480" w:firstLineChars="200"/>
      </w:pPr>
      <w:r>
        <w:rPr>
          <w:rFonts w:hint="eastAsia"/>
        </w:rPr>
        <w:t>（4）项目实施过程中，应该对照合同要求，及时检查各项研究内容和预期指标的完成情况。</w:t>
      </w:r>
    </w:p>
    <w:p w14:paraId="633ED145">
      <w:pPr>
        <w:adjustRightInd w:val="0"/>
        <w:snapToGrid w:val="0"/>
        <w:ind w:firstLine="480" w:firstLineChars="200"/>
        <w:rPr>
          <w:rFonts w:hint="eastAsia"/>
        </w:rPr>
      </w:pPr>
      <w:r>
        <w:rPr>
          <w:rFonts w:hint="eastAsia"/>
        </w:rPr>
        <w:t>（5）项目应按照预算使用经费，</w:t>
      </w:r>
      <w:r>
        <w:rPr>
          <w:rFonts w:hint="eastAsia"/>
          <w:lang w:eastAsia="zh-CN"/>
        </w:rPr>
        <w:t>负荷</w:t>
      </w:r>
      <w:r>
        <w:rPr>
          <w:rFonts w:hint="eastAsia"/>
        </w:rPr>
        <w:t>财务和审计要求。</w:t>
      </w:r>
    </w:p>
    <w:p w14:paraId="6B24E13E">
      <w:pPr>
        <w:pStyle w:val="4"/>
      </w:pPr>
      <w:bookmarkStart w:id="52" w:name="_Toc15036"/>
      <w:bookmarkStart w:id="53" w:name="_Toc24178"/>
      <w:r>
        <w:rPr>
          <w:rFonts w:hint="eastAsia"/>
          <w:color w:val="auto"/>
          <w:szCs w:val="28"/>
          <w:highlight w:val="none"/>
        </w:rPr>
        <w:t>6.3</w:t>
      </w:r>
      <w:r>
        <w:rPr>
          <w:color w:val="auto"/>
          <w:szCs w:val="28"/>
          <w:highlight w:val="none"/>
        </w:rPr>
        <w:t>项目进度管理</w:t>
      </w:r>
      <w:bookmarkEnd w:id="52"/>
      <w:bookmarkEnd w:id="53"/>
    </w:p>
    <w:tbl>
      <w:tblPr>
        <w:tblStyle w:val="10"/>
        <w:tblW w:w="105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7"/>
        <w:gridCol w:w="1474"/>
        <w:gridCol w:w="1247"/>
        <w:gridCol w:w="6350"/>
      </w:tblGrid>
      <w:tr w14:paraId="7CD25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3" w:hRule="atLeast"/>
          <w:jc w:val="center"/>
        </w:trPr>
        <w:tc>
          <w:tcPr>
            <w:tcW w:w="1457" w:type="dxa"/>
            <w:noWrap w:val="0"/>
            <w:vAlign w:val="center"/>
          </w:tcPr>
          <w:p w14:paraId="693629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任务名称</w:t>
            </w:r>
          </w:p>
        </w:tc>
        <w:tc>
          <w:tcPr>
            <w:tcW w:w="1474" w:type="dxa"/>
            <w:noWrap w:val="0"/>
            <w:vAlign w:val="center"/>
          </w:tcPr>
          <w:p w14:paraId="71FBCF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开始时间</w:t>
            </w:r>
          </w:p>
        </w:tc>
        <w:tc>
          <w:tcPr>
            <w:tcW w:w="1247" w:type="dxa"/>
            <w:noWrap w:val="0"/>
            <w:vAlign w:val="center"/>
          </w:tcPr>
          <w:p w14:paraId="07931C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完成时间</w:t>
            </w:r>
          </w:p>
        </w:tc>
        <w:tc>
          <w:tcPr>
            <w:tcW w:w="6350" w:type="dxa"/>
            <w:noWrap w:val="0"/>
            <w:vAlign w:val="center"/>
          </w:tcPr>
          <w:p w14:paraId="33AE95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主要内容及交付物</w:t>
            </w:r>
          </w:p>
        </w:tc>
      </w:tr>
      <w:tr w14:paraId="050F8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3" w:hRule="atLeast"/>
          <w:jc w:val="center"/>
        </w:trPr>
        <w:tc>
          <w:tcPr>
            <w:tcW w:w="1457" w:type="dxa"/>
            <w:vMerge w:val="restart"/>
            <w:noWrap w:val="0"/>
            <w:vAlign w:val="center"/>
          </w:tcPr>
          <w:p w14:paraId="76229F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leftChars="0" w:firstLine="0" w:firstLineChars="0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研制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低压发电车带负荷能力辅助提升装置</w:t>
            </w:r>
          </w:p>
        </w:tc>
        <w:tc>
          <w:tcPr>
            <w:tcW w:w="1474" w:type="dxa"/>
            <w:noWrap w:val="0"/>
            <w:vAlign w:val="center"/>
          </w:tcPr>
          <w:p w14:paraId="01459A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zh-CN"/>
              </w:rPr>
              <w:t>同签订日</w:t>
            </w:r>
          </w:p>
        </w:tc>
        <w:tc>
          <w:tcPr>
            <w:tcW w:w="1247" w:type="dxa"/>
            <w:noWrap w:val="0"/>
            <w:vAlign w:val="center"/>
          </w:tcPr>
          <w:p w14:paraId="4AF02E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1个月内</w:t>
            </w:r>
          </w:p>
        </w:tc>
        <w:tc>
          <w:tcPr>
            <w:tcW w:w="6350" w:type="dxa"/>
            <w:noWrap w:val="0"/>
            <w:vAlign w:val="center"/>
          </w:tcPr>
          <w:p w14:paraId="24150513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主要内容：</w:t>
            </w:r>
          </w:p>
          <w:p w14:paraId="66BA3C9A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开展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低压发电车带负荷能力辅助提升装置</w:t>
            </w: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设计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方案研究。</w:t>
            </w:r>
          </w:p>
          <w:p w14:paraId="4D01743B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交付项:</w:t>
            </w:r>
          </w:p>
          <w:p w14:paraId="761E5671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需求规格说明书1份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。</w:t>
            </w:r>
          </w:p>
        </w:tc>
      </w:tr>
      <w:tr w14:paraId="696550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3" w:hRule="atLeast"/>
          <w:jc w:val="center"/>
        </w:trPr>
        <w:tc>
          <w:tcPr>
            <w:tcW w:w="1457" w:type="dxa"/>
            <w:vMerge w:val="continue"/>
            <w:vAlign w:val="center"/>
          </w:tcPr>
          <w:p w14:paraId="6B8268DC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14:paraId="012709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zh-CN"/>
              </w:rPr>
              <w:t>合同签订日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0A7689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个月内</w:t>
            </w:r>
          </w:p>
        </w:tc>
        <w:tc>
          <w:tcPr>
            <w:tcW w:w="6350" w:type="dxa"/>
            <w:vAlign w:val="center"/>
          </w:tcPr>
          <w:p w14:paraId="2D124EB1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主要内容：</w:t>
            </w:r>
          </w:p>
          <w:p w14:paraId="19BCC95D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完成一种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低压发电车带负荷能力辅助提升装置</w:t>
            </w: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研发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。</w:t>
            </w:r>
          </w:p>
          <w:p w14:paraId="343495C4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交付项：</w:t>
            </w:r>
          </w:p>
          <w:p w14:paraId="2EE8C4BB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一种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低压发电车带负荷能力辅助提升装置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1套并投入。</w:t>
            </w:r>
          </w:p>
        </w:tc>
      </w:tr>
      <w:tr w14:paraId="751FF1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3" w:hRule="atLeast"/>
          <w:jc w:val="center"/>
        </w:trPr>
        <w:tc>
          <w:tcPr>
            <w:tcW w:w="1457" w:type="dxa"/>
            <w:vMerge w:val="continue"/>
            <w:noWrap w:val="0"/>
            <w:vAlign w:val="center"/>
          </w:tcPr>
          <w:p w14:paraId="2A10A0A9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474" w:type="dxa"/>
            <w:noWrap w:val="0"/>
            <w:vAlign w:val="center"/>
          </w:tcPr>
          <w:p w14:paraId="3443DF2A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zh-CN"/>
              </w:rPr>
              <w:t>合同签订日</w:t>
            </w:r>
          </w:p>
        </w:tc>
        <w:tc>
          <w:tcPr>
            <w:tcW w:w="1247" w:type="dxa"/>
            <w:noWrap w:val="0"/>
            <w:vAlign w:val="center"/>
          </w:tcPr>
          <w:p w14:paraId="5AEC6FC6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个月内</w:t>
            </w:r>
          </w:p>
        </w:tc>
        <w:tc>
          <w:tcPr>
            <w:tcW w:w="6350" w:type="dxa"/>
            <w:noWrap w:val="0"/>
            <w:vAlign w:val="center"/>
          </w:tcPr>
          <w:p w14:paraId="0AF3EF84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主要内容：</w:t>
            </w:r>
          </w:p>
          <w:p w14:paraId="6B80A648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开展项目验收相关工作。</w:t>
            </w:r>
          </w:p>
          <w:p w14:paraId="58BC07BB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交付项：</w:t>
            </w:r>
          </w:p>
          <w:p w14:paraId="4B71527B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项目验收资料。</w:t>
            </w:r>
          </w:p>
        </w:tc>
      </w:tr>
    </w:tbl>
    <w:p w14:paraId="0A9132C5">
      <w:pPr>
        <w:pStyle w:val="2"/>
        <w:rPr>
          <w:rFonts w:ascii="Times New Roman" w:hAnsi="Times New Roman"/>
          <w:szCs w:val="30"/>
        </w:rPr>
      </w:pPr>
      <w:bookmarkStart w:id="54" w:name="_Toc19742"/>
      <w:bookmarkStart w:id="55" w:name="_Toc351566769"/>
      <w:bookmarkStart w:id="56" w:name="_Toc28524"/>
      <w:bookmarkStart w:id="57" w:name="_Toc20268"/>
      <w:bookmarkStart w:id="58" w:name="_Toc17241"/>
      <w:bookmarkStart w:id="59" w:name="_Toc25076"/>
      <w:bookmarkStart w:id="60" w:name="_Toc351722594"/>
      <w:r>
        <w:rPr>
          <w:rFonts w:hint="eastAsia" w:ascii="Times New Roman" w:hAnsi="Times New Roman"/>
          <w:szCs w:val="30"/>
        </w:rPr>
        <w:t>7.技术服务</w:t>
      </w:r>
      <w:bookmarkEnd w:id="54"/>
      <w:bookmarkEnd w:id="55"/>
      <w:bookmarkEnd w:id="56"/>
      <w:bookmarkEnd w:id="57"/>
      <w:bookmarkEnd w:id="58"/>
      <w:bookmarkEnd w:id="59"/>
      <w:bookmarkEnd w:id="60"/>
    </w:p>
    <w:p w14:paraId="37532691">
      <w:pPr>
        <w:adjustRightInd w:val="0"/>
        <w:snapToGrid w:val="0"/>
        <w:ind w:firstLine="480" w:firstLineChars="200"/>
      </w:pPr>
      <w:r>
        <w:rPr>
          <w:rFonts w:hint="eastAsia"/>
        </w:rPr>
        <w:t>（1）投标人配合开展</w:t>
      </w:r>
      <w:r>
        <w:rPr>
          <w:rFonts w:hint="eastAsia"/>
          <w:lang w:eastAsia="zh-CN"/>
        </w:rPr>
        <w:t>一种低压发电车带负荷能力辅助提升装置</w:t>
      </w:r>
      <w:r>
        <w:rPr>
          <w:rFonts w:hint="eastAsia"/>
        </w:rPr>
        <w:t>功能的研发设计与建设工作；</w:t>
      </w:r>
    </w:p>
    <w:p w14:paraId="1F347412">
      <w:pPr>
        <w:adjustRightInd w:val="0"/>
        <w:snapToGrid w:val="0"/>
        <w:ind w:firstLine="480" w:firstLineChars="200"/>
      </w:pPr>
      <w:r>
        <w:rPr>
          <w:rFonts w:hint="eastAsia"/>
        </w:rPr>
        <w:t>（2）</w:t>
      </w:r>
      <w:r>
        <w:t>投标人向招标人提供</w:t>
      </w:r>
      <w:r>
        <w:rPr>
          <w:rFonts w:hint="eastAsia"/>
          <w:lang w:eastAsia="zh-CN"/>
        </w:rPr>
        <w:t>一种低压发电车带负荷能力辅助提升装置</w:t>
      </w:r>
      <w:r>
        <w:rPr>
          <w:rFonts w:hint="eastAsia"/>
        </w:rPr>
        <w:t>研发</w:t>
      </w:r>
      <w:r>
        <w:t>相符的</w:t>
      </w:r>
      <w:r>
        <w:rPr>
          <w:rFonts w:hint="eastAsia"/>
        </w:rPr>
        <w:t>交付件</w:t>
      </w:r>
      <w:r>
        <w:t>、文档资料及明细表。提供的</w:t>
      </w:r>
      <w:r>
        <w:rPr>
          <w:rFonts w:hint="eastAsia"/>
        </w:rPr>
        <w:t>交付件</w:t>
      </w:r>
      <w:r>
        <w:t>主要包括：</w:t>
      </w:r>
      <w:r>
        <w:rPr>
          <w:rFonts w:hint="eastAsia"/>
        </w:rPr>
        <w:t>验收材料等。</w:t>
      </w:r>
    </w:p>
    <w:p w14:paraId="3673A9F4">
      <w:pPr>
        <w:adjustRightInd w:val="0"/>
        <w:snapToGrid w:val="0"/>
        <w:ind w:firstLine="480" w:firstLineChars="200"/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3</w:t>
      </w:r>
      <w:r>
        <w:t>）投标人</w:t>
      </w:r>
      <w:r>
        <w:rPr>
          <w:rFonts w:hint="eastAsia"/>
        </w:rPr>
        <w:t>负责</w:t>
      </w:r>
      <w:r>
        <w:t>完成</w:t>
      </w:r>
      <w:r>
        <w:rPr>
          <w:rFonts w:hint="eastAsia"/>
        </w:rPr>
        <w:t>部署及关键技术的交底工作，并开展的维护和培训工作；</w:t>
      </w:r>
    </w:p>
    <w:p w14:paraId="47221B64">
      <w:pPr>
        <w:adjustRightInd w:val="0"/>
        <w:snapToGrid w:val="0"/>
        <w:ind w:firstLine="480" w:firstLineChars="200"/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4</w:t>
      </w:r>
      <w:r>
        <w:rPr>
          <w:rFonts w:hint="eastAsia"/>
        </w:rPr>
        <w:t>）</w:t>
      </w:r>
      <w:r>
        <w:t>投标人</w:t>
      </w:r>
      <w:r>
        <w:rPr>
          <w:rFonts w:hint="eastAsia"/>
        </w:rPr>
        <w:t>须配合项目结算工作并承担相关费用。</w:t>
      </w:r>
    </w:p>
    <w:p w14:paraId="68A258C5">
      <w:pPr>
        <w:pStyle w:val="2"/>
        <w:rPr>
          <w:rFonts w:ascii="Times New Roman" w:hAnsi="Times New Roman"/>
          <w:szCs w:val="30"/>
        </w:rPr>
      </w:pPr>
      <w:bookmarkStart w:id="61" w:name="_Toc8476"/>
      <w:bookmarkStart w:id="62" w:name="_Toc7678"/>
      <w:bookmarkStart w:id="63" w:name="_Toc20458"/>
      <w:bookmarkStart w:id="64" w:name="_Toc6858"/>
      <w:bookmarkStart w:id="65" w:name="_Toc41"/>
      <w:r>
        <w:rPr>
          <w:rFonts w:hint="eastAsia" w:ascii="Times New Roman" w:hAnsi="Times New Roman"/>
          <w:szCs w:val="30"/>
        </w:rPr>
        <w:t>8.验收</w:t>
      </w:r>
      <w:bookmarkEnd w:id="61"/>
      <w:bookmarkEnd w:id="62"/>
      <w:bookmarkEnd w:id="63"/>
      <w:bookmarkEnd w:id="64"/>
      <w:bookmarkEnd w:id="65"/>
    </w:p>
    <w:p w14:paraId="646D7777">
      <w:pPr>
        <w:adjustRightInd w:val="0"/>
        <w:snapToGrid w:val="0"/>
        <w:ind w:firstLine="480" w:firstLineChars="200"/>
      </w:pPr>
      <w:r>
        <w:rPr>
          <w:rFonts w:hint="eastAsia"/>
        </w:rPr>
        <w:t>项目完成后，由甲方组织专家组对项目进行验收。</w:t>
      </w:r>
    </w:p>
    <w:p w14:paraId="48986992">
      <w:pPr>
        <w:pStyle w:val="2"/>
        <w:rPr>
          <w:rFonts w:hint="eastAsia" w:ascii="Times New Roman" w:hAnsi="Times New Roman"/>
          <w:szCs w:val="30"/>
        </w:rPr>
      </w:pPr>
      <w:bookmarkStart w:id="66" w:name="_Toc11201"/>
      <w:bookmarkStart w:id="67" w:name="_Toc1728"/>
      <w:bookmarkStart w:id="68" w:name="_Toc22704"/>
      <w:bookmarkStart w:id="69" w:name="_Toc1431"/>
      <w:bookmarkStart w:id="70" w:name="_Toc12684"/>
      <w:r>
        <w:rPr>
          <w:rFonts w:hint="eastAsia" w:ascii="Times New Roman" w:hAnsi="Times New Roman"/>
          <w:szCs w:val="30"/>
        </w:rPr>
        <w:t>9.预期成果</w:t>
      </w:r>
      <w:bookmarkEnd w:id="66"/>
      <w:bookmarkEnd w:id="67"/>
      <w:bookmarkEnd w:id="68"/>
      <w:bookmarkEnd w:id="69"/>
      <w:bookmarkEnd w:id="70"/>
    </w:p>
    <w:p w14:paraId="2A31C935">
      <w:pPr>
        <w:keepNext w:val="0"/>
        <w:keepLines w:val="0"/>
        <w:widowControl w:val="0"/>
        <w:numPr>
          <w:ilvl w:val="1"/>
          <w:numId w:val="1"/>
        </w:numPr>
        <w:suppressLineNumbers w:val="0"/>
        <w:snapToGrid w:val="0"/>
        <w:spacing w:before="0" w:beforeAutospacing="0" w:after="0" w:afterAutospacing="0" w:line="360" w:lineRule="auto"/>
        <w:ind w:left="567" w:leftChars="0" w:right="0" w:hanging="567" w:firstLineChars="0"/>
        <w:jc w:val="both"/>
        <w:rPr>
          <w:rFonts w:hint="default" w:ascii="Times New Roman" w:hAnsi="Times New Roman" w:eastAsia="宋体" w:cs="Times New Roman"/>
          <w:kern w:val="2"/>
          <w:sz w:val="24"/>
          <w:szCs w:val="24"/>
        </w:rPr>
      </w:pPr>
      <w:bookmarkStart w:id="71" w:name="_Toc17119_WPSOffice_Level1"/>
      <w:r>
        <w:rPr>
          <w:rFonts w:hint="default" w:ascii="Times New Roman" w:hAnsi="Times New Roman" w:cs="Times New Roman"/>
          <w:lang w:val="en-US" w:eastAsia="zh-CN"/>
        </w:rPr>
        <w:t>供应商配合完成项目相关技术资料编写</w:t>
      </w:r>
      <w:r>
        <w:rPr>
          <w:rFonts w:hint="eastAsia" w:cs="Times New Roman"/>
          <w:lang w:val="en-US" w:eastAsia="zh-CN"/>
        </w:rPr>
        <w:t>，</w:t>
      </w:r>
      <w:r>
        <w:rPr>
          <w:rFonts w:hint="default" w:ascii="Times New Roman" w:hAnsi="Times New Roman" w:cs="Times New Roman"/>
          <w:lang w:val="en-US" w:eastAsia="zh-CN"/>
        </w:rPr>
        <w:t>包含</w:t>
      </w:r>
      <w:r>
        <w:rPr>
          <w:rFonts w:hint="eastAsia" w:asciiTheme="minorEastAsia" w:hAnsiTheme="minorEastAsia" w:eastAsiaTheme="minorEastAsia" w:cstheme="minorEastAsia"/>
          <w:i w:val="0"/>
          <w:color w:val="auto"/>
          <w:lang w:val="en-US" w:eastAsia="zh-CN"/>
        </w:rPr>
        <w:t>产品技术标准一份，产品应用技术规范书一份等。</w:t>
      </w:r>
    </w:p>
    <w:bookmarkEnd w:id="71"/>
    <w:p w14:paraId="1622EFD5">
      <w:pPr>
        <w:keepNext w:val="0"/>
        <w:keepLines w:val="0"/>
        <w:widowControl w:val="0"/>
        <w:numPr>
          <w:ilvl w:val="1"/>
          <w:numId w:val="1"/>
        </w:numPr>
        <w:suppressLineNumbers w:val="0"/>
        <w:snapToGrid w:val="0"/>
        <w:spacing w:before="0" w:beforeAutospacing="0" w:after="0" w:afterAutospacing="0" w:line="360" w:lineRule="auto"/>
        <w:ind w:left="567" w:leftChars="0" w:right="0" w:hanging="567" w:firstLineChars="0"/>
        <w:jc w:val="both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 w:eastAsiaTheme="minorEastAsia"/>
        </w:rPr>
        <w:t>研制</w:t>
      </w:r>
      <w:r>
        <w:rPr>
          <w:rFonts w:hint="eastAsia" w:asciiTheme="minorEastAsia" w:hAnsiTheme="minorEastAsia" w:eastAsiaTheme="minorEastAsia" w:cstheme="minorEastAsia"/>
          <w:lang w:eastAsia="zh-CN"/>
        </w:rPr>
        <w:t>一种</w:t>
      </w:r>
      <w:r>
        <w:rPr>
          <w:rFonts w:hint="eastAsia" w:asciiTheme="minorEastAsia" w:hAnsiTheme="minorEastAsia" w:eastAsiaTheme="minorEastAsia" w:cstheme="minorEastAsia"/>
          <w:i w:val="0"/>
          <w:color w:val="auto"/>
          <w:lang w:val="en-US" w:eastAsia="zh-CN"/>
        </w:rPr>
        <w:t>500kW低压发电车带负荷能力辅助提升装置</w:t>
      </w:r>
      <w:r>
        <w:rPr>
          <w:rFonts w:hint="default" w:ascii="Times New Roman" w:hAnsi="Times New Roman" w:cs="Times New Roman" w:eastAsiaTheme="minorEastAsia"/>
        </w:rPr>
        <w:t>一套</w:t>
      </w:r>
      <w:r>
        <w:rPr>
          <w:rFonts w:hint="default" w:ascii="Times New Roman" w:hAnsi="Times New Roman" w:cs="Times New Roman" w:eastAsiaTheme="minorEastAsia"/>
          <w:lang w:eastAsia="zh-CN"/>
        </w:rPr>
        <w:t>。</w:t>
      </w:r>
    </w:p>
    <w:p w14:paraId="1F22E6B3">
      <w:pPr>
        <w:keepNext w:val="0"/>
        <w:keepLines w:val="0"/>
        <w:widowControl w:val="0"/>
        <w:numPr>
          <w:ilvl w:val="1"/>
          <w:numId w:val="1"/>
        </w:numPr>
        <w:suppressLineNumbers w:val="0"/>
        <w:snapToGrid w:val="0"/>
        <w:spacing w:before="0" w:beforeAutospacing="0" w:after="0" w:afterAutospacing="0" w:line="360" w:lineRule="auto"/>
        <w:ind w:left="567" w:leftChars="0" w:right="0" w:hanging="567" w:firstLineChars="0"/>
        <w:jc w:val="both"/>
      </w:pPr>
      <w:r>
        <w:rPr>
          <w:rFonts w:hint="default" w:ascii="Times New Roman" w:hAnsi="Times New Roman" w:cs="Times New Roman" w:eastAsiaTheme="minorEastAsia"/>
          <w:lang w:val="en-US" w:eastAsia="zh-CN"/>
        </w:rPr>
        <w:t>供应商</w:t>
      </w:r>
      <w:r>
        <w:rPr>
          <w:rFonts w:hint="eastAsia" w:cs="Times New Roman" w:eastAsiaTheme="minorEastAsia"/>
          <w:lang w:val="en-US" w:eastAsia="zh-CN"/>
        </w:rPr>
        <w:t>提供</w:t>
      </w:r>
      <w:r>
        <w:rPr>
          <w:rFonts w:hint="eastAsia" w:asciiTheme="minorEastAsia" w:hAnsiTheme="minorEastAsia" w:eastAsiaTheme="minorEastAsia" w:cstheme="minorEastAsia"/>
          <w:i w:val="0"/>
          <w:color w:val="auto"/>
          <w:lang w:val="en-US" w:eastAsia="zh-CN"/>
        </w:rPr>
        <w:t>发明专利一个。</w:t>
      </w:r>
    </w:p>
    <w:p w14:paraId="03E2480D">
      <w:pPr>
        <w:keepNext w:val="0"/>
        <w:keepLines w:val="0"/>
        <w:widowControl w:val="0"/>
        <w:numPr>
          <w:ilvl w:val="1"/>
          <w:numId w:val="1"/>
        </w:numPr>
        <w:suppressLineNumbers w:val="0"/>
        <w:snapToGrid w:val="0"/>
        <w:spacing w:before="0" w:beforeAutospacing="0" w:after="0" w:afterAutospacing="0" w:line="360" w:lineRule="auto"/>
        <w:ind w:left="567" w:leftChars="0" w:right="0" w:hanging="567" w:firstLineChars="0"/>
        <w:jc w:val="both"/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  <w:t>成果应用宣传小视频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1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  <w:t>份。</w:t>
      </w:r>
    </w:p>
    <w:p w14:paraId="3E196FCA">
      <w:bookmarkStart w:id="72" w:name="_GoBack"/>
      <w:bookmarkEnd w:id="72"/>
    </w:p>
    <w:p w14:paraId="4368D518"/>
    <w:p w14:paraId="39E3EE94"/>
    <w:p w14:paraId="513A0A05"/>
    <w:p w14:paraId="75553628"/>
    <w:p w14:paraId="3F68AE39"/>
    <w:sectPr>
      <w:footerReference r:id="rId5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Segoe UI Emoji">
    <w:panose1 w:val="020B0502040204020203"/>
    <w:charset w:val="00"/>
    <w:family w:val="auto"/>
    <w:pitch w:val="default"/>
    <w:sig w:usb0="00000001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DF4EAD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89939EE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89939EE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763FC4"/>
    <w:multiLevelType w:val="multilevel"/>
    <w:tmpl w:val="92763FC4"/>
    <w:lvl w:ilvl="0" w:tentative="0">
      <w:start w:val="9"/>
      <w:numFmt w:val="decimal"/>
      <w:lvlText w:val="%1."/>
      <w:lvlJc w:val="left"/>
      <w:pPr>
        <w:ind w:left="425" w:hanging="425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 w:ascii="Times New Roman" w:hAnsi="Times New Roman" w:cs="Times New Roman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 w:ascii="Times New Roman" w:hAnsi="Times New Roman" w:cs="Times New Roman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 w:ascii="Times New Roman" w:hAnsi="Times New Roman" w:cs="Times New Roman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 w:ascii="Times New Roman" w:hAnsi="Times New Roman" w:cs="Times New Roman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 w:ascii="Times New Roman" w:hAnsi="Times New Roman" w:cs="Times New Roman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 w:ascii="Times New Roman" w:hAnsi="Times New Roman" w:cs="Times New Roman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 w:ascii="Times New Roman" w:hAnsi="Times New Roman" w:cs="Times New Roman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BB0FBD"/>
    <w:rsid w:val="1CF601FA"/>
    <w:rsid w:val="22620EF1"/>
    <w:rsid w:val="30BB0FBD"/>
    <w:rsid w:val="60220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2"/>
    <w:basedOn w:val="1"/>
    <w:next w:val="3"/>
    <w:unhideWhenUsed/>
    <w:qFormat/>
    <w:uiPriority w:val="0"/>
    <w:pPr>
      <w:keepNext/>
      <w:keepLines/>
      <w:spacing w:before="160" w:after="160"/>
      <w:contextualSpacing/>
      <w:outlineLvl w:val="1"/>
    </w:pPr>
    <w:rPr>
      <w:rFonts w:ascii="楷体_GB2312" w:hAnsi="Arial"/>
      <w:b/>
      <w:sz w:val="32"/>
      <w:szCs w:val="20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120" w:after="120"/>
      <w:contextualSpacing/>
      <w:outlineLvl w:val="2"/>
    </w:pPr>
    <w:rPr>
      <w:b/>
      <w:bCs/>
      <w:sz w:val="30"/>
      <w:szCs w:val="32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 w:firstLineChars="200"/>
    </w:pPr>
  </w:style>
  <w:style w:type="paragraph" w:styleId="5">
    <w:name w:val="toc 3"/>
    <w:basedOn w:val="1"/>
    <w:next w:val="1"/>
    <w:uiPriority w:val="0"/>
    <w:pPr>
      <w:ind w:left="840" w:leftChars="400"/>
    </w:pPr>
  </w:style>
  <w:style w:type="paragraph" w:styleId="6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toc 1"/>
    <w:basedOn w:val="1"/>
    <w:next w:val="1"/>
    <w:qFormat/>
    <w:uiPriority w:val="0"/>
  </w:style>
  <w:style w:type="paragraph" w:styleId="9">
    <w:name w:val="toc 2"/>
    <w:basedOn w:val="1"/>
    <w:next w:val="1"/>
    <w:qFormat/>
    <w:uiPriority w:val="0"/>
    <w:pPr>
      <w:widowControl/>
      <w:spacing w:after="100" w:line="276" w:lineRule="auto"/>
      <w:ind w:left="220"/>
      <w:jc w:val="left"/>
    </w:pPr>
    <w:rPr>
      <w:rFonts w:ascii="Calibri" w:hAnsi="Calibri"/>
      <w:kern w:val="0"/>
      <w:sz w:val="22"/>
      <w:szCs w:val="22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2326</Words>
  <Characters>2421</Characters>
  <Lines>0</Lines>
  <Paragraphs>0</Paragraphs>
  <TotalTime>1</TotalTime>
  <ScaleCrop>false</ScaleCrop>
  <LinksUpToDate>false</LinksUpToDate>
  <CharactersWithSpaces>2444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2025-11-24T01:25:00Z</dcterms:created>
  <dc:creator>阿宗</dc:creator>
  <cp:lastModifiedBy>WPS_1705114336</cp:lastModifiedBy>
  <dcterms:modified xsi:type="dcterms:W3CDTF">2025-11-24T12:22:12Z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E8E446B199BF4E268F97EEC8E8BC650F_11</vt:lpwstr>
  </property>
  <property fmtid="{D5CDD505-2E9C-101B-9397-08002B2CF9AE}" pid="4" name="KSOTemplateDocerSaveRecord">
    <vt:lpwstr>eyJoZGlkIjoiMjkwMTQ5MmE0ZWVjNGIyZTQ3ODI3YzNlYWU5ZDcyNGQiLCJ1c2VySWQiOiIxNTc1MDc3Njc1In0=</vt:lpwstr>
  </property>
</Properties>
</file>