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u w:val="single"/>
          <w:lang w:val="en-US" w:eastAsia="zh-CN" w:bidi="ar"/>
        </w:rPr>
      </w:pP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u w:val="single"/>
          <w:lang w:val="en-US" w:eastAsia="zh-CN" w:bidi="ar"/>
        </w:rPr>
        <w:t>铜仁供电局自动化主站蓄电池监视模块维修技术服务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编号：GZDW-FW-0259-22-01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bookmarkStart w:id="42" w:name="_GoBack"/>
      <w:bookmarkEnd w:id="42"/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110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sectPr>
          <w:pgSz w:w="11906" w:h="16838"/>
          <w:pgMar w:top="0" w:right="0" w:bottom="0" w:left="0" w:header="0" w:footer="0" w:gutter="0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铜仁供电局自动化主站蓄电池监视模块维修技术服务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技术规范书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0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yellow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u w:val="single"/>
          <w:lang w:val="en-US" w:eastAsia="zh-CN"/>
        </w:rPr>
        <w:t>自动化主站蓄电池2组共480节，每节安装了1个电池监视采集装置，采集信号传递至动环系统，因蓄电池监视采集模块损坏，无法监视蓄电池运行状况，影响调度自动化系统运行安全，需进行蓄电池监视模块维修,保障设备（设施）安全、稳定、高效运行,实现对电池运行的监视，确保调度自动化系统供电安全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u w:val="single"/>
          <w:lang w:val="en-US"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完成服务内容清单（后附）中所要求的全部内容。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为</w:t>
      </w:r>
      <w:r>
        <w:rPr>
          <w:rFonts w:hint="eastAsia" w:ascii="宋体" w:hAnsi="宋体" w:cs="宋体"/>
          <w:b w:val="0"/>
          <w:bCs w:val="0"/>
          <w:sz w:val="28"/>
          <w:szCs w:val="28"/>
          <w:u w:val="single"/>
          <w:lang w:val="en-US" w:eastAsia="zh-CN"/>
        </w:rPr>
        <w:t>铜仁供电局自动化主站蓄电池监视模块维修技术服务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</w:t>
      </w:r>
    </w:p>
    <w:tbl>
      <w:tblPr>
        <w:tblStyle w:val="12"/>
        <w:tblW w:w="9715" w:type="dxa"/>
        <w:tblInd w:w="-4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5096"/>
        <w:gridCol w:w="36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975" w:type="dxa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096" w:type="dxa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u w:val="none"/>
                <w:vertAlign w:val="baseline"/>
                <w:lang w:val="en-US" w:eastAsia="zh-CN"/>
              </w:rPr>
              <w:t>标包名称</w:t>
            </w:r>
          </w:p>
        </w:tc>
        <w:tc>
          <w:tcPr>
            <w:tcW w:w="3644" w:type="dxa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u w:val="none"/>
                <w:lang w:val="en-US" w:eastAsia="zh-CN"/>
              </w:rPr>
              <w:t>服务区域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975" w:type="dxa"/>
            <w:vAlign w:val="center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5096" w:type="dxa"/>
            <w:vAlign w:val="center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rPr>
                <w:rFonts w:hint="default" w:ascii="宋体" w:hAnsi="宋体" w:eastAsia="宋体" w:cs="宋体"/>
                <w:color w:val="00000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8"/>
                <w:szCs w:val="28"/>
                <w:u w:val="single"/>
                <w:lang w:val="en-US" w:eastAsia="zh-CN"/>
              </w:rPr>
              <w:t>铜仁供电局自动化主站蓄电池监视模块维修技术服务</w:t>
            </w:r>
          </w:p>
        </w:tc>
        <w:tc>
          <w:tcPr>
            <w:tcW w:w="3644" w:type="dxa"/>
            <w:vAlign w:val="center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000000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8"/>
                <w:szCs w:val="28"/>
                <w:u w:val="single"/>
                <w:lang w:val="en-US" w:eastAsia="zh-CN"/>
              </w:rPr>
              <w:t>铜仁供电局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0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实施方案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提供</w:t>
      </w:r>
      <w:r>
        <w:rPr>
          <w:rFonts w:hint="eastAsia" w:ascii="宋体" w:hAnsi="宋体" w:cs="宋体"/>
          <w:b w:val="0"/>
          <w:bCs w:val="0"/>
          <w:sz w:val="28"/>
          <w:szCs w:val="28"/>
          <w:u w:val="single"/>
          <w:lang w:val="en-US" w:eastAsia="zh-CN"/>
        </w:rPr>
        <w:t>铜仁供电局自动化主站蓄电池监视模块维修技术服务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0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3.1 具体服务内容</w:t>
      </w:r>
    </w:p>
    <w:tbl>
      <w:tblPr>
        <w:tblStyle w:val="11"/>
        <w:tblW w:w="8769" w:type="dxa"/>
        <w:tblInd w:w="-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280"/>
        <w:gridCol w:w="57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  <w:t>序号</w:t>
            </w:r>
          </w:p>
        </w:tc>
        <w:tc>
          <w:tcPr>
            <w:tcW w:w="22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  <w:t>项目来源编号</w:t>
            </w:r>
          </w:p>
        </w:tc>
        <w:tc>
          <w:tcPr>
            <w:tcW w:w="570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  <w:t>工作项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1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自动化主站蓄电池监视模块维修技术服务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项目编号：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060500QT00240059</w:t>
            </w:r>
          </w:p>
        </w:tc>
        <w:tc>
          <w:tcPr>
            <w:tcW w:w="5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u w:val="single"/>
                <w:lang w:val="en-US" w:eastAsia="zh-CN" w:bidi="ar-SA"/>
              </w:rPr>
              <w:t>一、问题处理服务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u w:val="single"/>
                <w:lang w:val="en-US" w:eastAsia="zh-CN" w:bidi="ar-SA"/>
              </w:rPr>
              <w:t>1、自动化主站蓄电池2组共480节，每节安装了1个电池监视采集装置，采集信号传递至动环系统，但目前采集模块无法对蓄电池组进行采集，需对监视采集模块进行修复或更换；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u w:val="single"/>
                <w:lang w:val="en-US" w:eastAsia="zh-CN" w:bidi="ar-SA"/>
              </w:rPr>
              <w:t>2、修复总控模块及电流传感器，恢复蓄电池组采集信息后传递至动换系统，恢复动环系统对蓄电池运行状况的监视功能。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</w:p>
        </w:tc>
        <w:bookmarkStart w:id="0" w:name="_Toc474934254"/>
        <w:bookmarkStart w:id="1" w:name="_Toc475096005"/>
        <w:bookmarkStart w:id="2" w:name="_Toc463011504"/>
        <w:bookmarkStart w:id="3" w:name="_Toc455674169"/>
        <w:bookmarkStart w:id="4" w:name="_Toc456102162"/>
        <w:bookmarkStart w:id="5" w:name="_Toc476566122"/>
        <w:bookmarkStart w:id="6" w:name="_Toc463011974"/>
        <w:bookmarkStart w:id="7" w:name="_Toc476217548"/>
        <w:bookmarkStart w:id="8" w:name="_Toc454549417"/>
        <w:bookmarkStart w:id="9" w:name="_Toc476234829"/>
        <w:bookmarkStart w:id="10" w:name="_Toc458090805"/>
        <w:bookmarkStart w:id="11" w:name="_Toc454810573"/>
        <w:bookmarkStart w:id="12" w:name="_Toc454467332"/>
        <w:bookmarkStart w:id="13" w:name="_Toc493522185"/>
        <w:bookmarkStart w:id="14" w:name="_Toc476217620"/>
        <w:bookmarkStart w:id="15" w:name="_Toc475095954"/>
        <w:bookmarkStart w:id="16" w:name="_Toc456086442"/>
        <w:bookmarkStart w:id="17" w:name="_Toc458090891"/>
        <w:bookmarkStart w:id="18" w:name="_Toc474934299"/>
        <w:bookmarkStart w:id="19" w:name="_Toc474939483"/>
        <w:bookmarkStart w:id="20" w:name="_Toc455673146"/>
        <w:bookmarkStart w:id="21" w:name="_Toc476566048"/>
        <w:bookmarkStart w:id="22" w:name="_Toc476217692"/>
        <w:bookmarkStart w:id="23" w:name="_Toc454810424"/>
        <w:bookmarkStart w:id="24" w:name="_Toc474939535"/>
        <w:bookmarkStart w:id="25" w:name="_Toc463011919"/>
        <w:bookmarkStart w:id="26" w:name="_Toc454467389"/>
        <w:bookmarkStart w:id="27" w:name="_Toc463011698"/>
        <w:bookmarkStart w:id="28" w:name="_Toc454545209"/>
        <w:bookmarkStart w:id="29" w:name="_Toc475191251"/>
        <w:bookmarkStart w:id="30" w:name="_Toc455674514"/>
        <w:bookmarkStart w:id="31" w:name="_Toc454545150"/>
        <w:bookmarkStart w:id="32" w:name="_Toc475109378"/>
        <w:bookmarkStart w:id="33" w:name="_Toc475187222"/>
        <w:bookmarkStart w:id="34" w:name="_Toc454810338"/>
        <w:bookmarkStart w:id="35" w:name="_Toc476465921"/>
        <w:bookmarkStart w:id="36" w:name="_Toc476043921"/>
        <w:bookmarkStart w:id="37" w:name="_Toc458090719"/>
        <w:bookmarkStart w:id="38" w:name="_Toc455759000"/>
        <w:bookmarkStart w:id="39" w:name="_Toc475109327"/>
        <w:bookmarkStart w:id="40" w:name="_Toc493522105"/>
        <w:bookmarkStart w:id="41" w:name="_Toc475002315"/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3.2 人员配置要求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投标方应针对该项目提交相应的项目人员组织管理体系，形成项目小组，项目小组人员配备齐全。项目经理应具有同类项目经验，其关键人员应参与过同类项目；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在投标书中明确项目人员名单和工作简历，未经招标方同意，投标方不得随意更改项目人员；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如招标方发现投标方项目人员中有不能胜任该项目的，投标方有责任及时更换相关人员。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3.3 服务设备及工器具要求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满足调度大屏幕维保所需。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3.4 项目实施要求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投标方应具备对本项目所有设备的运维能力，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完成对蓄电池监视功能的恢复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0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四、关键技术指标/参数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维修后采集信息功能完善，系统正常运行。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0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五、中标方不允许转包、分包：需中标方独立完成。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0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六、服务规范要求和服务质量要求、技术标准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6.1 服务规范要求和服务质量要求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中标方在开展实施工作期间，须使用成熟的国内或者国际项目管理方法，在技术方案中对各个工作节点工作规范分析准确细致，同时须严格遵守以下工作规范要求：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遵守国家法律和政府的有关条例、规定和办法，以及招标方相关管理规定开展工作；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执行有关项目建设的法律、法规、规范、标准和制度，履行合同规定的义务和职责。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1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6.2 技术标准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投标方提供的设计成果应引用国际标准、国家标准、电力行业标准、工信部颁布标准而制定。所用的标准必须是最新版本，如果这些标准的内容有矛盾时，应按照最高标准的条款执行或按双方协商同意的标准或条款执行。投标方还应遵循以下南方电网有限责任公司、贵州电网有限责任公司颁布的相关制度、标准、规划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下列文件对于本文件的应用是必不可少的。凡是不注日期的引用文件，其最新版本（包括所有的修改单）适用于本文件。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《视频显示系统工程技术规范》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《视频显示系统工程测量规范》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《安全防范工程技术规范》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《综合布线系统工程设计规范》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《电子信息系统机房设计规范》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《建筑物电子信息系统防雷技术规范》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《电气装置安装工程接地装置施工及验收规范》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《计算机软件测试文件编制规范》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《计算机软件测试规范》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《信息技术设备 安全 第1部分：通用要求》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《视听、视频系统中设备互连的优选配接值》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《电力设施抗震设计规范》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《南方电网调度自动化系统不间断电源检验规范》</w:t>
      </w:r>
    </w:p>
    <w:p>
      <w:pPr>
        <w:numPr>
          <w:ilvl w:val="0"/>
          <w:numId w:val="0"/>
        </w:numPr>
        <w:spacing w:line="560" w:lineRule="exact"/>
        <w:ind w:leftChars="0"/>
        <w:outlineLvl w:val="0"/>
        <w:rPr>
          <w:rFonts w:hint="eastAsia" w:ascii="宋体" w:hAnsi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七、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中标方必须在合同规定时间内，将招标范围内所界定的工作完成，并根据实施过程中各阶段工作出具相应项目交付物，交付项必须与实际工作相对应，保证两者间的一致性。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中标方提交的交付物包含但不限于如下清单：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① 维修报告；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② 问题处理报告（若有）；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③ 培训记录表（若有）；</w:t>
      </w:r>
    </w:p>
    <w:p>
      <w:pPr>
        <w:outlineLvl w:val="0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八、项目验收标准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合同维护期结束，中标方完成调度大屏幕维保相关工作内容及相应交付物，由中标方提出验收申请，招标方审核通过后，进行验收。</w:t>
      </w:r>
    </w:p>
    <w:p>
      <w:pPr>
        <w:outlineLvl w:val="0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九、设备清册</w:t>
      </w:r>
    </w:p>
    <w:tbl>
      <w:tblPr>
        <w:tblStyle w:val="11"/>
        <w:tblW w:w="893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0"/>
        <w:gridCol w:w="1973"/>
        <w:gridCol w:w="3730"/>
        <w:gridCol w:w="1156"/>
        <w:gridCol w:w="125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893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系统软硬件清单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序号</w:t>
            </w:r>
          </w:p>
        </w:tc>
        <w:tc>
          <w:tcPr>
            <w:tcW w:w="1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设备名称</w:t>
            </w:r>
          </w:p>
        </w:tc>
        <w:tc>
          <w:tcPr>
            <w:tcW w:w="3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型号规格</w:t>
            </w: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数量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单位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</w:rPr>
              <w:t>1</w:t>
            </w:r>
          </w:p>
        </w:tc>
        <w:tc>
          <w:tcPr>
            <w:tcW w:w="1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u w:val="single"/>
                <w:lang w:eastAsia="zh-CN"/>
              </w:rPr>
              <w:t>总控模块</w:t>
            </w:r>
          </w:p>
        </w:tc>
        <w:tc>
          <w:tcPr>
            <w:tcW w:w="3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u w:val="single"/>
                <w:lang w:val="en-US" w:eastAsia="zh-CN"/>
              </w:rPr>
              <w:t>维帝技术CD0402D</w:t>
            </w: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5"/>
              <w:keepNext w:val="0"/>
              <w:keepLines w:val="0"/>
              <w:suppressLineNumbers w:val="0"/>
              <w:ind w:left="0" w:right="0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highlight w:val="none"/>
                <w:u w:val="single"/>
                <w:lang w:val="en-US" w:eastAsia="zh-CN"/>
              </w:rPr>
              <w:t>2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u w:val="single"/>
                <w:lang w:val="en-US" w:eastAsia="zh-CN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</w:rPr>
              <w:t>2</w:t>
            </w:r>
          </w:p>
        </w:tc>
        <w:tc>
          <w:tcPr>
            <w:tcW w:w="1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u w:val="single"/>
                <w:lang w:val="en-US" w:eastAsia="zh-CN"/>
              </w:rPr>
              <w:t>采集模块</w:t>
            </w:r>
          </w:p>
        </w:tc>
        <w:tc>
          <w:tcPr>
            <w:tcW w:w="3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u w:val="single"/>
                <w:lang w:val="en-US" w:eastAsia="zh-CN"/>
              </w:rPr>
              <w:t>维帝技术BM02-1201-D</w:t>
            </w: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6"/>
              <w:keepNext w:val="0"/>
              <w:keepLines w:val="0"/>
              <w:suppressLineNumbers w:val="0"/>
              <w:ind w:left="0" w:right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highlight w:val="none"/>
                <w:u w:val="single"/>
                <w:lang w:val="en-US" w:eastAsia="zh-CN"/>
              </w:rPr>
              <w:t>480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5"/>
              <w:keepNext w:val="0"/>
              <w:keepLines w:val="0"/>
              <w:suppressLineNumbers w:val="0"/>
              <w:ind w:left="0" w:right="0"/>
              <w:rPr>
                <w:rFonts w:hint="default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u w:val="single"/>
                <w:lang w:val="en-US" w:eastAsia="zh-CN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</w:rPr>
              <w:t>3</w:t>
            </w:r>
          </w:p>
        </w:tc>
        <w:tc>
          <w:tcPr>
            <w:tcW w:w="1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>电流互感器</w:t>
            </w:r>
          </w:p>
        </w:tc>
        <w:tc>
          <w:tcPr>
            <w:tcW w:w="3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u w:val="single"/>
                <w:lang w:val="en-US" w:eastAsia="zh-CN"/>
              </w:rPr>
              <w:t>维帝技术LF12-52C32-1.0/+-500A</w:t>
            </w: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highlight w:val="none"/>
                <w:u w:val="single"/>
                <w:lang w:val="en-US" w:eastAsia="zh-CN" w:bidi="ar-SA"/>
              </w:rPr>
              <w:t>2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5"/>
              <w:keepNext w:val="0"/>
              <w:keepLines w:val="0"/>
              <w:suppressLineNumbers w:val="0"/>
              <w:ind w:left="0" w:right="0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</w:rPr>
              <w:t>4</w:t>
            </w:r>
          </w:p>
        </w:tc>
        <w:tc>
          <w:tcPr>
            <w:tcW w:w="1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>动环系统</w:t>
            </w:r>
          </w:p>
        </w:tc>
        <w:tc>
          <w:tcPr>
            <w:tcW w:w="3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>/</w:t>
            </w: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u w:val="single"/>
                <w:lang w:val="en-US" w:eastAsia="zh-CN" w:bidi="ar-SA"/>
              </w:rPr>
              <w:t>1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5"/>
              <w:keepNext w:val="0"/>
              <w:keepLines w:val="0"/>
              <w:suppressLineNumbers w:val="0"/>
              <w:ind w:left="0" w:right="0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1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3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5"/>
              <w:keepNext w:val="0"/>
              <w:keepLines w:val="0"/>
              <w:suppressLineNumbers w:val="0"/>
              <w:ind w:left="0" w:right="0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1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3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5"/>
              <w:keepNext w:val="0"/>
              <w:keepLines w:val="0"/>
              <w:suppressLineNumbers w:val="0"/>
              <w:ind w:left="0" w:right="0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1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3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6"/>
              <w:keepNext w:val="0"/>
              <w:keepLines w:val="0"/>
              <w:suppressLineNumbers w:val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5"/>
              <w:keepNext w:val="0"/>
              <w:keepLines w:val="0"/>
              <w:suppressLineNumbers w:val="0"/>
              <w:ind w:left="0" w:right="0"/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singl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yellow"/>
                <w:u w:val="single"/>
                <w:lang w:val="en-US" w:eastAsia="zh-CN"/>
              </w:rPr>
            </w:pPr>
          </w:p>
        </w:tc>
        <w:tc>
          <w:tcPr>
            <w:tcW w:w="1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yellow"/>
                <w:u w:val="single"/>
                <w:lang w:val="en-US" w:eastAsia="zh-CN"/>
              </w:rPr>
            </w:pPr>
          </w:p>
        </w:tc>
        <w:tc>
          <w:tcPr>
            <w:tcW w:w="3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yellow"/>
                <w:u w:val="single"/>
                <w:lang w:val="en-US" w:eastAsia="zh-CN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6"/>
              <w:keepNext w:val="0"/>
              <w:keepLines w:val="0"/>
              <w:suppressLineNumbers w:val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yellow"/>
                <w:u w:val="single"/>
                <w:lang w:val="en-US" w:eastAsia="zh-CN"/>
              </w:rPr>
            </w:pP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5"/>
              <w:keepNext w:val="0"/>
              <w:keepLines w:val="0"/>
              <w:suppressLineNumbers w:val="0"/>
              <w:ind w:left="0" w:right="0"/>
              <w:rPr>
                <w:rFonts w:hint="eastAsia" w:ascii="宋体" w:hAnsi="宋体" w:eastAsia="宋体" w:cs="宋体"/>
                <w:sz w:val="21"/>
                <w:szCs w:val="21"/>
                <w:highlight w:val="yellow"/>
                <w:u w:val="singl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5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1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2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222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3CA6E2E"/>
    <w:rsid w:val="05012C28"/>
    <w:rsid w:val="051549F6"/>
    <w:rsid w:val="056874EA"/>
    <w:rsid w:val="06120C78"/>
    <w:rsid w:val="061222BB"/>
    <w:rsid w:val="06911F79"/>
    <w:rsid w:val="06913E71"/>
    <w:rsid w:val="071C0C9F"/>
    <w:rsid w:val="08542B85"/>
    <w:rsid w:val="08904CC8"/>
    <w:rsid w:val="0A117B30"/>
    <w:rsid w:val="0A574027"/>
    <w:rsid w:val="0AE25260"/>
    <w:rsid w:val="0BA03EC3"/>
    <w:rsid w:val="0BA80E62"/>
    <w:rsid w:val="0BDC0057"/>
    <w:rsid w:val="0C564CAE"/>
    <w:rsid w:val="0F824E23"/>
    <w:rsid w:val="0F925EDB"/>
    <w:rsid w:val="1012354A"/>
    <w:rsid w:val="116D40D3"/>
    <w:rsid w:val="11CB061D"/>
    <w:rsid w:val="11D7001E"/>
    <w:rsid w:val="11E15F7B"/>
    <w:rsid w:val="14CD43E0"/>
    <w:rsid w:val="14DC3F17"/>
    <w:rsid w:val="155F6B97"/>
    <w:rsid w:val="15AD6E79"/>
    <w:rsid w:val="16134367"/>
    <w:rsid w:val="16C61609"/>
    <w:rsid w:val="188B4B5A"/>
    <w:rsid w:val="18BB3E61"/>
    <w:rsid w:val="19AD3D96"/>
    <w:rsid w:val="19CF4081"/>
    <w:rsid w:val="1A79352E"/>
    <w:rsid w:val="1AB40A7C"/>
    <w:rsid w:val="1BB37536"/>
    <w:rsid w:val="1D245B7C"/>
    <w:rsid w:val="1D2F2109"/>
    <w:rsid w:val="1E51131E"/>
    <w:rsid w:val="1E67210C"/>
    <w:rsid w:val="1FAD490B"/>
    <w:rsid w:val="200E037A"/>
    <w:rsid w:val="203B7507"/>
    <w:rsid w:val="209C7E55"/>
    <w:rsid w:val="21D4386F"/>
    <w:rsid w:val="22CD4BD8"/>
    <w:rsid w:val="22EB3D38"/>
    <w:rsid w:val="24557072"/>
    <w:rsid w:val="24A46895"/>
    <w:rsid w:val="24C9479F"/>
    <w:rsid w:val="25856901"/>
    <w:rsid w:val="26C01D51"/>
    <w:rsid w:val="27A21C76"/>
    <w:rsid w:val="28974B08"/>
    <w:rsid w:val="28FA23E3"/>
    <w:rsid w:val="293A1A3C"/>
    <w:rsid w:val="2A151E03"/>
    <w:rsid w:val="2A3A3816"/>
    <w:rsid w:val="2B75556B"/>
    <w:rsid w:val="2C720CF8"/>
    <w:rsid w:val="2D152598"/>
    <w:rsid w:val="2D391C0B"/>
    <w:rsid w:val="2DA404A0"/>
    <w:rsid w:val="2F1305A7"/>
    <w:rsid w:val="2F1A5173"/>
    <w:rsid w:val="2F753C57"/>
    <w:rsid w:val="2F8D4788"/>
    <w:rsid w:val="309E61FE"/>
    <w:rsid w:val="315D40CA"/>
    <w:rsid w:val="31CC1D35"/>
    <w:rsid w:val="326441EE"/>
    <w:rsid w:val="32EB49E0"/>
    <w:rsid w:val="358405FC"/>
    <w:rsid w:val="36EE7C40"/>
    <w:rsid w:val="389A0351"/>
    <w:rsid w:val="390632B8"/>
    <w:rsid w:val="39263E5A"/>
    <w:rsid w:val="3AFE0B89"/>
    <w:rsid w:val="3C184D03"/>
    <w:rsid w:val="3DD110CA"/>
    <w:rsid w:val="3F7C2963"/>
    <w:rsid w:val="3FE317D5"/>
    <w:rsid w:val="40E14D98"/>
    <w:rsid w:val="41374CEB"/>
    <w:rsid w:val="41F90668"/>
    <w:rsid w:val="420D3ABB"/>
    <w:rsid w:val="428A4B59"/>
    <w:rsid w:val="466B2BE9"/>
    <w:rsid w:val="467D7301"/>
    <w:rsid w:val="46DD5DC6"/>
    <w:rsid w:val="479C2F98"/>
    <w:rsid w:val="47F532A4"/>
    <w:rsid w:val="48400B70"/>
    <w:rsid w:val="48601071"/>
    <w:rsid w:val="48804E48"/>
    <w:rsid w:val="48996B7E"/>
    <w:rsid w:val="48CD3FB0"/>
    <w:rsid w:val="49AC7AEB"/>
    <w:rsid w:val="4A3A0E96"/>
    <w:rsid w:val="4C054F7B"/>
    <w:rsid w:val="4CE2191D"/>
    <w:rsid w:val="4D6E5EBA"/>
    <w:rsid w:val="4D9E3194"/>
    <w:rsid w:val="4DB973F3"/>
    <w:rsid w:val="4E4F1A54"/>
    <w:rsid w:val="4FA261A4"/>
    <w:rsid w:val="4FD6251D"/>
    <w:rsid w:val="4FFF700F"/>
    <w:rsid w:val="50FC3CD2"/>
    <w:rsid w:val="516225BC"/>
    <w:rsid w:val="535A65D0"/>
    <w:rsid w:val="550F5670"/>
    <w:rsid w:val="555E1498"/>
    <w:rsid w:val="558D5467"/>
    <w:rsid w:val="55CC2D88"/>
    <w:rsid w:val="55F70BE4"/>
    <w:rsid w:val="56800A2A"/>
    <w:rsid w:val="57000C1F"/>
    <w:rsid w:val="574C6B31"/>
    <w:rsid w:val="579D5152"/>
    <w:rsid w:val="585F1609"/>
    <w:rsid w:val="58620281"/>
    <w:rsid w:val="58FE44E5"/>
    <w:rsid w:val="598C2146"/>
    <w:rsid w:val="599E47FD"/>
    <w:rsid w:val="5A9E4ED2"/>
    <w:rsid w:val="5B5E13AB"/>
    <w:rsid w:val="5C4051F7"/>
    <w:rsid w:val="5C677226"/>
    <w:rsid w:val="5CC20F61"/>
    <w:rsid w:val="5CCF3CEB"/>
    <w:rsid w:val="5D457B6B"/>
    <w:rsid w:val="5FCC3DF6"/>
    <w:rsid w:val="5FE279A6"/>
    <w:rsid w:val="60691835"/>
    <w:rsid w:val="60700C4B"/>
    <w:rsid w:val="619E0D44"/>
    <w:rsid w:val="62047183"/>
    <w:rsid w:val="63F645A3"/>
    <w:rsid w:val="642F1986"/>
    <w:rsid w:val="64307DBF"/>
    <w:rsid w:val="64BA09D0"/>
    <w:rsid w:val="65526CD8"/>
    <w:rsid w:val="65854FFD"/>
    <w:rsid w:val="66D5442C"/>
    <w:rsid w:val="66E96633"/>
    <w:rsid w:val="670016B2"/>
    <w:rsid w:val="69E82AEF"/>
    <w:rsid w:val="6A2A79CD"/>
    <w:rsid w:val="6B156AD8"/>
    <w:rsid w:val="6B537CC7"/>
    <w:rsid w:val="6BF5137B"/>
    <w:rsid w:val="6D122906"/>
    <w:rsid w:val="6D333FB2"/>
    <w:rsid w:val="6EB810C0"/>
    <w:rsid w:val="70D551FE"/>
    <w:rsid w:val="716A133C"/>
    <w:rsid w:val="72445DBC"/>
    <w:rsid w:val="73360F28"/>
    <w:rsid w:val="73E231EF"/>
    <w:rsid w:val="73E7176A"/>
    <w:rsid w:val="744A04CD"/>
    <w:rsid w:val="75B728C7"/>
    <w:rsid w:val="76176D55"/>
    <w:rsid w:val="76A809C5"/>
    <w:rsid w:val="76B24152"/>
    <w:rsid w:val="76F265FD"/>
    <w:rsid w:val="7734364B"/>
    <w:rsid w:val="77FD4D52"/>
    <w:rsid w:val="7D1F1BC6"/>
    <w:rsid w:val="7D456E75"/>
    <w:rsid w:val="7E01422C"/>
    <w:rsid w:val="7E0C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2">
    <w:name w:val="heading 2"/>
    <w:basedOn w:val="1"/>
    <w:next w:val="1"/>
    <w:link w:val="15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4">
    <w:name w:val="heading 4"/>
    <w:basedOn w:val="1"/>
    <w:next w:val="1"/>
    <w:link w:val="23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6">
    <w:name w:val="Body Text Indent"/>
    <w:basedOn w:val="1"/>
    <w:qFormat/>
    <w:uiPriority w:val="99"/>
    <w:pPr>
      <w:spacing w:after="120"/>
      <w:ind w:left="420" w:leftChars="200"/>
    </w:pPr>
    <w:rPr>
      <w:kern w:val="0"/>
      <w:sz w:val="24"/>
    </w:r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0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18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7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basedOn w:val="13"/>
    <w:unhideWhenUsed/>
    <w:qFormat/>
    <w:uiPriority w:val="99"/>
    <w:rPr>
      <w:color w:val="0000FF"/>
      <w:u w:val="single"/>
    </w:rPr>
  </w:style>
  <w:style w:type="character" w:customStyle="1" w:styleId="15">
    <w:name w:val="Heading 2 Char"/>
    <w:basedOn w:val="13"/>
    <w:link w:val="2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16">
    <w:name w:val="Heading 4 Char"/>
    <w:basedOn w:val="13"/>
    <w:link w:val="4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17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9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0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1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2">
    <w:name w:val="标题02"/>
    <w:basedOn w:val="2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3">
    <w:name w:val="标题 4 Char1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4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5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6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customStyle="1" w:styleId="27">
    <w:name w:val="font01"/>
    <w:basedOn w:val="1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6</Pages>
  <Words>1681</Words>
  <Characters>1780</Characters>
  <Lines>0</Lines>
  <Paragraphs>0</Paragraphs>
  <TotalTime>2</TotalTime>
  <ScaleCrop>false</ScaleCrop>
  <LinksUpToDate>false</LinksUpToDate>
  <CharactersWithSpaces>1817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634C14CDF9314BBCBC711E036626483C</cp:lastModifiedBy>
  <dcterms:modified xsi:type="dcterms:W3CDTF">2025-11-28T09:18:51Z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2FD395122E1549429F0F4FFF88FD8F92</vt:lpwstr>
  </property>
</Properties>
</file>