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600" w:lineRule="exact"/>
        <w:jc w:val="center"/>
        <w:textAlignment w:val="auto"/>
        <w:rPr>
          <w:rFonts w:hint="default" w:ascii="方正小标宋简体" w:hAnsi="方正小标宋简体" w:eastAsia="方正小标宋简体" w:cs="方正小标宋简体"/>
          <w:bCs/>
          <w:sz w:val="36"/>
          <w:szCs w:val="36"/>
          <w:lang w:val="en-US" w:eastAsia="zh-CN"/>
        </w:rPr>
      </w:pPr>
      <w:r>
        <w:rPr>
          <w:rFonts w:hint="eastAsia" w:ascii="方正小标宋简体" w:hAnsi="方正小标宋简体" w:eastAsia="方正小标宋简体" w:cs="方正小标宋简体"/>
          <w:bCs/>
          <w:sz w:val="36"/>
          <w:szCs w:val="36"/>
          <w:lang w:val="en-US" w:eastAsia="zh-CN"/>
        </w:rPr>
        <w:t>2025年曲靖罗平供电局计划生产部零碳示范项目碳排放数据核查服务项目零星采购项目技术规范书</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562" w:firstLineChars="200"/>
        <w:jc w:val="both"/>
        <w:textAlignment w:val="auto"/>
        <w:rPr>
          <w:rFonts w:hint="default" w:ascii="黑体" w:hAnsi="黑体" w:eastAsia="黑体" w:cs="黑体"/>
          <w:iCs w:val="0"/>
          <w:sz w:val="32"/>
          <w:szCs w:val="32"/>
          <w:lang w:val="en-US" w:eastAsia="zh-CN"/>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w:t>
      </w:r>
      <w:r>
        <w:rPr>
          <w:rFonts w:hint="eastAsia" w:ascii="黑体" w:hAnsi="黑体" w:eastAsia="黑体" w:cs="黑体"/>
          <w:iCs w:val="0"/>
          <w:sz w:val="32"/>
          <w:szCs w:val="32"/>
          <w:lang w:val="en-US" w:eastAsia="zh-CN"/>
        </w:rPr>
        <w:t>技术服务依据</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《企业温室气体排放报告核查指南》（试行）</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default" w:ascii="仿宋" w:hAnsi="仿宋" w:eastAsia="仿宋" w:cs="仿宋"/>
          <w:color w:val="auto"/>
          <w:kern w:val="0"/>
          <w:sz w:val="32"/>
          <w:szCs w:val="32"/>
          <w:lang w:val="en-US" w:eastAsia="zh-CN" w:bidi="ar-SA"/>
        </w:rPr>
        <w:t>《碳排放权交易管理暂行办法》（国家发展改革委令17号）</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ISO14064-l：2006《温室气体-第一部分：在组织层面温室气体排放和移除的量化和报告指南性规范》</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ISO14064-2：2006《温室气体-第二部分：项目的温室气体排放和削减的量化、监测和报告规范》</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ISO14064-3：2006《温室气体-第三部分：有关温室气体声明确认和验证的指南性规范》</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ISO14065:2007《温室气体-：温室气体审定和核证机构要求》</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T/CIECCPA 002-2021《碳管理体系  要求及使用指南》</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GB/T2589:2008 《综合能耗计算通则》</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GB/T 32150-2015《</w:t>
      </w:r>
      <w:r>
        <w:rPr>
          <w:rFonts w:hint="default" w:ascii="仿宋" w:hAnsi="仿宋" w:eastAsia="仿宋" w:cs="仿宋"/>
          <w:color w:val="auto"/>
          <w:kern w:val="0"/>
          <w:sz w:val="32"/>
          <w:szCs w:val="32"/>
          <w:lang w:val="en-US" w:eastAsia="zh-CN" w:bidi="ar-SA"/>
        </w:rPr>
        <w:t>工业企业温室气体排放核算和报告通则</w:t>
      </w:r>
      <w:r>
        <w:rPr>
          <w:rFonts w:hint="eastAsia" w:ascii="仿宋" w:hAnsi="仿宋" w:eastAsia="仿宋" w:cs="仿宋"/>
          <w:color w:val="auto"/>
          <w:kern w:val="0"/>
          <w:sz w:val="32"/>
          <w:szCs w:val="32"/>
          <w:lang w:val="en-US" w:eastAsia="zh-CN" w:bidi="ar-SA"/>
        </w:rPr>
        <w:t>》</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GB/T 33760-2017《</w:t>
      </w:r>
      <w:r>
        <w:rPr>
          <w:rFonts w:hint="default" w:ascii="仿宋" w:hAnsi="仿宋" w:eastAsia="仿宋" w:cs="仿宋"/>
          <w:color w:val="auto"/>
          <w:kern w:val="0"/>
          <w:sz w:val="32"/>
          <w:szCs w:val="32"/>
          <w:lang w:val="en-US" w:eastAsia="zh-CN" w:bidi="ar-SA"/>
        </w:rPr>
        <w:t>基于项目的温室气体减排量评估技术规范 通用要求</w:t>
      </w:r>
      <w:r>
        <w:rPr>
          <w:rFonts w:hint="eastAsia" w:ascii="仿宋" w:hAnsi="仿宋" w:eastAsia="仿宋" w:cs="仿宋"/>
          <w:color w:val="auto"/>
          <w:kern w:val="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lang w:val="en-US" w:eastAsia="zh-CN"/>
        </w:rPr>
      </w:pPr>
      <w:bookmarkStart w:id="0" w:name="_Toc22812"/>
      <w:r>
        <w:rPr>
          <w:rFonts w:hint="eastAsia" w:ascii="黑体" w:hAnsi="黑体" w:eastAsia="黑体" w:cs="黑体"/>
          <w:iCs w:val="0"/>
          <w:sz w:val="32"/>
          <w:szCs w:val="32"/>
          <w:lang w:val="en-US" w:eastAsia="zh-CN"/>
        </w:rPr>
        <w:t>二、技术服务内容</w:t>
      </w:r>
      <w:bookmarkEnd w:id="0"/>
    </w:p>
    <w:p>
      <w:pPr>
        <w:pStyle w:val="5"/>
        <w:keepNext w:val="0"/>
        <w:keepLines w:val="0"/>
        <w:pageBreakBefore w:val="0"/>
        <w:widowControl w:val="0"/>
        <w:numPr>
          <w:ilvl w:val="0"/>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default"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1）温室气体排放盘查（碳盘查）</w:t>
      </w:r>
    </w:p>
    <w:p>
      <w:pPr>
        <w:pStyle w:val="5"/>
        <w:keepNext w:val="0"/>
        <w:keepLines w:val="0"/>
        <w:pageBreakBefore w:val="0"/>
        <w:widowControl w:val="0"/>
        <w:numPr>
          <w:ilvl w:val="0"/>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default"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2）温室气体排放核查（碳核查）</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1"/>
        <w:gridCol w:w="2166"/>
        <w:gridCol w:w="5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605" w:type="pct"/>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 w:hAnsi="仿宋" w:eastAsia="仿宋" w:cs="仿宋"/>
                <w:b/>
                <w:sz w:val="28"/>
                <w:szCs w:val="28"/>
              </w:rPr>
            </w:pPr>
            <w:r>
              <w:rPr>
                <w:rFonts w:hint="eastAsia" w:ascii="仿宋" w:hAnsi="仿宋" w:eastAsia="仿宋" w:cs="仿宋"/>
                <w:b/>
                <w:sz w:val="28"/>
                <w:szCs w:val="28"/>
              </w:rPr>
              <w:t>序号</w:t>
            </w:r>
          </w:p>
        </w:tc>
        <w:tc>
          <w:tcPr>
            <w:tcW w:w="1271" w:type="pct"/>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项目服务内容</w:t>
            </w:r>
          </w:p>
        </w:tc>
        <w:tc>
          <w:tcPr>
            <w:tcW w:w="3123" w:type="pct"/>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 w:hAnsi="仿宋" w:eastAsia="仿宋" w:cs="仿宋"/>
                <w:b/>
                <w:sz w:val="28"/>
                <w:szCs w:val="28"/>
              </w:rPr>
            </w:pPr>
            <w:r>
              <w:rPr>
                <w:rFonts w:hint="eastAsia" w:ascii="仿宋" w:hAnsi="仿宋" w:eastAsia="仿宋" w:cs="仿宋"/>
                <w:b/>
                <w:sz w:val="28"/>
                <w:szCs w:val="28"/>
                <w:lang w:val="en-US" w:eastAsia="zh-CN"/>
              </w:rPr>
              <w:t>项目</w:t>
            </w:r>
            <w:r>
              <w:rPr>
                <w:rFonts w:hint="eastAsia" w:ascii="仿宋" w:hAnsi="仿宋" w:eastAsia="仿宋" w:cs="仿宋"/>
                <w:b/>
                <w:sz w:val="28"/>
                <w:szCs w:val="28"/>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05" w:type="pct"/>
            <w:vMerge w:val="restart"/>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 w:hAnsi="仿宋" w:eastAsia="仿宋" w:cs="仿宋"/>
                <w:sz w:val="28"/>
                <w:szCs w:val="28"/>
              </w:rPr>
            </w:pPr>
            <w:r>
              <w:rPr>
                <w:rFonts w:hint="eastAsia" w:ascii="仿宋" w:hAnsi="仿宋" w:eastAsia="仿宋" w:cs="仿宋"/>
                <w:sz w:val="28"/>
                <w:szCs w:val="28"/>
              </w:rPr>
              <w:t>1</w:t>
            </w:r>
          </w:p>
        </w:tc>
        <w:tc>
          <w:tcPr>
            <w:tcW w:w="1271" w:type="pct"/>
            <w:vMerge w:val="restart"/>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碳盘查</w:t>
            </w: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温室气体排放现场调研，确定盘查场所的基础信息，包括能源消耗情况、温室气体排放源识别、温室气体排放边界识别、温室气体活动水平数据情况等。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编制温室气体排放数据质量控制计划。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温室气体排放资料收集，核实数据质量控制计划执行情况，活动水平数据收集。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温室气体排放数据处理，活动数据的单位、数据来源、监测方法、监测频次、记录频次、数据缺失处理等。对数据源进行交叉核对，确认数据真实有效。对支撑数据样本较多需采用抽样方法进行验证的，应考虑抽样方法、抽样数量以及样本的代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标准规范选取，确认温室气体排放核算标准，获取温室气体排放因子及排放量计算方法。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排放量计算，根据温室气体活动水平数据计算温室气体排放量。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编制温室气体排放报告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05" w:type="pct"/>
            <w:vMerge w:val="restart"/>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 w:hAnsi="仿宋" w:eastAsia="仿宋" w:cs="仿宋"/>
                <w:sz w:val="28"/>
                <w:szCs w:val="28"/>
              </w:rPr>
            </w:pPr>
            <w:r>
              <w:rPr>
                <w:rFonts w:hint="eastAsia" w:ascii="仿宋" w:hAnsi="仿宋" w:eastAsia="仿宋" w:cs="仿宋"/>
                <w:sz w:val="28"/>
                <w:szCs w:val="28"/>
              </w:rPr>
              <w:t>2</w:t>
            </w:r>
          </w:p>
        </w:tc>
        <w:tc>
          <w:tcPr>
            <w:tcW w:w="1271" w:type="pct"/>
            <w:vMerge w:val="restart"/>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碳核查</w:t>
            </w: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委托第三方温室气体核查机构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编制《温室气体排放核查工作计划》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成立温室气体核查技术工作组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温室气体核查文件评审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温室气体排放现场核查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编制温室气体核查排放报告（初稿）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开展温室气体排放核查报告技术和质量复核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05"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rPr>
            </w:pPr>
          </w:p>
        </w:tc>
        <w:tc>
          <w:tcPr>
            <w:tcW w:w="1271" w:type="pct"/>
            <w:vMerge w:val="continue"/>
            <w:noWrap w:val="0"/>
            <w:vAlign w:val="center"/>
          </w:tcPr>
          <w:p>
            <w:pPr>
              <w:pStyle w:val="24"/>
              <w:keepNext w:val="0"/>
              <w:keepLines w:val="0"/>
              <w:pageBreakBefore w:val="0"/>
              <w:widowControl w:val="0"/>
              <w:tabs>
                <w:tab w:val="left" w:pos="567"/>
              </w:tabs>
              <w:kinsoku/>
              <w:wordWrap/>
              <w:overflowPunct/>
              <w:topLinePunct w:val="0"/>
              <w:autoSpaceDE/>
              <w:autoSpaceDN/>
              <w:bidi w:val="0"/>
              <w:adjustRightInd/>
              <w:snapToGrid/>
              <w:spacing w:line="600" w:lineRule="exact"/>
              <w:ind w:left="0" w:firstLine="560" w:firstLineChars="200"/>
              <w:jc w:val="center"/>
              <w:textAlignment w:val="auto"/>
              <w:rPr>
                <w:rFonts w:hint="eastAsia" w:ascii="仿宋" w:hAnsi="仿宋" w:eastAsia="仿宋" w:cs="仿宋"/>
                <w:sz w:val="28"/>
                <w:szCs w:val="28"/>
                <w:lang w:val="en-US" w:eastAsia="zh-CN"/>
              </w:rPr>
            </w:pPr>
          </w:p>
        </w:tc>
        <w:tc>
          <w:tcPr>
            <w:tcW w:w="3123" w:type="pct"/>
            <w:noWrap w:val="0"/>
            <w:vAlign w:val="center"/>
          </w:tcPr>
          <w:p>
            <w:pPr>
              <w:pStyle w:val="24"/>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60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报送编制温室气体核查排放报告（盖章版）</w:t>
            </w:r>
          </w:p>
        </w:tc>
      </w:tr>
    </w:tbl>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lang w:val="en-US" w:eastAsia="zh-CN"/>
        </w:rPr>
      </w:pPr>
      <w:bookmarkStart w:id="1" w:name="_Toc4835"/>
      <w:r>
        <w:rPr>
          <w:rFonts w:hint="eastAsia" w:ascii="黑体" w:hAnsi="黑体" w:eastAsia="黑体" w:cs="黑体"/>
          <w:iCs w:val="0"/>
          <w:sz w:val="32"/>
          <w:szCs w:val="32"/>
          <w:lang w:val="en-US" w:eastAsia="zh-CN"/>
        </w:rPr>
        <w:t>三、人员配置及服务能力要求</w:t>
      </w:r>
      <w:bookmarkEnd w:id="1"/>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1.碳排放诊断、绿证交易服务需配置中级工程师以上职称人员，具有从事节能诊断或者能源审计、碳盘查、碳核查相关业务经验。</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2.各项目配置服务团队人数不少于3人（含项目经理）。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default" w:ascii="黑体" w:hAnsi="黑体" w:eastAsia="黑体" w:cs="黑体"/>
          <w:iCs w:val="0"/>
          <w:sz w:val="32"/>
          <w:szCs w:val="32"/>
          <w:lang w:val="en-US" w:eastAsia="zh-CN"/>
        </w:rPr>
      </w:pPr>
      <w:bookmarkStart w:id="2" w:name="_Toc21434"/>
      <w:r>
        <w:rPr>
          <w:rFonts w:hint="eastAsia" w:ascii="黑体" w:hAnsi="黑体" w:eastAsia="黑体" w:cs="黑体"/>
          <w:iCs w:val="0"/>
          <w:sz w:val="32"/>
          <w:szCs w:val="32"/>
          <w:lang w:val="en-US" w:eastAsia="zh-CN"/>
        </w:rPr>
        <w:t>四、项目管理要求</w:t>
      </w:r>
      <w:bookmarkEnd w:id="2"/>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leftChars="0" w:right="0" w:rightChars="0" w:firstLine="643" w:firstLineChars="200"/>
        <w:jc w:val="both"/>
        <w:textAlignment w:val="auto"/>
        <w:outlineLvl w:val="1"/>
        <w:rPr>
          <w:rFonts w:hint="eastAsia" w:ascii="仿宋" w:hAnsi="仿宋" w:eastAsia="仿宋" w:cs="仿宋"/>
          <w:b/>
          <w:bCs/>
          <w:color w:val="auto"/>
          <w:kern w:val="0"/>
          <w:sz w:val="32"/>
          <w:szCs w:val="32"/>
          <w:lang w:val="en-US" w:eastAsia="zh-CN" w:bidi="ar-SA"/>
        </w:rPr>
      </w:pPr>
      <w:bookmarkStart w:id="3" w:name="_Toc4318"/>
      <w:r>
        <w:rPr>
          <w:rFonts w:hint="eastAsia" w:ascii="仿宋" w:hAnsi="仿宋" w:eastAsia="仿宋" w:cs="仿宋"/>
          <w:b/>
          <w:bCs/>
          <w:color w:val="auto"/>
          <w:kern w:val="0"/>
          <w:sz w:val="32"/>
          <w:szCs w:val="32"/>
          <w:lang w:val="en-US" w:eastAsia="zh-CN" w:bidi="ar-SA"/>
        </w:rPr>
        <w:t>（一）质量保证要求</w:t>
      </w:r>
      <w:bookmarkEnd w:id="3"/>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2"/>
        <w:rPr>
          <w:rFonts w:hint="eastAsia" w:ascii="仿宋" w:hAnsi="仿宋" w:eastAsia="仿宋" w:cs="仿宋"/>
          <w:color w:val="auto"/>
          <w:kern w:val="0"/>
          <w:sz w:val="32"/>
          <w:szCs w:val="32"/>
          <w:lang w:val="en-US" w:eastAsia="zh-CN" w:bidi="ar-SA"/>
        </w:rPr>
      </w:pPr>
      <w:bookmarkStart w:id="4" w:name="_Toc379746237"/>
      <w:bookmarkStart w:id="5" w:name="_Toc2028"/>
      <w:bookmarkStart w:id="6" w:name="_Toc171280396"/>
      <w:bookmarkStart w:id="7" w:name="_Toc368234625"/>
      <w:bookmarkStart w:id="8" w:name="_Toc36053196"/>
      <w:bookmarkStart w:id="9" w:name="_Toc15334"/>
      <w:bookmarkStart w:id="10" w:name="_Toc50253460"/>
      <w:r>
        <w:rPr>
          <w:rFonts w:hint="eastAsia" w:ascii="仿宋" w:hAnsi="仿宋" w:eastAsia="仿宋" w:cs="仿宋"/>
          <w:color w:val="auto"/>
          <w:kern w:val="0"/>
          <w:sz w:val="32"/>
          <w:szCs w:val="32"/>
          <w:lang w:val="en-US" w:eastAsia="zh-CN" w:bidi="ar-SA"/>
        </w:rPr>
        <w:t>1.组织保证</w:t>
      </w:r>
      <w:bookmarkEnd w:id="4"/>
      <w:bookmarkEnd w:id="5"/>
      <w:bookmarkEnd w:id="6"/>
      <w:bookmarkEnd w:id="7"/>
      <w:bookmarkEnd w:id="8"/>
      <w:bookmarkEnd w:id="9"/>
      <w:bookmarkEnd w:id="10"/>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bookmarkStart w:id="11" w:name="_Toc368234626"/>
      <w:bookmarkStart w:id="12" w:name="_Toc171280397"/>
      <w:bookmarkStart w:id="13" w:name="_Toc50253461"/>
      <w:bookmarkStart w:id="14" w:name="_Toc379746238"/>
      <w:r>
        <w:rPr>
          <w:rFonts w:hint="eastAsia" w:ascii="仿宋" w:hAnsi="仿宋" w:eastAsia="仿宋" w:cs="仿宋"/>
          <w:color w:val="auto"/>
          <w:kern w:val="0"/>
          <w:sz w:val="32"/>
          <w:szCs w:val="32"/>
          <w:lang w:val="en-US" w:eastAsia="zh-CN" w:bidi="ar-SA"/>
        </w:rPr>
        <w:t>乙方须指派项目经理一人，负责项目管理、协调和沟通等工作。</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乙方应标时，必须向甲方提供拟派参加本项目的人员名单（包括候补人员）以及参加人员的资料。</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乙方必须向甲方保证项目人员组织的稳定性，在本项目工程结束前，参加本项目的人员变动必须取得甲方同意，并立即安排拟订候补人员予以补充。</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甲方有对乙方参与项目人员进行能力测试的权力。对于不满足甲方要求的人员，甲方有权要求乙方无条件更换，且不能影响项目进度。</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2"/>
        <w:rPr>
          <w:rFonts w:hint="eastAsia" w:ascii="仿宋" w:hAnsi="仿宋" w:eastAsia="仿宋" w:cs="仿宋"/>
          <w:color w:val="auto"/>
          <w:kern w:val="0"/>
          <w:sz w:val="32"/>
          <w:szCs w:val="32"/>
          <w:lang w:val="en-US" w:eastAsia="zh-CN" w:bidi="ar-SA"/>
        </w:rPr>
      </w:pPr>
      <w:bookmarkStart w:id="15" w:name="_Toc12069"/>
      <w:bookmarkStart w:id="16" w:name="_Toc30414"/>
      <w:bookmarkStart w:id="17" w:name="_Toc36053197"/>
      <w:r>
        <w:rPr>
          <w:rFonts w:hint="eastAsia" w:ascii="仿宋" w:hAnsi="仿宋" w:eastAsia="仿宋" w:cs="仿宋"/>
          <w:color w:val="auto"/>
          <w:kern w:val="0"/>
          <w:sz w:val="32"/>
          <w:szCs w:val="32"/>
          <w:lang w:val="en-US" w:eastAsia="zh-CN" w:bidi="ar-SA"/>
        </w:rPr>
        <w:t>2.质量保证</w:t>
      </w:r>
      <w:bookmarkEnd w:id="11"/>
      <w:bookmarkEnd w:id="12"/>
      <w:bookmarkEnd w:id="13"/>
      <w:bookmarkEnd w:id="14"/>
      <w:bookmarkEnd w:id="15"/>
      <w:bookmarkEnd w:id="16"/>
      <w:bookmarkEnd w:id="17"/>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bookmarkStart w:id="18" w:name="_Toc50253462"/>
      <w:bookmarkStart w:id="19" w:name="_Toc368234627"/>
      <w:bookmarkStart w:id="20" w:name="_Toc379746239"/>
      <w:bookmarkStart w:id="21" w:name="_Toc171280398"/>
      <w:r>
        <w:rPr>
          <w:rFonts w:hint="eastAsia" w:ascii="仿宋" w:hAnsi="仿宋" w:eastAsia="仿宋" w:cs="仿宋"/>
          <w:color w:val="auto"/>
          <w:kern w:val="0"/>
          <w:sz w:val="32"/>
          <w:szCs w:val="32"/>
          <w:lang w:val="en-US" w:eastAsia="zh-CN" w:bidi="ar-SA"/>
        </w:rPr>
        <w:t>乙方应保证所提供服务的内容、进度、质量均能满足本技术规范书的技术、质量等要求。</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乙方须协助甲方建立独立于项目策划与实施的质量保证机制，建立和完善全面的项目质量管理体系；乙方应遵循相应的质量保证机制及质量管理体系。</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为保证项目的正常运行，要求乙方遵循甲方要求的项目执行跟踪和监控的具体措施，措施包括但不限于周报制度、例会制度、作业计划上报制度、阶段总结制度等。</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乙方须建立项目变更流程，记录项目变更。</w:t>
      </w:r>
    </w:p>
    <w:bookmarkEnd w:id="18"/>
    <w:bookmarkEnd w:id="19"/>
    <w:bookmarkEnd w:id="20"/>
    <w:bookmarkEnd w:id="21"/>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leftChars="0" w:right="0" w:rightChars="0" w:firstLine="643" w:firstLineChars="200"/>
        <w:jc w:val="both"/>
        <w:textAlignment w:val="auto"/>
        <w:outlineLvl w:val="1"/>
        <w:rPr>
          <w:rFonts w:hint="default" w:ascii="仿宋" w:hAnsi="仿宋" w:eastAsia="仿宋" w:cs="仿宋"/>
          <w:b/>
          <w:bCs/>
          <w:color w:val="auto"/>
          <w:kern w:val="0"/>
          <w:sz w:val="32"/>
          <w:szCs w:val="32"/>
          <w:lang w:val="en-US" w:eastAsia="zh-CN" w:bidi="ar-SA"/>
        </w:rPr>
      </w:pPr>
      <w:bookmarkStart w:id="22" w:name="_Toc25940"/>
      <w:r>
        <w:rPr>
          <w:rFonts w:hint="eastAsia" w:ascii="仿宋" w:hAnsi="仿宋" w:eastAsia="仿宋" w:cs="仿宋"/>
          <w:b/>
          <w:bCs/>
          <w:color w:val="auto"/>
          <w:kern w:val="0"/>
          <w:sz w:val="32"/>
          <w:szCs w:val="32"/>
          <w:lang w:val="en-US" w:eastAsia="zh-CN" w:bidi="ar-SA"/>
        </w:rPr>
        <w:t>（二）进度保证要求</w:t>
      </w:r>
      <w:bookmarkEnd w:id="22"/>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 xml:space="preserve">合同签订后按照甲方要求的时间完成工作。 </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乙方须严格按照项目进度要求开展项目工作。</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乙方须严格按照项目阶段计划完成项目里程碑，提交里程碑产出物。</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甲方将根据里程碑和里程碑产出物审核乙方工作进度和质量。</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leftChars="0" w:right="0" w:rightChars="0" w:firstLine="643" w:firstLineChars="200"/>
        <w:jc w:val="both"/>
        <w:textAlignment w:val="auto"/>
        <w:outlineLvl w:val="1"/>
        <w:rPr>
          <w:rFonts w:hint="eastAsia" w:ascii="仿宋" w:hAnsi="仿宋" w:eastAsia="仿宋" w:cs="仿宋"/>
          <w:b/>
          <w:bCs/>
          <w:color w:val="auto"/>
          <w:kern w:val="0"/>
          <w:sz w:val="32"/>
          <w:szCs w:val="32"/>
          <w:lang w:val="en-US" w:eastAsia="zh-CN" w:bidi="ar-SA"/>
        </w:rPr>
      </w:pPr>
      <w:bookmarkStart w:id="23" w:name="_Toc3121"/>
      <w:r>
        <w:rPr>
          <w:rFonts w:hint="eastAsia" w:ascii="仿宋" w:hAnsi="仿宋" w:eastAsia="仿宋" w:cs="仿宋"/>
          <w:b/>
          <w:bCs/>
          <w:color w:val="auto"/>
          <w:kern w:val="0"/>
          <w:sz w:val="32"/>
          <w:szCs w:val="32"/>
          <w:lang w:val="en-US" w:eastAsia="zh-CN" w:bidi="ar-SA"/>
        </w:rPr>
        <w:t>（三）保密要求</w:t>
      </w:r>
      <w:bookmarkEnd w:id="23"/>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鉴于乙方在服务中会涉及到南方电网公司、云南电网公司的重要信息系统和数据，为加强信息系统的信息安全管理，提出以下保密要求：</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乙方负有保护甲方的网络安全、信息安全和系统数据的义务和责任，负有保护所持有、接触的属于或涉及企业商业秘密的信息安全的义务和责任，本项目涉及到的过程数据和结果数据需严格保密，未经授权不得泄露给任何单位和个人，不得利用此数据进行任何侵害甲方网络的行为，否则，甲方有权追究乙方的责任。</w:t>
      </w:r>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default" w:ascii="黑体" w:hAnsi="黑体" w:eastAsia="黑体" w:cs="黑体"/>
          <w:iCs w:val="0"/>
          <w:sz w:val="32"/>
          <w:szCs w:val="32"/>
          <w:lang w:val="en-US" w:eastAsia="zh-CN"/>
        </w:rPr>
      </w:pPr>
      <w:bookmarkStart w:id="24" w:name="_Toc4044"/>
      <w:r>
        <w:rPr>
          <w:rFonts w:hint="eastAsia" w:ascii="黑体" w:hAnsi="黑体" w:eastAsia="黑体" w:cs="黑体"/>
          <w:iCs w:val="0"/>
          <w:sz w:val="32"/>
          <w:szCs w:val="32"/>
          <w:lang w:val="en-US" w:eastAsia="zh-CN"/>
        </w:rPr>
        <w:t>五、业绩要求</w:t>
      </w:r>
      <w:bookmarkEnd w:id="24"/>
    </w:p>
    <w:p>
      <w:pPr>
        <w:pStyle w:val="5"/>
        <w:keepNext w:val="0"/>
        <w:keepLines w:val="0"/>
        <w:pageBreakBefore w:val="0"/>
        <w:widowControl w:val="0"/>
        <w:numPr>
          <w:ilvl w:val="1"/>
          <w:numId w:val="0"/>
        </w:numPr>
        <w:tabs>
          <w:tab w:val="left" w:pos="1534"/>
        </w:tabs>
        <w:kinsoku/>
        <w:wordWrap/>
        <w:overflowPunct/>
        <w:topLinePunct w:val="0"/>
        <w:autoSpaceDE/>
        <w:autoSpaceDN/>
        <w:bidi w:val="0"/>
        <w:adjustRightInd/>
        <w:snapToGrid/>
        <w:spacing w:line="600" w:lineRule="exact"/>
        <w:ind w:left="0" w:right="0" w:rightChars="0" w:firstLine="640" w:firstLineChars="200"/>
        <w:jc w:val="both"/>
        <w:textAlignment w:val="auto"/>
        <w:outlineLvl w:val="9"/>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碳排放诊断、绿证交易服务提供2023年1月1日至今承担过的节能诊断/碳排放认证项目业绩证明材料，以及提供2023年1月1日至今绿证开发业绩，证明材料包含但不限于节能诊断服务合同、绿证开发合同及结算证明材料。</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default" w:ascii="黑体" w:hAnsi="黑体" w:eastAsia="黑体" w:cs="黑体"/>
          <w:iCs w:val="0"/>
          <w:sz w:val="32"/>
          <w:szCs w:val="32"/>
          <w:lang w:val="en-US" w:eastAsia="zh-CN"/>
        </w:rPr>
      </w:pPr>
      <w:bookmarkStart w:id="25" w:name="_Toc24344"/>
      <w:r>
        <w:rPr>
          <w:rFonts w:hint="eastAsia" w:ascii="黑体" w:hAnsi="黑体" w:eastAsia="黑体" w:cs="黑体"/>
          <w:iCs w:val="0"/>
          <w:sz w:val="32"/>
          <w:szCs w:val="32"/>
          <w:lang w:val="en-US" w:eastAsia="zh-CN"/>
        </w:rPr>
        <w:t>六</w:t>
      </w:r>
      <w:bookmarkStart w:id="26" w:name="_GoBack"/>
      <w:bookmarkEnd w:id="26"/>
      <w:r>
        <w:rPr>
          <w:rFonts w:hint="eastAsia" w:ascii="黑体" w:hAnsi="黑体" w:eastAsia="黑体" w:cs="黑体"/>
          <w:iCs w:val="0"/>
          <w:sz w:val="32"/>
          <w:szCs w:val="32"/>
          <w:lang w:val="en-US" w:eastAsia="zh-CN"/>
        </w:rPr>
        <w:t>、网络安全限制性要求</w:t>
      </w:r>
      <w:bookmarkEnd w:id="25"/>
    </w:p>
    <w:p>
      <w:pPr>
        <w:pageBreakBefore w:val="0"/>
        <w:overflowPunct/>
        <w:topLinePunct w:val="0"/>
        <w:bidi w:val="0"/>
        <w:snapToGrid/>
        <w:spacing w:line="360" w:lineRule="auto"/>
        <w:ind w:left="0" w:firstLine="640" w:firstLineChars="200"/>
        <w:rPr>
          <w:rFonts w:hint="eastAsia" w:ascii="仿宋" w:hAnsi="仿宋" w:eastAsia="仿宋" w:cs="仿宋"/>
          <w:b w:val="0"/>
          <w:bCs w:val="0"/>
          <w:sz w:val="28"/>
          <w:szCs w:val="28"/>
          <w:lang w:eastAsia="zh-CN"/>
        </w:rPr>
      </w:pPr>
      <w:r>
        <w:rPr>
          <w:rFonts w:hint="eastAsia" w:ascii="仿宋" w:hAnsi="仿宋" w:eastAsia="仿宋" w:cs="仿宋"/>
          <w:color w:val="auto"/>
          <w:kern w:val="0"/>
          <w:sz w:val="32"/>
          <w:szCs w:val="32"/>
          <w:lang w:val="en-US" w:eastAsia="zh-CN" w:bidi="ar-SA"/>
        </w:rPr>
        <w:t>乙方需严格执行《中华人民共和国网络安全法》《中国南方电网有限责任公司网络安全管理办法》《中国南方电网公司网络安全合规库》《中国南方电网公司供应商网络安全管理工作指引（试行）》《中国南方电网有限责任公司供应商管理办法及供货商失信扣分管理细则》及《云南电网有限责任公司网络安全管理办法》等有关内容。</w:t>
      </w:r>
    </w:p>
    <w:p>
      <w:pPr>
        <w:rPr>
          <w:rFonts w:ascii="黑体" w:hAnsi="黑体" w:eastAsia="黑体" w:cs="黑体"/>
          <w:bCs/>
          <w:sz w:val="30"/>
          <w:szCs w:val="30"/>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黑体"/>
    <w:panose1 w:val="02010601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4</w:t>
    </w:r>
    <w:r>
      <w:rPr>
        <w:rStyle w:val="17"/>
      </w:rPr>
      <w:fldChar w:fldCharType="end"/>
    </w:r>
  </w:p>
  <w:p>
    <w:pPr>
      <w:pStyle w:val="1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UzYzJlYWNlYmZjYmJiMWM0NmZlYTcxODQ3ZjUyMzQifQ=="/>
  </w:docVars>
  <w:rsids>
    <w:rsidRoot w:val="00A7581A"/>
    <w:rsid w:val="000016E9"/>
    <w:rsid w:val="00022417"/>
    <w:rsid w:val="000257E0"/>
    <w:rsid w:val="00034A87"/>
    <w:rsid w:val="000352DA"/>
    <w:rsid w:val="00042C54"/>
    <w:rsid w:val="000659DE"/>
    <w:rsid w:val="00073B5F"/>
    <w:rsid w:val="00077495"/>
    <w:rsid w:val="00081703"/>
    <w:rsid w:val="000834C5"/>
    <w:rsid w:val="00096DEB"/>
    <w:rsid w:val="0009789B"/>
    <w:rsid w:val="000A244B"/>
    <w:rsid w:val="000A7AD2"/>
    <w:rsid w:val="000B1F14"/>
    <w:rsid w:val="000B36D2"/>
    <w:rsid w:val="000B716D"/>
    <w:rsid w:val="000C0963"/>
    <w:rsid w:val="000D2025"/>
    <w:rsid w:val="000D6032"/>
    <w:rsid w:val="000E537C"/>
    <w:rsid w:val="000E5912"/>
    <w:rsid w:val="00110362"/>
    <w:rsid w:val="00111E51"/>
    <w:rsid w:val="0011637B"/>
    <w:rsid w:val="00133425"/>
    <w:rsid w:val="00140434"/>
    <w:rsid w:val="0016490A"/>
    <w:rsid w:val="001671ED"/>
    <w:rsid w:val="001706A5"/>
    <w:rsid w:val="00175691"/>
    <w:rsid w:val="001A5D67"/>
    <w:rsid w:val="001B04F7"/>
    <w:rsid w:val="001C4B46"/>
    <w:rsid w:val="001D27AC"/>
    <w:rsid w:val="001D29FF"/>
    <w:rsid w:val="001D41C4"/>
    <w:rsid w:val="001D4B66"/>
    <w:rsid w:val="001F780C"/>
    <w:rsid w:val="00206978"/>
    <w:rsid w:val="00232450"/>
    <w:rsid w:val="002355F1"/>
    <w:rsid w:val="002378EF"/>
    <w:rsid w:val="00261591"/>
    <w:rsid w:val="00263DD4"/>
    <w:rsid w:val="002641A9"/>
    <w:rsid w:val="00265490"/>
    <w:rsid w:val="002751CB"/>
    <w:rsid w:val="0029077A"/>
    <w:rsid w:val="00292C63"/>
    <w:rsid w:val="002A2AAC"/>
    <w:rsid w:val="002A4FA4"/>
    <w:rsid w:val="002B03C2"/>
    <w:rsid w:val="002B05A1"/>
    <w:rsid w:val="002B06BE"/>
    <w:rsid w:val="002B0858"/>
    <w:rsid w:val="002C410B"/>
    <w:rsid w:val="002C6F31"/>
    <w:rsid w:val="002E2393"/>
    <w:rsid w:val="002E42FD"/>
    <w:rsid w:val="002E757A"/>
    <w:rsid w:val="002F1E98"/>
    <w:rsid w:val="002F5E62"/>
    <w:rsid w:val="002F6F98"/>
    <w:rsid w:val="003025D1"/>
    <w:rsid w:val="00307696"/>
    <w:rsid w:val="00313FEE"/>
    <w:rsid w:val="0032409C"/>
    <w:rsid w:val="0032468D"/>
    <w:rsid w:val="0032603B"/>
    <w:rsid w:val="003422F3"/>
    <w:rsid w:val="003558BF"/>
    <w:rsid w:val="003621AD"/>
    <w:rsid w:val="003629C9"/>
    <w:rsid w:val="003704A8"/>
    <w:rsid w:val="003756F0"/>
    <w:rsid w:val="0037575D"/>
    <w:rsid w:val="003A45ED"/>
    <w:rsid w:val="003A5809"/>
    <w:rsid w:val="003C36AE"/>
    <w:rsid w:val="003C43F3"/>
    <w:rsid w:val="00400585"/>
    <w:rsid w:val="004018CA"/>
    <w:rsid w:val="00404A20"/>
    <w:rsid w:val="00421292"/>
    <w:rsid w:val="00422DF3"/>
    <w:rsid w:val="00423E64"/>
    <w:rsid w:val="004241BC"/>
    <w:rsid w:val="00441E9C"/>
    <w:rsid w:val="00444A70"/>
    <w:rsid w:val="00470AE7"/>
    <w:rsid w:val="0047195F"/>
    <w:rsid w:val="00473736"/>
    <w:rsid w:val="00475837"/>
    <w:rsid w:val="00492BEF"/>
    <w:rsid w:val="004939C5"/>
    <w:rsid w:val="004A3344"/>
    <w:rsid w:val="004B32C5"/>
    <w:rsid w:val="004B7353"/>
    <w:rsid w:val="004C5C3C"/>
    <w:rsid w:val="004D014C"/>
    <w:rsid w:val="004D0C95"/>
    <w:rsid w:val="004D1E16"/>
    <w:rsid w:val="004D2C9A"/>
    <w:rsid w:val="004F03F1"/>
    <w:rsid w:val="004F23A1"/>
    <w:rsid w:val="004F4453"/>
    <w:rsid w:val="00506CE6"/>
    <w:rsid w:val="00506D1D"/>
    <w:rsid w:val="00510907"/>
    <w:rsid w:val="00512BCC"/>
    <w:rsid w:val="005257F4"/>
    <w:rsid w:val="005417C8"/>
    <w:rsid w:val="00545878"/>
    <w:rsid w:val="005522BB"/>
    <w:rsid w:val="0055647D"/>
    <w:rsid w:val="00574CE4"/>
    <w:rsid w:val="00584D6E"/>
    <w:rsid w:val="00591505"/>
    <w:rsid w:val="00594BE5"/>
    <w:rsid w:val="005B091F"/>
    <w:rsid w:val="005B0A4C"/>
    <w:rsid w:val="005B2460"/>
    <w:rsid w:val="005C6ED8"/>
    <w:rsid w:val="005E437F"/>
    <w:rsid w:val="005E5654"/>
    <w:rsid w:val="005E5941"/>
    <w:rsid w:val="005F2703"/>
    <w:rsid w:val="005F3112"/>
    <w:rsid w:val="005F3A72"/>
    <w:rsid w:val="006017A6"/>
    <w:rsid w:val="00617B0E"/>
    <w:rsid w:val="00621A0A"/>
    <w:rsid w:val="006342D5"/>
    <w:rsid w:val="0063484F"/>
    <w:rsid w:val="00642BFD"/>
    <w:rsid w:val="00642C0B"/>
    <w:rsid w:val="00643AAE"/>
    <w:rsid w:val="00644DA8"/>
    <w:rsid w:val="00646FA6"/>
    <w:rsid w:val="0065646C"/>
    <w:rsid w:val="006706B1"/>
    <w:rsid w:val="00670F3A"/>
    <w:rsid w:val="00687AD6"/>
    <w:rsid w:val="006A179B"/>
    <w:rsid w:val="006A5E04"/>
    <w:rsid w:val="006D2EED"/>
    <w:rsid w:val="006E0667"/>
    <w:rsid w:val="006E104C"/>
    <w:rsid w:val="006E52B6"/>
    <w:rsid w:val="006F09BA"/>
    <w:rsid w:val="00702981"/>
    <w:rsid w:val="00702DE1"/>
    <w:rsid w:val="00705F89"/>
    <w:rsid w:val="00706AB8"/>
    <w:rsid w:val="00723C72"/>
    <w:rsid w:val="0072750A"/>
    <w:rsid w:val="0073048C"/>
    <w:rsid w:val="00733B18"/>
    <w:rsid w:val="007450A4"/>
    <w:rsid w:val="0076087E"/>
    <w:rsid w:val="00774F0E"/>
    <w:rsid w:val="007750C0"/>
    <w:rsid w:val="00781FA1"/>
    <w:rsid w:val="0079035F"/>
    <w:rsid w:val="007976F2"/>
    <w:rsid w:val="007E5D6A"/>
    <w:rsid w:val="007F2C6A"/>
    <w:rsid w:val="007F4650"/>
    <w:rsid w:val="007F4CDD"/>
    <w:rsid w:val="007F5ABE"/>
    <w:rsid w:val="007F624C"/>
    <w:rsid w:val="00803901"/>
    <w:rsid w:val="0080787E"/>
    <w:rsid w:val="0081294A"/>
    <w:rsid w:val="0082593A"/>
    <w:rsid w:val="00826D02"/>
    <w:rsid w:val="00833864"/>
    <w:rsid w:val="00843FA7"/>
    <w:rsid w:val="008629DC"/>
    <w:rsid w:val="008651BE"/>
    <w:rsid w:val="00873EBF"/>
    <w:rsid w:val="00875E04"/>
    <w:rsid w:val="008822A4"/>
    <w:rsid w:val="008850F7"/>
    <w:rsid w:val="008859E5"/>
    <w:rsid w:val="00891CC9"/>
    <w:rsid w:val="008B24C0"/>
    <w:rsid w:val="008C79E8"/>
    <w:rsid w:val="008E0EB4"/>
    <w:rsid w:val="008E152D"/>
    <w:rsid w:val="008E34FB"/>
    <w:rsid w:val="008E7297"/>
    <w:rsid w:val="008F1FAD"/>
    <w:rsid w:val="008F5EB5"/>
    <w:rsid w:val="008F5FD2"/>
    <w:rsid w:val="00901027"/>
    <w:rsid w:val="00901A89"/>
    <w:rsid w:val="00931A5A"/>
    <w:rsid w:val="00941780"/>
    <w:rsid w:val="00944CFD"/>
    <w:rsid w:val="00964233"/>
    <w:rsid w:val="009662A8"/>
    <w:rsid w:val="009813BA"/>
    <w:rsid w:val="00985513"/>
    <w:rsid w:val="0098666D"/>
    <w:rsid w:val="009915B1"/>
    <w:rsid w:val="009A021C"/>
    <w:rsid w:val="009B04A9"/>
    <w:rsid w:val="009B5E28"/>
    <w:rsid w:val="009B6489"/>
    <w:rsid w:val="009C7B9B"/>
    <w:rsid w:val="009E6BFF"/>
    <w:rsid w:val="009F7C2B"/>
    <w:rsid w:val="00A04BF2"/>
    <w:rsid w:val="00A130FA"/>
    <w:rsid w:val="00A26C9A"/>
    <w:rsid w:val="00A344D0"/>
    <w:rsid w:val="00A47819"/>
    <w:rsid w:val="00A52A10"/>
    <w:rsid w:val="00A530F9"/>
    <w:rsid w:val="00A6454B"/>
    <w:rsid w:val="00A7581A"/>
    <w:rsid w:val="00A83F26"/>
    <w:rsid w:val="00AA2A8B"/>
    <w:rsid w:val="00AA3AA9"/>
    <w:rsid w:val="00AC129E"/>
    <w:rsid w:val="00AC18E0"/>
    <w:rsid w:val="00AC69F0"/>
    <w:rsid w:val="00AC6D59"/>
    <w:rsid w:val="00AE333F"/>
    <w:rsid w:val="00AE7920"/>
    <w:rsid w:val="00AF48A2"/>
    <w:rsid w:val="00AF70EE"/>
    <w:rsid w:val="00B059A1"/>
    <w:rsid w:val="00B17B65"/>
    <w:rsid w:val="00B2088A"/>
    <w:rsid w:val="00B25408"/>
    <w:rsid w:val="00B31523"/>
    <w:rsid w:val="00B35F4E"/>
    <w:rsid w:val="00B432EE"/>
    <w:rsid w:val="00B4351F"/>
    <w:rsid w:val="00B4672E"/>
    <w:rsid w:val="00B751C9"/>
    <w:rsid w:val="00B77B9F"/>
    <w:rsid w:val="00B80C78"/>
    <w:rsid w:val="00B85873"/>
    <w:rsid w:val="00BA19F8"/>
    <w:rsid w:val="00BA703F"/>
    <w:rsid w:val="00BB28EA"/>
    <w:rsid w:val="00BB3310"/>
    <w:rsid w:val="00BB5C50"/>
    <w:rsid w:val="00BC1122"/>
    <w:rsid w:val="00BE5759"/>
    <w:rsid w:val="00BF0EE3"/>
    <w:rsid w:val="00BF56C0"/>
    <w:rsid w:val="00C01F33"/>
    <w:rsid w:val="00C03EE5"/>
    <w:rsid w:val="00C03F66"/>
    <w:rsid w:val="00C11581"/>
    <w:rsid w:val="00C15540"/>
    <w:rsid w:val="00C208AD"/>
    <w:rsid w:val="00C20A5F"/>
    <w:rsid w:val="00C21486"/>
    <w:rsid w:val="00C2555C"/>
    <w:rsid w:val="00C35258"/>
    <w:rsid w:val="00C45BBC"/>
    <w:rsid w:val="00C77BFD"/>
    <w:rsid w:val="00C8776D"/>
    <w:rsid w:val="00C9440C"/>
    <w:rsid w:val="00C94E2E"/>
    <w:rsid w:val="00CA46D3"/>
    <w:rsid w:val="00CA67BA"/>
    <w:rsid w:val="00CB0831"/>
    <w:rsid w:val="00CB368D"/>
    <w:rsid w:val="00CB3A44"/>
    <w:rsid w:val="00CB3B85"/>
    <w:rsid w:val="00CC187A"/>
    <w:rsid w:val="00CC71CF"/>
    <w:rsid w:val="00CF2F72"/>
    <w:rsid w:val="00CF4968"/>
    <w:rsid w:val="00CF78A9"/>
    <w:rsid w:val="00D15D64"/>
    <w:rsid w:val="00D2236A"/>
    <w:rsid w:val="00D403BD"/>
    <w:rsid w:val="00D461DB"/>
    <w:rsid w:val="00D53463"/>
    <w:rsid w:val="00D54069"/>
    <w:rsid w:val="00D74D44"/>
    <w:rsid w:val="00D74EA4"/>
    <w:rsid w:val="00D76DF3"/>
    <w:rsid w:val="00D85A53"/>
    <w:rsid w:val="00D9711B"/>
    <w:rsid w:val="00DA18B9"/>
    <w:rsid w:val="00DA3737"/>
    <w:rsid w:val="00DA3790"/>
    <w:rsid w:val="00DA75CD"/>
    <w:rsid w:val="00DC6E93"/>
    <w:rsid w:val="00DE3989"/>
    <w:rsid w:val="00E00AC1"/>
    <w:rsid w:val="00E0541F"/>
    <w:rsid w:val="00E132C9"/>
    <w:rsid w:val="00E24411"/>
    <w:rsid w:val="00E25AB2"/>
    <w:rsid w:val="00E3019D"/>
    <w:rsid w:val="00E33A38"/>
    <w:rsid w:val="00E35FA6"/>
    <w:rsid w:val="00E54FFA"/>
    <w:rsid w:val="00E64B6C"/>
    <w:rsid w:val="00E71F55"/>
    <w:rsid w:val="00E72971"/>
    <w:rsid w:val="00E74C3A"/>
    <w:rsid w:val="00E76E2A"/>
    <w:rsid w:val="00E82943"/>
    <w:rsid w:val="00E854FA"/>
    <w:rsid w:val="00E87135"/>
    <w:rsid w:val="00E918BF"/>
    <w:rsid w:val="00EA082D"/>
    <w:rsid w:val="00EA216A"/>
    <w:rsid w:val="00EB1B5C"/>
    <w:rsid w:val="00ED1B27"/>
    <w:rsid w:val="00EF203C"/>
    <w:rsid w:val="00F110B2"/>
    <w:rsid w:val="00F219E4"/>
    <w:rsid w:val="00F30F5D"/>
    <w:rsid w:val="00F354CB"/>
    <w:rsid w:val="00F37CCF"/>
    <w:rsid w:val="00F42578"/>
    <w:rsid w:val="00F436BC"/>
    <w:rsid w:val="00F70967"/>
    <w:rsid w:val="00F72CA0"/>
    <w:rsid w:val="00F76DB1"/>
    <w:rsid w:val="00F83FCB"/>
    <w:rsid w:val="00F91A02"/>
    <w:rsid w:val="00FA44A9"/>
    <w:rsid w:val="00FC2096"/>
    <w:rsid w:val="00FE789F"/>
    <w:rsid w:val="00FF7C97"/>
    <w:rsid w:val="05740D88"/>
    <w:rsid w:val="180B10BC"/>
    <w:rsid w:val="1CB571A2"/>
    <w:rsid w:val="260317E4"/>
    <w:rsid w:val="28925738"/>
    <w:rsid w:val="31104BF3"/>
    <w:rsid w:val="3E656A33"/>
    <w:rsid w:val="42D6633D"/>
    <w:rsid w:val="5449457E"/>
    <w:rsid w:val="550064A1"/>
    <w:rsid w:val="555A5957"/>
    <w:rsid w:val="571C2279"/>
    <w:rsid w:val="59C64C35"/>
    <w:rsid w:val="648D6C73"/>
    <w:rsid w:val="67A828F3"/>
    <w:rsid w:val="85BB13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unhideWhenUsed/>
    <w:qFormat/>
    <w:uiPriority w:val="99"/>
    <w:pPr>
      <w:spacing w:after="120" w:afterLines="0"/>
      <w:ind w:left="420" w:leftChars="200"/>
    </w:pPr>
    <w:rPr>
      <w:rFonts w:ascii="Arial" w:hAnsi="Arial"/>
      <w:sz w:val="21"/>
      <w:szCs w:val="21"/>
    </w:rPr>
  </w:style>
  <w:style w:type="paragraph" w:styleId="5">
    <w:name w:val="Normal Indent"/>
    <w:basedOn w:val="1"/>
    <w:link w:val="19"/>
    <w:qFormat/>
    <w:uiPriority w:val="0"/>
    <w:pPr>
      <w:widowControl/>
      <w:ind w:firstLine="420"/>
      <w:jc w:val="left"/>
    </w:pPr>
    <w:rPr>
      <w:kern w:val="0"/>
      <w:sz w:val="20"/>
      <w:szCs w:val="20"/>
    </w:rPr>
  </w:style>
  <w:style w:type="paragraph" w:styleId="6">
    <w:name w:val="Body Text"/>
    <w:basedOn w:val="1"/>
    <w:next w:val="7"/>
    <w:unhideWhenUsed/>
    <w:qFormat/>
    <w:uiPriority w:val="0"/>
    <w:pPr>
      <w:spacing w:after="120"/>
    </w:pPr>
  </w:style>
  <w:style w:type="paragraph" w:customStyle="1" w:styleId="7">
    <w:name w:val="一级条标题"/>
    <w:basedOn w:val="8"/>
    <w:next w:val="9"/>
    <w:qFormat/>
    <w:uiPriority w:val="0"/>
    <w:pPr>
      <w:spacing w:line="240" w:lineRule="auto"/>
      <w:ind w:left="420"/>
      <w:outlineLvl w:val="2"/>
    </w:pPr>
    <w:rPr>
      <w:rFonts w:ascii="Times New Roman" w:hAnsi="Times New Roman" w:eastAsia="宋体" w:cs="Times New Roman"/>
    </w:rPr>
  </w:style>
  <w:style w:type="paragraph" w:customStyle="1" w:styleId="8">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9">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0">
    <w:name w:val="Date"/>
    <w:basedOn w:val="1"/>
    <w:next w:val="1"/>
    <w:link w:val="23"/>
    <w:qFormat/>
    <w:uiPriority w:val="0"/>
    <w:pPr>
      <w:ind w:left="100" w:leftChars="2500"/>
    </w:pPr>
    <w:rPr>
      <w:b/>
      <w:bCs/>
      <w:color w:val="000000"/>
      <w:sz w:val="28"/>
      <w:szCs w:val="20"/>
    </w:rPr>
  </w:style>
  <w:style w:type="paragraph" w:styleId="11">
    <w:name w:val="Balloon Text"/>
    <w:basedOn w:val="1"/>
    <w:link w:val="22"/>
    <w:qFormat/>
    <w:uiPriority w:val="0"/>
    <w:rPr>
      <w:sz w:val="18"/>
      <w:szCs w:val="18"/>
    </w:rPr>
  </w:style>
  <w:style w:type="paragraph" w:styleId="12">
    <w:name w:val="footer"/>
    <w:basedOn w:val="1"/>
    <w:link w:val="21"/>
    <w:qFormat/>
    <w:uiPriority w:val="0"/>
    <w:pPr>
      <w:tabs>
        <w:tab w:val="center" w:pos="4153"/>
        <w:tab w:val="right" w:pos="8306"/>
      </w:tabs>
      <w:snapToGrid w:val="0"/>
      <w:jc w:val="left"/>
    </w:pPr>
    <w:rPr>
      <w:sz w:val="18"/>
      <w:szCs w:val="18"/>
    </w:rPr>
  </w:style>
  <w:style w:type="paragraph" w:styleId="13">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qFormat/>
    <w:uiPriority w:val="0"/>
  </w:style>
  <w:style w:type="paragraph" w:customStyle="1" w:styleId="18">
    <w:name w:val="样式 宋体 小四 首行缩进:  0.85 厘米 行距: 1.5 倍行距"/>
    <w:basedOn w:val="1"/>
    <w:qFormat/>
    <w:uiPriority w:val="0"/>
    <w:pPr>
      <w:spacing w:line="360" w:lineRule="exact"/>
      <w:ind w:firstLine="482"/>
    </w:pPr>
    <w:rPr>
      <w:rFonts w:ascii="宋体" w:hAnsi="宋体" w:cs="宋体"/>
    </w:rPr>
  </w:style>
  <w:style w:type="character" w:customStyle="1" w:styleId="19">
    <w:name w:val="正文缩进 Char"/>
    <w:link w:val="5"/>
    <w:qFormat/>
    <w:uiPriority w:val="0"/>
    <w:rPr>
      <w:rFonts w:eastAsia="宋体"/>
      <w:lang w:val="en-US" w:eastAsia="zh-CN" w:bidi="ar-SA"/>
    </w:rPr>
  </w:style>
  <w:style w:type="character" w:customStyle="1" w:styleId="20">
    <w:name w:val="页眉 Char"/>
    <w:link w:val="13"/>
    <w:qFormat/>
    <w:uiPriority w:val="0"/>
    <w:rPr>
      <w:kern w:val="2"/>
      <w:sz w:val="18"/>
      <w:szCs w:val="18"/>
    </w:rPr>
  </w:style>
  <w:style w:type="character" w:customStyle="1" w:styleId="21">
    <w:name w:val="页脚 Char"/>
    <w:link w:val="12"/>
    <w:qFormat/>
    <w:uiPriority w:val="0"/>
    <w:rPr>
      <w:kern w:val="2"/>
      <w:sz w:val="18"/>
      <w:szCs w:val="18"/>
    </w:rPr>
  </w:style>
  <w:style w:type="character" w:customStyle="1" w:styleId="22">
    <w:name w:val="批注框文本 Char"/>
    <w:link w:val="11"/>
    <w:qFormat/>
    <w:uiPriority w:val="0"/>
    <w:rPr>
      <w:kern w:val="2"/>
      <w:sz w:val="18"/>
      <w:szCs w:val="18"/>
    </w:rPr>
  </w:style>
  <w:style w:type="character" w:customStyle="1" w:styleId="23">
    <w:name w:val="日期 Char"/>
    <w:basedOn w:val="16"/>
    <w:link w:val="10"/>
    <w:qFormat/>
    <w:uiPriority w:val="0"/>
    <w:rPr>
      <w:b/>
      <w:bCs/>
      <w:color w:val="000000"/>
      <w:kern w:val="2"/>
      <w:sz w:val="28"/>
    </w:rPr>
  </w:style>
  <w:style w:type="paragraph" w:customStyle="1" w:styleId="24">
    <w:name w:val="正文1"/>
    <w:basedOn w:val="1"/>
    <w:qFormat/>
    <w:uiPriority w:val="0"/>
    <w:pPr>
      <w:spacing w:line="360" w:lineRule="auto"/>
      <w:ind w:firstLine="200" w:firstLineChars="200"/>
      <w:jc w:val="both"/>
    </w:pPr>
    <w:rPr>
      <w:rFonts w:eastAsia="楷体_GB2312"/>
      <w:szCs w:val="24"/>
      <w:lang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22BCB-CFAC-4A6F-BFDD-21A6263F57E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857</Words>
  <Characters>920</Characters>
  <Lines>8</Lines>
  <Paragraphs>2</Paragraphs>
  <TotalTime>0</TotalTime>
  <ScaleCrop>false</ScaleCrop>
  <LinksUpToDate>false</LinksUpToDate>
  <CharactersWithSpaces>1005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2018-08-16T11:32:00Z</dcterms:created>
  <dc:creator>徐文忠</dc:creator>
  <cp:lastModifiedBy>刘相佐</cp:lastModifiedBy>
  <cp:lastPrinted>2016-06-20T10:19:00Z</cp:lastPrinted>
  <dcterms:modified xsi:type="dcterms:W3CDTF">2025-11-18T03:30:34Z</dcterms:modified>
  <dc:title>云南电网公司</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21A0B726E6AD4A80B1C8D8005C72E610</vt:lpwstr>
  </property>
</Properties>
</file>