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C65374">
      <w:pPr>
        <w:pStyle w:val="8"/>
        <w:jc w:val="center"/>
        <w:rPr>
          <w:rFonts w:ascii="隶书" w:eastAsia="隶书"/>
          <w:sz w:val="56"/>
          <w:szCs w:val="56"/>
        </w:rPr>
      </w:pPr>
      <w:bookmarkStart w:id="0" w:name="_Toc6059"/>
      <w:bookmarkStart w:id="1" w:name="_Toc1572"/>
    </w:p>
    <w:p w14:paraId="1047B5B1">
      <w:pPr>
        <w:pStyle w:val="8"/>
        <w:jc w:val="center"/>
        <w:rPr>
          <w:rFonts w:ascii="隶书" w:eastAsia="隶书"/>
          <w:sz w:val="56"/>
          <w:szCs w:val="56"/>
        </w:rPr>
      </w:pPr>
    </w:p>
    <w:p w14:paraId="49558546">
      <w:pPr>
        <w:pStyle w:val="18"/>
        <w:rPr>
          <w:rFonts w:ascii="黑体" w:hAnsi="黑体" w:eastAsia="黑体" w:cs="黑体"/>
          <w:sz w:val="48"/>
          <w:szCs w:val="48"/>
        </w:rPr>
      </w:pPr>
      <w:r>
        <w:rPr>
          <w:rFonts w:hint="eastAsia" w:ascii="黑体" w:hAnsi="黑体" w:eastAsia="黑体" w:cs="黑体"/>
          <w:sz w:val="48"/>
          <w:szCs w:val="48"/>
        </w:rPr>
        <w:t>《一种变电站“智能锁控”装置及实现远方部署管理系统》</w:t>
      </w:r>
    </w:p>
    <w:p w14:paraId="48DF6DB6">
      <w:pPr>
        <w:spacing w:before="156" w:beforeLines="50"/>
        <w:jc w:val="center"/>
        <w:rPr>
          <w:rFonts w:hint="eastAsia" w:ascii="黑体" w:hAnsi="黑体" w:eastAsia="黑体" w:cs="黑体"/>
          <w:kern w:val="0"/>
          <w:sz w:val="48"/>
          <w:szCs w:val="48"/>
          <w:lang w:val="en-US" w:eastAsia="zh-CN" w:bidi="ar-SA"/>
        </w:rPr>
      </w:pPr>
      <w:r>
        <w:rPr>
          <w:rFonts w:hint="eastAsia" w:ascii="黑体" w:hAnsi="黑体" w:eastAsia="黑体" w:cs="黑体"/>
          <w:kern w:val="0"/>
          <w:sz w:val="48"/>
          <w:szCs w:val="48"/>
          <w:lang w:val="en-US" w:eastAsia="zh-CN" w:bidi="ar-SA"/>
        </w:rPr>
        <w:t>职工创新项目测试服务</w:t>
      </w:r>
    </w:p>
    <w:p w14:paraId="3173E01E">
      <w:pPr>
        <w:spacing w:before="156" w:beforeLines="50"/>
        <w:jc w:val="center"/>
        <w:rPr>
          <w:rFonts w:hint="eastAsia" w:ascii="黑体" w:hAnsi="黑体" w:eastAsia="黑体" w:cs="黑体"/>
          <w:kern w:val="0"/>
          <w:sz w:val="48"/>
          <w:szCs w:val="48"/>
          <w:lang w:val="en-US" w:eastAsia="zh-CN" w:bidi="ar-SA"/>
        </w:rPr>
      </w:pPr>
      <w:r>
        <w:rPr>
          <w:rFonts w:hint="eastAsia" w:ascii="黑体" w:hAnsi="黑体" w:eastAsia="黑体" w:cs="黑体"/>
          <w:kern w:val="0"/>
          <w:sz w:val="48"/>
          <w:szCs w:val="48"/>
          <w:lang w:val="en-US" w:eastAsia="zh-CN" w:bidi="ar-SA"/>
        </w:rPr>
        <w:t>技术规范书</w:t>
      </w:r>
    </w:p>
    <w:p w14:paraId="277882CD">
      <w:pPr>
        <w:pStyle w:val="8"/>
        <w:jc w:val="center"/>
        <w:rPr>
          <w:rFonts w:ascii="隶书" w:eastAsia="隶书"/>
          <w:sz w:val="48"/>
          <w:szCs w:val="48"/>
        </w:rPr>
      </w:pPr>
    </w:p>
    <w:p w14:paraId="0DBF730C">
      <w:pPr>
        <w:pStyle w:val="8"/>
        <w:jc w:val="center"/>
        <w:rPr>
          <w:rFonts w:ascii="黑体" w:hAnsi="黑体" w:eastAsia="黑体" w:cs="黑体"/>
          <w:color w:val="C00000"/>
          <w:sz w:val="36"/>
          <w:szCs w:val="36"/>
        </w:rPr>
      </w:pPr>
    </w:p>
    <w:p w14:paraId="6F368D39">
      <w:pPr>
        <w:pStyle w:val="8"/>
        <w:jc w:val="center"/>
        <w:rPr>
          <w:rFonts w:ascii="隶书" w:eastAsia="隶书"/>
          <w:sz w:val="48"/>
          <w:szCs w:val="48"/>
        </w:rPr>
      </w:pPr>
    </w:p>
    <w:p w14:paraId="20B0F9C5">
      <w:pPr>
        <w:pStyle w:val="8"/>
        <w:jc w:val="center"/>
        <w:rPr>
          <w:rFonts w:ascii="隶书" w:eastAsia="隶书"/>
          <w:sz w:val="48"/>
          <w:szCs w:val="48"/>
        </w:rPr>
      </w:pPr>
    </w:p>
    <w:p w14:paraId="28562D43">
      <w:pPr>
        <w:spacing w:before="156" w:beforeLines="50"/>
        <w:rPr>
          <w:rFonts w:ascii="楷体_GB2312" w:hAnsi="宋体" w:eastAsia="楷体_GB2312"/>
          <w:sz w:val="32"/>
          <w:szCs w:val="32"/>
        </w:rPr>
      </w:pPr>
    </w:p>
    <w:p w14:paraId="380F1A0E">
      <w:pPr>
        <w:spacing w:before="156" w:beforeLines="50"/>
        <w:jc w:val="center"/>
        <w:rPr>
          <w:rFonts w:ascii="楷体_GB2312" w:hAnsi="宋体" w:eastAsia="楷体_GB2312"/>
          <w:sz w:val="32"/>
          <w:szCs w:val="32"/>
        </w:rPr>
      </w:pPr>
    </w:p>
    <w:p w14:paraId="43479E26">
      <w:pPr>
        <w:spacing w:before="156" w:beforeLines="50"/>
        <w:rPr>
          <w:rFonts w:ascii="楷体_GB2312" w:hAnsi="宋体" w:eastAsia="楷体_GB2312"/>
          <w:sz w:val="32"/>
          <w:szCs w:val="32"/>
        </w:rPr>
      </w:pPr>
    </w:p>
    <w:p w14:paraId="38B9BBCD">
      <w:pPr>
        <w:pStyle w:val="19"/>
        <w:rPr>
          <w:rStyle w:val="21"/>
          <w:rFonts w:ascii="黑体" w:hAnsi="黑体" w:eastAsia="黑体" w:cs="黑体"/>
          <w:highlight w:val="yellow"/>
        </w:rPr>
      </w:pPr>
    </w:p>
    <w:p w14:paraId="52414F80">
      <w:pPr>
        <w:pStyle w:val="19"/>
        <w:rPr>
          <w:rStyle w:val="21"/>
          <w:rFonts w:ascii="黑体" w:hAnsi="黑体" w:eastAsia="黑体" w:cs="黑体"/>
          <w:highlight w:val="yellow"/>
        </w:rPr>
      </w:pPr>
    </w:p>
    <w:p w14:paraId="738C180B">
      <w:pPr>
        <w:pStyle w:val="19"/>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1"/>
          <w:rFonts w:hint="eastAsia" w:ascii="黑体" w:hAnsi="黑体" w:eastAsia="黑体" w:cs="黑体"/>
        </w:rPr>
        <w:t>2025年11月</w:t>
      </w:r>
    </w:p>
    <w:bookmarkEnd w:id="0"/>
    <w:bookmarkEnd w:id="1"/>
    <w:p w14:paraId="2238B022">
      <w:pPr>
        <w:pStyle w:val="22"/>
        <w:spacing w:before="312"/>
        <w:outlineLvl w:val="0"/>
        <w:rPr>
          <w:rFonts w:ascii="黑体" w:hAnsi="黑体" w:eastAsia="黑体" w:cs="黑体"/>
          <w:sz w:val="28"/>
          <w:szCs w:val="28"/>
        </w:rPr>
      </w:pPr>
      <w:bookmarkStart w:id="2" w:name="_Toc2334"/>
      <w:r>
        <w:rPr>
          <w:rFonts w:hint="eastAsia" w:ascii="黑体" w:hAnsi="黑体" w:eastAsia="黑体" w:cs="黑体"/>
          <w:sz w:val="28"/>
          <w:szCs w:val="28"/>
        </w:rPr>
        <w:t>1  概况</w:t>
      </w:r>
      <w:bookmarkEnd w:id="2"/>
    </w:p>
    <w:p w14:paraId="769BF9A6">
      <w:pPr>
        <w:adjustRightInd w:val="0"/>
        <w:snapToGrid w:val="0"/>
        <w:spacing w:line="360" w:lineRule="auto"/>
        <w:ind w:firstLine="480" w:firstLineChars="200"/>
        <w:outlineLvl w:val="0"/>
        <w:rPr>
          <w:rFonts w:asciiTheme="minorEastAsia" w:hAnsiTheme="minorEastAsia" w:eastAsiaTheme="minorEastAsia" w:cstheme="minorEastAsia"/>
          <w:color w:val="000000"/>
          <w:sz w:val="24"/>
        </w:rPr>
      </w:pPr>
      <w:r>
        <w:rPr>
          <w:rFonts w:hint="eastAsia" w:ascii="宋体" w:hAnsi="宋体" w:cs="宋体"/>
          <w:color w:val="000000"/>
          <w:sz w:val="24"/>
        </w:rPr>
        <w:t>《一种变电站“智能锁控”装置及实现远方部署管理系统》职工创新项目测试服务</w:t>
      </w:r>
      <w:r>
        <w:rPr>
          <w:rFonts w:hint="eastAsia" w:ascii="宋体" w:hAnsi="宋体" w:cs="宋体"/>
          <w:sz w:val="24"/>
        </w:rPr>
        <w:t>，采购内容：按采购方提供的技术规范书完成测试服务并交付能够正常运行的软件1套，配合甲方至少完成1项发明专利申报</w:t>
      </w:r>
      <w:r>
        <w:rPr>
          <w:rFonts w:hint="eastAsia" w:ascii="宋体" w:hAnsi="宋体"/>
          <w:sz w:val="24"/>
        </w:rPr>
        <w:t>申请软件著作权1篇，功能说明书1份</w:t>
      </w:r>
      <w:r>
        <w:rPr>
          <w:rFonts w:hint="eastAsia" w:ascii="宋体" w:hAnsi="宋体"/>
          <w:sz w:val="24"/>
          <w:lang w:eastAsia="zh-CN"/>
        </w:rPr>
        <w:t>，</w:t>
      </w:r>
      <w:r>
        <w:rPr>
          <w:rFonts w:hint="eastAsia" w:ascii="宋体" w:hAnsi="宋体"/>
          <w:sz w:val="24"/>
          <w:lang w:val="en-US" w:eastAsia="zh-CN"/>
        </w:rPr>
        <w:t>测试报告1份</w:t>
      </w:r>
      <w:r>
        <w:rPr>
          <w:rFonts w:hint="eastAsia" w:ascii="宋体" w:hAnsi="宋体" w:cs="宋体"/>
          <w:sz w:val="24"/>
        </w:rPr>
        <w:t>。</w:t>
      </w:r>
    </w:p>
    <w:p w14:paraId="67661CA2">
      <w:pPr>
        <w:pStyle w:val="6"/>
        <w:spacing w:line="360" w:lineRule="auto"/>
        <w:ind w:firstLine="480" w:firstLineChars="200"/>
        <w:rPr>
          <w:rFonts w:hint="eastAsia" w:ascii="宋体" w:hAnsi="宋体" w:eastAsia="宋体" w:cs="宋体"/>
          <w:sz w:val="24"/>
          <w:lang w:eastAsia="zh-CN"/>
        </w:rPr>
      </w:pPr>
      <w:r>
        <w:rPr>
          <w:rFonts w:hint="eastAsia" w:ascii="宋体" w:hAnsi="宋体" w:cs="宋体"/>
          <w:sz w:val="24"/>
        </w:rPr>
        <w:t>项目内容：本项目针对变电运行日常管理工作中，对于变电站内的“五小箱”（端子箱、机构箱、检修电源箱、间隔操作箱、控制箱）、二次屏柜、各种功能室房间门等设备采用传统机械锁具进行管理，存在权限管理难、使用记录缺失、钥匙易丢失、易复制、锁具易生锈等问题，不利于运行人员的工作效率和电力设备的运行安全，影响运维检修精细化管理水平的提升。基于以上问题，研究开发一套基于微服务架构的能实现变电站“智能锁控”装置及远方部署管理系统，系统功能含有对变电站智能锁控的远方授权及开锁状态的远方监测。系统部署在物联网平台河源局信息管理IV区，应用</w:t>
      </w:r>
      <w:r>
        <w:rPr>
          <w:rFonts w:hint="eastAsia" w:ascii="宋体" w:hAnsi="宋体" w:cs="宋体"/>
          <w:sz w:val="24"/>
          <w:lang w:val="en-US" w:eastAsia="zh-CN"/>
        </w:rPr>
        <w:t>内网</w:t>
      </w:r>
      <w:r>
        <w:rPr>
          <w:rFonts w:hint="eastAsia" w:ascii="宋体" w:hAnsi="宋体" w:cs="宋体"/>
          <w:sz w:val="24"/>
        </w:rPr>
        <w:t>办公电脑登录系统实现对变电站各种屏柜锁的开锁权限远方许可、开锁流程信息化管理、开锁记录远方查看。主要研究两点内容：1.研究无人值班变电站站端锁控监控终端及智能钥匙与系统的接入，及各型号智能钥匙和智能锁具的适配；2.研究智能锁控远方授权流程的设计与开发</w:t>
      </w:r>
      <w:r>
        <w:rPr>
          <w:rFonts w:hint="eastAsia" w:ascii="宋体" w:hAnsi="宋体" w:cs="宋体"/>
          <w:sz w:val="24"/>
          <w:lang w:eastAsia="zh-CN"/>
        </w:rPr>
        <w:t>。</w:t>
      </w:r>
    </w:p>
    <w:p w14:paraId="29E1CE28">
      <w:pPr>
        <w:pStyle w:val="6"/>
        <w:spacing w:line="360" w:lineRule="auto"/>
        <w:ind w:firstLine="480" w:firstLineChars="200"/>
        <w:rPr>
          <w:rFonts w:ascii="宋体" w:hAnsi="宋体" w:cs="宋体"/>
          <w:sz w:val="24"/>
        </w:rPr>
      </w:pPr>
      <w:r>
        <w:rPr>
          <w:rFonts w:hint="eastAsia" w:ascii="宋体" w:hAnsi="宋体" w:cs="宋体"/>
          <w:sz w:val="24"/>
        </w:rPr>
        <w:t>项目采用的技术原理：本项目研究的智能锁控远方权限许可及开锁状态监测是采用微服务架构设计，基于融合通信技术、射频识别技术、机电控制技术、智能锁芯技术等一系列技术基础上实现的。主要技术原理是：1</w:t>
      </w:r>
      <w:r>
        <w:rPr>
          <w:rFonts w:ascii="宋体" w:hAnsi="宋体" w:cs="宋体"/>
          <w:sz w:val="24"/>
        </w:rPr>
        <w:t>.</w:t>
      </w:r>
      <w:r>
        <w:rPr>
          <w:rFonts w:hint="eastAsia" w:ascii="宋体" w:hAnsi="宋体" w:cs="宋体"/>
          <w:sz w:val="24"/>
        </w:rPr>
        <w:t>采用微服务架构设计，模块化方式实现开锁状态监测图形化展示、智能锁具授权分配、任务下发、操作结果统计、锁具状态展示等功能。2</w:t>
      </w:r>
      <w:r>
        <w:rPr>
          <w:rFonts w:ascii="宋体" w:hAnsi="宋体" w:cs="宋体"/>
          <w:sz w:val="24"/>
        </w:rPr>
        <w:t>.</w:t>
      </w:r>
      <w:r>
        <w:rPr>
          <w:rFonts w:hint="eastAsia" w:ascii="宋体" w:hAnsi="宋体" w:cs="宋体"/>
          <w:sz w:val="24"/>
        </w:rPr>
        <w:t>通过标准DL/T860协议或MQTT协议，使系统的锁控管理模块与站端锁控监控终端实现数据交互，实现解锁权限序列下发、操作结果上送等功能。3</w:t>
      </w:r>
      <w:r>
        <w:rPr>
          <w:rFonts w:ascii="宋体" w:hAnsi="宋体" w:cs="宋体"/>
          <w:sz w:val="24"/>
        </w:rPr>
        <w:t>.</w:t>
      </w:r>
      <w:r>
        <w:rPr>
          <w:rFonts w:hint="eastAsia" w:ascii="宋体" w:hAnsi="宋体" w:cs="宋体"/>
          <w:sz w:val="24"/>
        </w:rPr>
        <w:t>采用无源射频标签标识锁具身份，标签基于无线射频通信技术原理，此技术具有锁具ID身份唯一、非接触近距离识别、响应速度快和受环境干扰小等突出优点，实现权限精准定位。4</w:t>
      </w:r>
      <w:r>
        <w:rPr>
          <w:rFonts w:ascii="宋体" w:hAnsi="宋体" w:cs="宋体"/>
          <w:sz w:val="24"/>
        </w:rPr>
        <w:t>.</w:t>
      </w:r>
      <w:r>
        <w:rPr>
          <w:rFonts w:hint="eastAsia" w:ascii="宋体" w:hAnsi="宋体" w:cs="宋体"/>
          <w:sz w:val="24"/>
        </w:rPr>
        <w:t>智能钥匙内部采用机电控制模块，可根据平台授权信息、鉴别锁具身份，并受控对锁具闭锁机构实现解锁。5</w:t>
      </w:r>
      <w:r>
        <w:rPr>
          <w:rFonts w:ascii="宋体" w:hAnsi="宋体" w:cs="宋体"/>
          <w:sz w:val="24"/>
        </w:rPr>
        <w:t>.</w:t>
      </w:r>
      <w:r>
        <w:rPr>
          <w:rFonts w:hint="eastAsia" w:ascii="宋体" w:hAnsi="宋体" w:cs="宋体"/>
          <w:sz w:val="24"/>
        </w:rPr>
        <w:t>采用智能锁芯巧妙机械结构配合智能钥匙检测锁具开闭状态。</w:t>
      </w:r>
    </w:p>
    <w:p w14:paraId="49DF3887">
      <w:pPr>
        <w:pStyle w:val="6"/>
      </w:pPr>
    </w:p>
    <w:p w14:paraId="601F2BF3">
      <w:pPr>
        <w:pStyle w:val="22"/>
        <w:spacing w:before="312"/>
        <w:outlineLvl w:val="0"/>
        <w:rPr>
          <w:rFonts w:ascii="黑体" w:hAnsi="黑体" w:eastAsia="黑体" w:cs="黑体"/>
          <w:sz w:val="28"/>
          <w:szCs w:val="28"/>
        </w:rPr>
      </w:pPr>
      <w:bookmarkStart w:id="3" w:name="_Toc10925"/>
      <w:r>
        <w:rPr>
          <w:rFonts w:hint="eastAsia" w:ascii="黑体" w:hAnsi="黑体" w:eastAsia="黑体" w:cs="黑体"/>
          <w:sz w:val="28"/>
          <w:szCs w:val="28"/>
        </w:rPr>
        <w:t xml:space="preserve">2  </w:t>
      </w:r>
      <w:bookmarkEnd w:id="3"/>
      <w:r>
        <w:rPr>
          <w:rFonts w:hint="eastAsia" w:ascii="黑体" w:hAnsi="黑体" w:eastAsia="黑体" w:cs="黑体"/>
          <w:sz w:val="28"/>
          <w:szCs w:val="28"/>
        </w:rPr>
        <w:t>实施期限</w:t>
      </w:r>
    </w:p>
    <w:p w14:paraId="53A40B4E">
      <w:pPr>
        <w:pStyle w:val="22"/>
        <w:spacing w:before="0" w:beforeLines="0" w:line="560" w:lineRule="exact"/>
        <w:outlineLvl w:val="0"/>
        <w:rPr>
          <w:rFonts w:ascii="黑体" w:hAnsi="黑体" w:eastAsia="黑体" w:cs="黑体"/>
          <w:sz w:val="28"/>
          <w:szCs w:val="28"/>
        </w:rPr>
      </w:pPr>
      <w:r>
        <w:rPr>
          <w:rFonts w:hint="eastAsia"/>
          <w:b w:val="0"/>
          <w:kern w:val="2"/>
          <w:szCs w:val="24"/>
        </w:rPr>
        <w:t>自成交通知书发出之日起</w:t>
      </w:r>
      <w:r>
        <w:rPr>
          <w:rFonts w:hint="eastAsia"/>
          <w:b w:val="0"/>
          <w:kern w:val="2"/>
          <w:szCs w:val="24"/>
          <w:lang w:val="en-US" w:eastAsia="zh-CN"/>
        </w:rPr>
        <w:t>3</w:t>
      </w:r>
      <w:r>
        <w:rPr>
          <w:rFonts w:hint="eastAsia"/>
          <w:b w:val="0"/>
          <w:kern w:val="2"/>
          <w:szCs w:val="24"/>
        </w:rPr>
        <w:t>个月完成所有工作内容</w:t>
      </w:r>
    </w:p>
    <w:tbl>
      <w:tblPr>
        <w:tblStyle w:val="13"/>
        <w:tblW w:w="9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8"/>
        <w:gridCol w:w="2413"/>
        <w:gridCol w:w="6432"/>
      </w:tblGrid>
      <w:tr w14:paraId="4D551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8" w:type="dxa"/>
            <w:vAlign w:val="center"/>
          </w:tcPr>
          <w:p w14:paraId="548791E7">
            <w:pPr>
              <w:jc w:val="center"/>
              <w:rPr>
                <w:rFonts w:ascii="宋体" w:hAnsi="宋体"/>
                <w:sz w:val="24"/>
              </w:rPr>
            </w:pPr>
            <w:r>
              <w:rPr>
                <w:rFonts w:hint="eastAsia" w:ascii="宋体" w:hAnsi="宋体"/>
                <w:sz w:val="24"/>
              </w:rPr>
              <w:t>序号</w:t>
            </w:r>
          </w:p>
        </w:tc>
        <w:tc>
          <w:tcPr>
            <w:tcW w:w="2413" w:type="dxa"/>
            <w:vAlign w:val="center"/>
          </w:tcPr>
          <w:p w14:paraId="188A41B3">
            <w:pPr>
              <w:jc w:val="center"/>
              <w:rPr>
                <w:sz w:val="24"/>
              </w:rPr>
            </w:pPr>
            <w:r>
              <w:rPr>
                <w:rFonts w:hint="eastAsia" w:ascii="宋体" w:hAnsi="宋体"/>
                <w:sz w:val="24"/>
              </w:rPr>
              <w:t>时间段</w:t>
            </w:r>
          </w:p>
        </w:tc>
        <w:tc>
          <w:tcPr>
            <w:tcW w:w="6432" w:type="dxa"/>
            <w:vAlign w:val="center"/>
          </w:tcPr>
          <w:p w14:paraId="3C8D0C1B">
            <w:pPr>
              <w:autoSpaceDE w:val="0"/>
              <w:autoSpaceDN w:val="0"/>
              <w:adjustRightInd w:val="0"/>
              <w:jc w:val="center"/>
              <w:rPr>
                <w:rFonts w:cs="宋体"/>
                <w:color w:val="000000"/>
                <w:kern w:val="0"/>
                <w:sz w:val="24"/>
              </w:rPr>
            </w:pPr>
            <w:r>
              <w:rPr>
                <w:rFonts w:hint="eastAsia" w:ascii="宋体" w:hAnsi="宋体"/>
                <w:sz w:val="24"/>
              </w:rPr>
              <w:t>主要工作内容</w:t>
            </w:r>
          </w:p>
        </w:tc>
      </w:tr>
      <w:tr w14:paraId="5E172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8" w:type="dxa"/>
            <w:vAlign w:val="center"/>
          </w:tcPr>
          <w:p w14:paraId="76AC25B2">
            <w:pPr>
              <w:jc w:val="center"/>
              <w:rPr>
                <w:sz w:val="24"/>
              </w:rPr>
            </w:pPr>
            <w:r>
              <w:rPr>
                <w:rFonts w:hint="eastAsia"/>
                <w:sz w:val="24"/>
              </w:rPr>
              <w:t>1</w:t>
            </w:r>
          </w:p>
        </w:tc>
        <w:tc>
          <w:tcPr>
            <w:tcW w:w="2413" w:type="dxa"/>
            <w:vMerge w:val="restart"/>
            <w:vAlign w:val="center"/>
          </w:tcPr>
          <w:p w14:paraId="7B849064">
            <w:pPr>
              <w:jc w:val="center"/>
              <w:rPr>
                <w:sz w:val="24"/>
              </w:rPr>
            </w:pPr>
            <w:r>
              <w:rPr>
                <w:rFonts w:hint="eastAsia"/>
              </w:rPr>
              <w:t>自成交通知书发出之日起</w:t>
            </w:r>
            <w:r>
              <w:rPr>
                <w:rFonts w:hint="eastAsia"/>
                <w:lang w:val="en-US" w:eastAsia="zh-CN"/>
              </w:rPr>
              <w:t>3</w:t>
            </w:r>
            <w:r>
              <w:rPr>
                <w:rFonts w:hint="eastAsia"/>
              </w:rPr>
              <w:t>个月</w:t>
            </w:r>
          </w:p>
        </w:tc>
        <w:tc>
          <w:tcPr>
            <w:tcW w:w="6432" w:type="dxa"/>
            <w:vAlign w:val="center"/>
          </w:tcPr>
          <w:p w14:paraId="5C727465">
            <w:pPr>
              <w:autoSpaceDE w:val="0"/>
              <w:autoSpaceDN w:val="0"/>
              <w:adjustRightInd w:val="0"/>
              <w:rPr>
                <w:sz w:val="24"/>
              </w:rPr>
            </w:pPr>
            <w:r>
              <w:rPr>
                <w:rFonts w:hint="eastAsia" w:cs="宋体"/>
                <w:color w:val="000000"/>
                <w:kern w:val="0"/>
                <w:sz w:val="24"/>
                <w:lang w:val="en-US" w:eastAsia="zh-CN"/>
              </w:rPr>
              <w:t>通过测试配合优化</w:t>
            </w:r>
            <w:r>
              <w:rPr>
                <w:rFonts w:hint="eastAsia" w:ascii="宋体" w:hAnsi="宋体" w:cs="宋体"/>
                <w:color w:val="000000"/>
                <w:kern w:val="0"/>
                <w:sz w:val="24"/>
              </w:rPr>
              <w:t>变电站智能锁控装置及远方部署管理系统</w:t>
            </w:r>
            <w:r>
              <w:rPr>
                <w:rFonts w:hint="eastAsia" w:cs="宋体"/>
                <w:color w:val="000000"/>
                <w:kern w:val="0"/>
                <w:sz w:val="24"/>
              </w:rPr>
              <w:t>模型</w:t>
            </w:r>
            <w:r>
              <w:rPr>
                <w:rFonts w:hint="eastAsia"/>
                <w:sz w:val="24"/>
                <w:lang w:val="en-US" w:eastAsia="zh-CN"/>
              </w:rPr>
              <w:t>以及</w:t>
            </w:r>
            <w:r>
              <w:rPr>
                <w:rFonts w:hint="eastAsia"/>
                <w:sz w:val="24"/>
              </w:rPr>
              <w:t>软件平台各模块功能</w:t>
            </w:r>
            <w:r>
              <w:rPr>
                <w:rFonts w:hint="eastAsia" w:cs="宋体"/>
                <w:color w:val="000000"/>
                <w:kern w:val="0"/>
                <w:sz w:val="24"/>
              </w:rPr>
              <w:t>，</w:t>
            </w:r>
            <w:r>
              <w:rPr>
                <w:rFonts w:hint="eastAsia" w:cs="宋体"/>
                <w:color w:val="000000"/>
                <w:kern w:val="0"/>
                <w:sz w:val="24"/>
                <w:lang w:val="en-US" w:eastAsia="zh-CN"/>
              </w:rPr>
              <w:t>完善</w:t>
            </w:r>
            <w:r>
              <w:rPr>
                <w:rFonts w:hint="eastAsia" w:cs="宋体"/>
                <w:color w:val="000000"/>
                <w:kern w:val="0"/>
                <w:sz w:val="24"/>
              </w:rPr>
              <w:t>软件平台建设方案。</w:t>
            </w:r>
          </w:p>
        </w:tc>
      </w:tr>
      <w:tr w14:paraId="36ACD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8" w:type="dxa"/>
            <w:vAlign w:val="center"/>
          </w:tcPr>
          <w:p w14:paraId="42FB464D">
            <w:pPr>
              <w:jc w:val="center"/>
              <w:rPr>
                <w:sz w:val="24"/>
              </w:rPr>
            </w:pPr>
            <w:r>
              <w:rPr>
                <w:rFonts w:hint="eastAsia"/>
                <w:sz w:val="24"/>
              </w:rPr>
              <w:t>2</w:t>
            </w:r>
          </w:p>
        </w:tc>
        <w:tc>
          <w:tcPr>
            <w:tcW w:w="2413" w:type="dxa"/>
            <w:vMerge w:val="continue"/>
            <w:vAlign w:val="center"/>
          </w:tcPr>
          <w:p w14:paraId="1F6B9763">
            <w:pPr>
              <w:jc w:val="center"/>
              <w:rPr>
                <w:sz w:val="24"/>
              </w:rPr>
            </w:pPr>
          </w:p>
        </w:tc>
        <w:tc>
          <w:tcPr>
            <w:tcW w:w="6432" w:type="dxa"/>
            <w:vAlign w:val="center"/>
          </w:tcPr>
          <w:p w14:paraId="70B515A0">
            <w:pPr>
              <w:tabs>
                <w:tab w:val="left" w:pos="-720"/>
                <w:tab w:val="left" w:pos="0"/>
                <w:tab w:val="left" w:pos="720"/>
                <w:tab w:val="left" w:pos="1440"/>
                <w:tab w:val="left" w:pos="2160"/>
                <w:tab w:val="left" w:pos="2880"/>
                <w:tab w:val="left" w:pos="3600"/>
                <w:tab w:val="left" w:pos="4320"/>
              </w:tabs>
              <w:autoSpaceDE w:val="0"/>
              <w:autoSpaceDN w:val="0"/>
              <w:adjustRightInd w:val="0"/>
              <w:rPr>
                <w:sz w:val="24"/>
              </w:rPr>
            </w:pPr>
            <w:r>
              <w:rPr>
                <w:rFonts w:hint="eastAsia" w:cs="宋体"/>
                <w:color w:val="000000"/>
                <w:kern w:val="0"/>
                <w:sz w:val="24"/>
                <w:lang w:val="en-US" w:eastAsia="zh-CN"/>
              </w:rPr>
              <w:t>完成</w:t>
            </w:r>
            <w:r>
              <w:rPr>
                <w:rFonts w:hint="eastAsia" w:ascii="宋体" w:hAnsi="宋体" w:cs="宋体"/>
                <w:sz w:val="24"/>
              </w:rPr>
              <w:t>变电站智能锁控装置及远方部署管理系统</w:t>
            </w:r>
            <w:r>
              <w:rPr>
                <w:rFonts w:hint="eastAsia"/>
                <w:sz w:val="24"/>
              </w:rPr>
              <w:t>调试</w:t>
            </w:r>
            <w:r>
              <w:rPr>
                <w:rFonts w:hint="eastAsia"/>
                <w:sz w:val="24"/>
                <w:lang w:eastAsia="zh-CN"/>
              </w:rPr>
              <w:t>及测试，并形成测试报告</w:t>
            </w:r>
            <w:r>
              <w:rPr>
                <w:rFonts w:hint="eastAsia"/>
                <w:sz w:val="24"/>
              </w:rPr>
              <w:t>。</w:t>
            </w:r>
          </w:p>
        </w:tc>
      </w:tr>
      <w:tr w14:paraId="574AD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8" w:type="dxa"/>
            <w:vAlign w:val="center"/>
          </w:tcPr>
          <w:p w14:paraId="39663025">
            <w:pPr>
              <w:jc w:val="center"/>
              <w:rPr>
                <w:sz w:val="24"/>
              </w:rPr>
            </w:pPr>
            <w:r>
              <w:rPr>
                <w:rFonts w:hint="eastAsia"/>
                <w:sz w:val="24"/>
              </w:rPr>
              <w:t>3</w:t>
            </w:r>
          </w:p>
        </w:tc>
        <w:tc>
          <w:tcPr>
            <w:tcW w:w="2413" w:type="dxa"/>
            <w:vMerge w:val="continue"/>
            <w:vAlign w:val="center"/>
          </w:tcPr>
          <w:p w14:paraId="177F7D8D">
            <w:pPr>
              <w:jc w:val="center"/>
              <w:rPr>
                <w:sz w:val="24"/>
              </w:rPr>
            </w:pPr>
          </w:p>
        </w:tc>
        <w:tc>
          <w:tcPr>
            <w:tcW w:w="6432" w:type="dxa"/>
            <w:vAlign w:val="center"/>
          </w:tcPr>
          <w:p w14:paraId="410B769F">
            <w:pPr>
              <w:rPr>
                <w:sz w:val="24"/>
              </w:rPr>
            </w:pPr>
            <w:r>
              <w:rPr>
                <w:rFonts w:hint="eastAsia"/>
                <w:sz w:val="24"/>
              </w:rPr>
              <w:t>软件著作权申报：撰写相关材料，申请软件著作权1项。</w:t>
            </w:r>
          </w:p>
        </w:tc>
      </w:tr>
      <w:tr w14:paraId="17CAE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8" w:type="dxa"/>
            <w:vAlign w:val="center"/>
          </w:tcPr>
          <w:p w14:paraId="0B8E5630">
            <w:pPr>
              <w:jc w:val="center"/>
              <w:rPr>
                <w:sz w:val="24"/>
              </w:rPr>
            </w:pPr>
            <w:r>
              <w:rPr>
                <w:rFonts w:hint="eastAsia"/>
                <w:sz w:val="24"/>
              </w:rPr>
              <w:t>4</w:t>
            </w:r>
          </w:p>
        </w:tc>
        <w:tc>
          <w:tcPr>
            <w:tcW w:w="2413" w:type="dxa"/>
            <w:vMerge w:val="continue"/>
            <w:vAlign w:val="center"/>
          </w:tcPr>
          <w:p w14:paraId="6F8B2227">
            <w:pPr>
              <w:jc w:val="center"/>
              <w:rPr>
                <w:sz w:val="24"/>
              </w:rPr>
            </w:pPr>
          </w:p>
        </w:tc>
        <w:tc>
          <w:tcPr>
            <w:tcW w:w="6432" w:type="dxa"/>
            <w:vAlign w:val="center"/>
          </w:tcPr>
          <w:p w14:paraId="170D40EC">
            <w:pPr>
              <w:autoSpaceDE w:val="0"/>
              <w:autoSpaceDN w:val="0"/>
              <w:adjustRightInd w:val="0"/>
              <w:rPr>
                <w:sz w:val="24"/>
              </w:rPr>
            </w:pPr>
            <w:r>
              <w:rPr>
                <w:rFonts w:hint="eastAsia"/>
                <w:kern w:val="0"/>
                <w:sz w:val="24"/>
              </w:rPr>
              <w:t>试点应用：进行试点应用，</w:t>
            </w:r>
            <w:r>
              <w:rPr>
                <w:rFonts w:hint="eastAsia"/>
                <w:sz w:val="24"/>
              </w:rPr>
              <w:t>总结项目成果</w:t>
            </w:r>
            <w:r>
              <w:rPr>
                <w:rFonts w:hint="eastAsia"/>
                <w:kern w:val="0"/>
                <w:sz w:val="24"/>
              </w:rPr>
              <w:t>。</w:t>
            </w:r>
          </w:p>
        </w:tc>
      </w:tr>
      <w:tr w14:paraId="7C9D4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808" w:type="dxa"/>
            <w:vAlign w:val="center"/>
          </w:tcPr>
          <w:p w14:paraId="762F4DF5">
            <w:pPr>
              <w:jc w:val="center"/>
              <w:rPr>
                <w:sz w:val="24"/>
              </w:rPr>
            </w:pPr>
            <w:r>
              <w:rPr>
                <w:rFonts w:hint="eastAsia"/>
                <w:sz w:val="24"/>
              </w:rPr>
              <w:t>5</w:t>
            </w:r>
          </w:p>
        </w:tc>
        <w:tc>
          <w:tcPr>
            <w:tcW w:w="2413" w:type="dxa"/>
            <w:vMerge w:val="continue"/>
            <w:vAlign w:val="center"/>
          </w:tcPr>
          <w:p w14:paraId="5B2FDAFA">
            <w:pPr>
              <w:jc w:val="center"/>
              <w:rPr>
                <w:sz w:val="24"/>
              </w:rPr>
            </w:pPr>
          </w:p>
        </w:tc>
        <w:tc>
          <w:tcPr>
            <w:tcW w:w="6432" w:type="dxa"/>
            <w:vAlign w:val="center"/>
          </w:tcPr>
          <w:p w14:paraId="31813D9F">
            <w:pPr>
              <w:rPr>
                <w:sz w:val="24"/>
              </w:rPr>
            </w:pPr>
            <w:r>
              <w:rPr>
                <w:rFonts w:hint="eastAsia"/>
                <w:sz w:val="24"/>
              </w:rPr>
              <w:t>项目验收：对项目审查验收。</w:t>
            </w:r>
          </w:p>
        </w:tc>
      </w:tr>
    </w:tbl>
    <w:p w14:paraId="043065E6">
      <w:pPr>
        <w:rPr>
          <w:rFonts w:asciiTheme="minorEastAsia" w:hAnsiTheme="minorEastAsia" w:eastAsiaTheme="minorEastAsia" w:cstheme="minorEastAsia"/>
          <w:bCs/>
          <w:color w:val="C00000"/>
          <w:sz w:val="24"/>
        </w:rPr>
      </w:pPr>
    </w:p>
    <w:p w14:paraId="052CCD3B">
      <w:pPr>
        <w:pStyle w:val="22"/>
        <w:spacing w:before="312"/>
        <w:outlineLvl w:val="0"/>
        <w:rPr>
          <w:rFonts w:ascii="黑体" w:hAnsi="黑体" w:eastAsia="黑体" w:cs="黑体"/>
          <w:sz w:val="28"/>
          <w:szCs w:val="28"/>
        </w:rPr>
      </w:pPr>
      <w:bookmarkStart w:id="4" w:name="_Toc15129"/>
      <w:r>
        <w:rPr>
          <w:rFonts w:hint="eastAsia" w:ascii="黑体" w:hAnsi="黑体" w:eastAsia="黑体" w:cs="黑体"/>
          <w:sz w:val="28"/>
          <w:szCs w:val="28"/>
        </w:rPr>
        <w:t>3  成果交付与验收</w:t>
      </w:r>
      <w:bookmarkEnd w:id="4"/>
    </w:p>
    <w:p w14:paraId="7BBC185E">
      <w:pPr>
        <w:spacing w:line="360" w:lineRule="auto"/>
        <w:outlineLvl w:val="1"/>
        <w:rPr>
          <w:rFonts w:ascii="黑体" w:hAnsi="黑体" w:eastAsia="黑体" w:cs="黑体"/>
          <w:bCs/>
          <w:sz w:val="24"/>
        </w:rPr>
      </w:pPr>
      <w:bookmarkStart w:id="5" w:name="_Toc6742"/>
      <w:r>
        <w:rPr>
          <w:rFonts w:hint="eastAsia" w:ascii="黑体" w:hAnsi="黑体" w:eastAsia="黑体" w:cs="黑体"/>
          <w:bCs/>
          <w:sz w:val="24"/>
        </w:rPr>
        <w:t>3.1 成果形式及数量要求</w:t>
      </w:r>
      <w:bookmarkEnd w:id="5"/>
    </w:p>
    <w:p w14:paraId="7848492B">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本项目预期取得的成果：</w:t>
      </w:r>
    </w:p>
    <w:p w14:paraId="2BFCE953">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1、变电站智能锁控装置及远方部署管理系统</w:t>
      </w:r>
      <w:r>
        <w:rPr>
          <w:rFonts w:hint="eastAsia" w:asciiTheme="minorEastAsia" w:hAnsiTheme="minorEastAsia" w:eastAsiaTheme="minorEastAsia" w:cstheme="minorEastAsia"/>
          <w:color w:val="000000"/>
          <w:sz w:val="24"/>
        </w:rPr>
        <w:t>功能软件1套</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lang w:val="en-US" w:eastAsia="zh-CN"/>
        </w:rPr>
        <w:t>通过测试可实现预期效果</w:t>
      </w:r>
      <w:r>
        <w:rPr>
          <w:rFonts w:hint="eastAsia" w:asciiTheme="minorEastAsia" w:hAnsiTheme="minorEastAsia" w:eastAsiaTheme="minorEastAsia" w:cstheme="minorEastAsia"/>
          <w:color w:val="000000"/>
          <w:sz w:val="24"/>
        </w:rPr>
        <w:t>。</w:t>
      </w:r>
    </w:p>
    <w:p w14:paraId="615DED6E">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2、配合甲方至少完成1项发明专利申报申请软件著作权1篇，验收时受理。</w:t>
      </w:r>
    </w:p>
    <w:p w14:paraId="36146D7D">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3、功能说明书1份</w:t>
      </w:r>
    </w:p>
    <w:p w14:paraId="78AC9422">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lang w:val="en-US" w:eastAsia="zh-CN"/>
        </w:rPr>
        <w:t>4、测试报告1份</w:t>
      </w:r>
      <w:r>
        <w:rPr>
          <w:rFonts w:hint="eastAsia" w:asciiTheme="minorEastAsia" w:hAnsiTheme="minorEastAsia" w:eastAsiaTheme="minorEastAsia" w:cstheme="minorEastAsia"/>
          <w:color w:val="000000"/>
          <w:sz w:val="24"/>
        </w:rPr>
        <w:t>。</w:t>
      </w:r>
    </w:p>
    <w:p w14:paraId="369469A8">
      <w:pPr>
        <w:spacing w:line="360" w:lineRule="auto"/>
        <w:outlineLvl w:val="1"/>
        <w:rPr>
          <w:rFonts w:ascii="黑体" w:hAnsi="黑体" w:eastAsia="黑体" w:cs="黑体"/>
          <w:bCs/>
          <w:sz w:val="24"/>
        </w:rPr>
      </w:pPr>
      <w:bookmarkStart w:id="6" w:name="_Toc2654"/>
      <w:r>
        <w:rPr>
          <w:rFonts w:hint="eastAsia" w:ascii="黑体" w:hAnsi="黑体" w:eastAsia="黑体" w:cs="黑体"/>
          <w:bCs/>
          <w:sz w:val="24"/>
        </w:rPr>
        <w:t>3.2 成果验收</w:t>
      </w:r>
      <w:bookmarkEnd w:id="6"/>
    </w:p>
    <w:p w14:paraId="24F31962">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项目完成后，由甲方组织专家组对项目的主要技术指标、成果等进行验收。</w:t>
      </w:r>
    </w:p>
    <w:p w14:paraId="780CB6C8">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（1）所有功能和技术指标满足本技术规范书中的要求。</w:t>
      </w:r>
    </w:p>
    <w:p w14:paraId="6E95A89C">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（2）软件运行正常。</w:t>
      </w:r>
    </w:p>
    <w:p w14:paraId="6ECF7081">
      <w:pPr>
        <w:spacing w:line="360" w:lineRule="auto"/>
        <w:ind w:firstLine="480" w:firstLineChars="200"/>
        <w:rPr>
          <w:rFonts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（3）软件的每项功能由甲方技术人员通过现场操作，逐项验收确认。</w:t>
      </w:r>
    </w:p>
    <w:p w14:paraId="7AB79EE9">
      <w:pPr>
        <w:spacing w:line="360" w:lineRule="auto"/>
        <w:ind w:firstLine="480" w:firstLineChars="200"/>
      </w:pPr>
      <w:r>
        <w:rPr>
          <w:rFonts w:hint="eastAsia" w:asciiTheme="minorEastAsia" w:hAnsiTheme="minorEastAsia" w:eastAsiaTheme="minorEastAsia" w:cstheme="minorEastAsia"/>
          <w:color w:val="000000"/>
          <w:sz w:val="24"/>
        </w:rPr>
        <w:t>（4）</w:t>
      </w:r>
      <w:r>
        <w:rPr>
          <w:rFonts w:hint="eastAsia" w:asciiTheme="minorEastAsia" w:hAnsiTheme="minorEastAsia" w:eastAsiaTheme="minorEastAsia" w:cstheme="minorEastAsia"/>
          <w:sz w:val="24"/>
        </w:rPr>
        <w:t>项目完成后，</w:t>
      </w:r>
      <w:r>
        <w:rPr>
          <w:rFonts w:hint="eastAsia" w:asciiTheme="minorEastAsia" w:hAnsiTheme="minorEastAsia" w:eastAsiaTheme="minorEastAsia" w:cstheme="minorEastAsia"/>
          <w:sz w:val="24"/>
          <w:lang w:val="en-US" w:eastAsia="zh-CN"/>
        </w:rPr>
        <w:t>通过</w:t>
      </w:r>
      <w:r>
        <w:rPr>
          <w:rFonts w:hint="eastAsia" w:asciiTheme="minorEastAsia" w:hAnsiTheme="minorEastAsia" w:eastAsiaTheme="minorEastAsia" w:cstheme="minorEastAsia"/>
          <w:sz w:val="24"/>
        </w:rPr>
        <w:t>甲方组织专家组对项目的主要技术指标、成果等进行验收。</w:t>
      </w:r>
    </w:p>
    <w:p w14:paraId="586AAD97">
      <w:pPr>
        <w:spacing w:line="360" w:lineRule="auto"/>
        <w:outlineLvl w:val="1"/>
        <w:rPr>
          <w:rFonts w:ascii="黑体" w:hAnsi="黑体" w:eastAsia="黑体" w:cs="黑体"/>
          <w:bCs/>
          <w:sz w:val="24"/>
        </w:rPr>
      </w:pPr>
      <w:r>
        <w:rPr>
          <w:rFonts w:hint="eastAsia" w:ascii="黑体" w:hAnsi="黑体" w:eastAsia="黑体" w:cs="黑体"/>
          <w:bCs/>
          <w:sz w:val="24"/>
        </w:rPr>
        <w:t>3.3质量保证</w:t>
      </w:r>
    </w:p>
    <w:p w14:paraId="724180C3">
      <w:pPr>
        <w:spacing w:line="360" w:lineRule="auto"/>
        <w:ind w:firstLine="420"/>
        <w:rPr>
          <w:sz w:val="24"/>
        </w:rPr>
      </w:pPr>
      <w:r>
        <w:rPr>
          <w:rFonts w:hint="eastAsia"/>
          <w:sz w:val="24"/>
          <w:lang w:val="en-US" w:eastAsia="zh-CN"/>
        </w:rPr>
        <w:t>成果</w:t>
      </w:r>
      <w:r>
        <w:rPr>
          <w:rFonts w:hint="eastAsia"/>
          <w:sz w:val="24"/>
        </w:rPr>
        <w:t>交付后，提供不低于1年的质量保证。</w:t>
      </w:r>
    </w:p>
    <w:p w14:paraId="4B7C1DAC">
      <w:pPr>
        <w:spacing w:line="360" w:lineRule="auto"/>
        <w:outlineLvl w:val="1"/>
        <w:rPr>
          <w:rFonts w:ascii="黑体" w:hAnsi="黑体" w:eastAsia="黑体" w:cs="黑体"/>
          <w:bCs/>
          <w:sz w:val="24"/>
        </w:rPr>
      </w:pPr>
      <w:r>
        <w:rPr>
          <w:rFonts w:hint="eastAsia" w:ascii="黑体" w:hAnsi="黑体" w:eastAsia="黑体" w:cs="黑体"/>
          <w:bCs/>
          <w:sz w:val="24"/>
        </w:rPr>
        <w:t>3.4 其他要求</w:t>
      </w:r>
    </w:p>
    <w:p w14:paraId="58961000">
      <w:pPr>
        <w:spacing w:line="360" w:lineRule="auto"/>
        <w:ind w:firstLine="480" w:firstLineChars="200"/>
        <w:rPr>
          <w:rFonts w:hint="eastAsia" w:ascii="宋体" w:hAnsi="宋体" w:eastAsia="宋体"/>
          <w:sz w:val="24"/>
          <w:lang w:eastAsia="zh-CN"/>
        </w:rPr>
      </w:pPr>
      <w:r>
        <w:rPr>
          <w:rFonts w:hint="eastAsia" w:ascii="宋体" w:hAnsi="宋体"/>
          <w:sz w:val="24"/>
        </w:rPr>
        <w:t>1）投标人需对变电站内屏柜的结构</w:t>
      </w:r>
      <w:r>
        <w:rPr>
          <w:rFonts w:hint="eastAsia" w:ascii="宋体" w:hAnsi="宋体"/>
          <w:sz w:val="24"/>
          <w:lang w:val="en-US" w:eastAsia="zh-CN"/>
        </w:rPr>
        <w:t>以及综合数据网</w:t>
      </w:r>
      <w:r>
        <w:rPr>
          <w:rFonts w:hint="eastAsia" w:ascii="宋体" w:hAnsi="宋体"/>
          <w:sz w:val="24"/>
        </w:rPr>
        <w:t>有清晰了解</w:t>
      </w:r>
      <w:r>
        <w:rPr>
          <w:rFonts w:hint="eastAsia" w:ascii="宋体" w:hAnsi="宋体"/>
          <w:sz w:val="24"/>
          <w:lang w:eastAsia="zh-CN"/>
        </w:rPr>
        <w:t>，</w:t>
      </w:r>
      <w:r>
        <w:rPr>
          <w:rFonts w:hint="eastAsia" w:ascii="宋体" w:hAnsi="宋体"/>
          <w:sz w:val="24"/>
        </w:rPr>
        <w:t>需具备相关</w:t>
      </w:r>
      <w:r>
        <w:rPr>
          <w:rFonts w:hint="eastAsia" w:ascii="宋体" w:hAnsi="宋体"/>
          <w:sz w:val="24"/>
          <w:lang w:eastAsia="zh-CN"/>
        </w:rPr>
        <w:t>业务</w:t>
      </w:r>
      <w:r>
        <w:rPr>
          <w:rFonts w:hint="eastAsia" w:ascii="宋体" w:hAnsi="宋体"/>
          <w:sz w:val="24"/>
        </w:rPr>
        <w:t>的</w:t>
      </w:r>
      <w:r>
        <w:rPr>
          <w:rFonts w:hint="eastAsia" w:ascii="宋体" w:hAnsi="宋体"/>
          <w:sz w:val="24"/>
          <w:lang w:eastAsia="zh-CN"/>
        </w:rPr>
        <w:t>营业执照</w:t>
      </w:r>
      <w:r>
        <w:rPr>
          <w:rFonts w:hint="eastAsia" w:ascii="宋体" w:hAnsi="宋体"/>
          <w:sz w:val="24"/>
        </w:rPr>
        <w:t>，以及丰富的类似项目经验</w:t>
      </w:r>
      <w:r>
        <w:rPr>
          <w:rFonts w:hint="eastAsia" w:ascii="宋体" w:hAnsi="宋体"/>
          <w:sz w:val="24"/>
          <w:lang w:eastAsia="zh-CN"/>
        </w:rPr>
        <w:t>。</w:t>
      </w:r>
    </w:p>
    <w:p w14:paraId="5759A6BE">
      <w:pPr>
        <w:spacing w:line="360" w:lineRule="auto"/>
        <w:ind w:firstLine="480" w:firstLineChars="200"/>
        <w:rPr>
          <w:rFonts w:hint="eastAsia" w:ascii="宋体" w:hAnsi="宋体"/>
          <w:sz w:val="24"/>
        </w:rPr>
      </w:pPr>
      <w:r>
        <w:rPr>
          <w:rFonts w:hint="eastAsia" w:ascii="宋体" w:hAnsi="宋体"/>
          <w:sz w:val="24"/>
        </w:rPr>
        <w:t>2）投标人需承诺遵守本招标文件中的各项要求和标准，确保提供的产品和服务符合采购方的期望和要求。</w:t>
      </w:r>
    </w:p>
    <w:p w14:paraId="398E0D9B">
      <w:pPr>
        <w:spacing w:line="360" w:lineRule="auto"/>
        <w:ind w:firstLine="480" w:firstLineChars="200"/>
        <w:rPr>
          <w:rFonts w:hint="default" w:ascii="宋体" w:hAnsi="宋体" w:eastAsia="宋体"/>
          <w:sz w:val="24"/>
          <w:lang w:val="en-US" w:eastAsia="zh-CN"/>
        </w:rPr>
      </w:pPr>
      <w:r>
        <w:rPr>
          <w:rFonts w:hint="eastAsia" w:ascii="宋体" w:hAnsi="宋体"/>
          <w:sz w:val="24"/>
          <w:lang w:val="en-US" w:eastAsia="zh-CN"/>
        </w:rPr>
        <w:t>3</w:t>
      </w:r>
      <w:r>
        <w:rPr>
          <w:rFonts w:hint="eastAsia" w:ascii="宋体" w:hAnsi="宋体"/>
          <w:sz w:val="24"/>
        </w:rPr>
        <w:t>）</w:t>
      </w:r>
      <w:r>
        <w:rPr>
          <w:rFonts w:hint="eastAsia" w:ascii="宋体" w:hAnsi="宋体"/>
          <w:b/>
          <w:bCs/>
          <w:sz w:val="24"/>
          <w:lang w:val="en-US" w:eastAsia="zh-CN"/>
        </w:rPr>
        <w:t>因功能测试需要，</w:t>
      </w:r>
      <w:r>
        <w:rPr>
          <w:rFonts w:hint="eastAsia" w:ascii="宋体" w:hAnsi="宋体"/>
          <w:b/>
          <w:bCs/>
          <w:sz w:val="24"/>
        </w:rPr>
        <w:t>投标人</w:t>
      </w:r>
      <w:r>
        <w:rPr>
          <w:rFonts w:hint="eastAsia" w:ascii="宋体" w:hAnsi="宋体"/>
          <w:b/>
          <w:bCs/>
          <w:sz w:val="24"/>
          <w:lang w:val="en-US" w:eastAsia="zh-CN"/>
        </w:rPr>
        <w:t>应能主</w:t>
      </w:r>
      <w:bookmarkStart w:id="7" w:name="_GoBack"/>
      <w:bookmarkEnd w:id="7"/>
      <w:r>
        <w:rPr>
          <w:rFonts w:hint="eastAsia" w:ascii="宋体" w:hAnsi="宋体"/>
          <w:b/>
          <w:bCs/>
          <w:sz w:val="24"/>
          <w:lang w:val="en-US" w:eastAsia="zh-CN"/>
        </w:rPr>
        <w:t>动与甲方单位相关部门进行沟通协调，以确保功能测试效果</w:t>
      </w:r>
      <w:r>
        <w:rPr>
          <w:rFonts w:hint="eastAsia" w:ascii="宋体" w:hAnsi="宋体"/>
          <w:sz w:val="24"/>
          <w:lang w:val="en-US" w:eastAsia="zh-CN"/>
        </w:rPr>
        <w:t>。</w:t>
      </w:r>
    </w:p>
    <w:p w14:paraId="72CE1B85">
      <w:pPr>
        <w:spacing w:line="360" w:lineRule="auto"/>
        <w:ind w:firstLine="480" w:firstLineChars="200"/>
        <w:rPr>
          <w:rFonts w:hint="eastAsia" w:ascii="宋体" w:hAnsi="宋体"/>
          <w:sz w:val="24"/>
        </w:rPr>
      </w:pPr>
      <w:r>
        <w:rPr>
          <w:rFonts w:hint="eastAsia" w:ascii="宋体" w:hAnsi="宋体"/>
          <w:sz w:val="24"/>
          <w:lang w:val="en-US" w:eastAsia="zh-CN"/>
        </w:rPr>
        <w:t>4</w:t>
      </w:r>
      <w:r>
        <w:rPr>
          <w:rFonts w:hint="eastAsia" w:ascii="宋体" w:hAnsi="宋体"/>
          <w:sz w:val="24"/>
        </w:rPr>
        <w:t>）项目形成的论文、专利等知识产权划分方法如下：属于甲方所有，未经甲方许可，乙方不得单独参与此类工作。</w:t>
      </w:r>
      <w:r>
        <w:rPr>
          <w:rFonts w:hint="eastAsia" w:ascii="宋体" w:hAnsi="宋体"/>
          <w:sz w:val="24"/>
        </w:rPr>
        <w:t>本合同项下所形成的相关成果（例如：专利、软件著作权等知识产权的申请权利）归甲方独有。</w:t>
      </w:r>
    </w:p>
    <w:p w14:paraId="523BE01A">
      <w:pPr>
        <w:pStyle w:val="22"/>
        <w:spacing w:before="312"/>
        <w:outlineLvl w:val="0"/>
        <w:rPr>
          <w:rFonts w:ascii="黑体" w:hAnsi="黑体" w:eastAsia="黑体" w:cs="黑体"/>
          <w:sz w:val="28"/>
          <w:szCs w:val="28"/>
        </w:rPr>
      </w:pPr>
      <w:r>
        <w:rPr>
          <w:rFonts w:hint="eastAsia" w:ascii="黑体" w:hAnsi="黑体" w:eastAsia="黑体" w:cs="黑体"/>
          <w:sz w:val="28"/>
          <w:szCs w:val="28"/>
          <w:lang w:val="en-US" w:eastAsia="zh-CN"/>
        </w:rPr>
        <w:t>4</w:t>
      </w:r>
      <w:r>
        <w:rPr>
          <w:rFonts w:hint="eastAsia" w:ascii="黑体" w:hAnsi="黑体" w:eastAsia="黑体" w:cs="黑体"/>
          <w:sz w:val="28"/>
          <w:szCs w:val="28"/>
        </w:rPr>
        <w:t xml:space="preserve">  资格要求</w:t>
      </w:r>
    </w:p>
    <w:p w14:paraId="2C5FE721">
      <w:pPr>
        <w:spacing w:line="360" w:lineRule="auto"/>
        <w:ind w:firstLine="480" w:firstLineChars="200"/>
        <w:rPr>
          <w:rFonts w:hint="eastAsia" w:ascii="宋体" w:hAnsi="宋体"/>
          <w:sz w:val="24"/>
        </w:rPr>
      </w:pPr>
      <w:r>
        <w:rPr>
          <w:rFonts w:hint="eastAsia" w:ascii="宋体" w:hAnsi="宋体"/>
          <w:sz w:val="24"/>
          <w:lang w:val="en-US" w:eastAsia="zh-CN"/>
        </w:rPr>
        <w:t>1</w:t>
      </w:r>
      <w:r>
        <w:rPr>
          <w:rFonts w:hint="eastAsia" w:ascii="宋体" w:hAnsi="宋体"/>
          <w:sz w:val="24"/>
        </w:rPr>
        <w:t>）需上传有效营业执照</w:t>
      </w:r>
    </w:p>
    <w:p w14:paraId="40A694DD">
      <w:pPr>
        <w:spacing w:line="360" w:lineRule="auto"/>
        <w:ind w:firstLine="480" w:firstLineChars="200"/>
        <w:rPr>
          <w:rFonts w:hint="eastAsia" w:ascii="宋体" w:hAnsi="宋体"/>
          <w:sz w:val="24"/>
        </w:rPr>
      </w:pPr>
      <w:r>
        <w:rPr>
          <w:rFonts w:hint="eastAsia" w:ascii="宋体" w:hAnsi="宋体"/>
          <w:sz w:val="24"/>
          <w:lang w:val="en-US" w:eastAsia="zh-CN"/>
        </w:rPr>
        <w:t>2</w:t>
      </w:r>
      <w:r>
        <w:rPr>
          <w:rFonts w:hint="eastAsia" w:ascii="宋体" w:hAnsi="宋体"/>
          <w:sz w:val="24"/>
        </w:rPr>
        <w:t>）本项目报价下浮率高于</w:t>
      </w:r>
      <w:r>
        <w:rPr>
          <w:rFonts w:hint="eastAsia" w:ascii="宋体" w:hAnsi="宋体"/>
          <w:sz w:val="24"/>
          <w:lang w:val="en-US" w:eastAsia="zh-CN"/>
        </w:rPr>
        <w:t>3</w:t>
      </w:r>
      <w:r>
        <w:rPr>
          <w:rFonts w:hint="eastAsia" w:ascii="宋体" w:hAnsi="宋体"/>
          <w:sz w:val="24"/>
        </w:rPr>
        <w:t>% （不含本身）的需附成本分析报告。成本分析报告需充分说明费用的组成、降低成本的合理措施及在其他项目中应用过的经验等，未提供成本分析报告或分析报告未能充分说明</w:t>
      </w:r>
      <w:r>
        <w:rPr>
          <w:rFonts w:hint="eastAsia" w:ascii="宋体" w:hAnsi="宋体"/>
          <w:sz w:val="24"/>
          <w:lang w:val="en-US" w:eastAsia="zh-CN"/>
        </w:rPr>
        <w:t>者</w:t>
      </w:r>
      <w:r>
        <w:rPr>
          <w:rFonts w:hint="eastAsia" w:ascii="宋体" w:hAnsi="宋体"/>
          <w:sz w:val="24"/>
        </w:rPr>
        <w:t>视为原则性不响应招标文件要求，作否决投标处理。</w:t>
      </w:r>
    </w:p>
    <w:p w14:paraId="158CE180">
      <w:pPr>
        <w:spacing w:line="360" w:lineRule="auto"/>
        <w:ind w:firstLine="480" w:firstLineChars="200"/>
        <w:rPr>
          <w:rFonts w:asciiTheme="minorEastAsia" w:hAnsiTheme="minorEastAsia" w:eastAsiaTheme="minorEastAsia" w:cstheme="minorEastAsia"/>
          <w:color w:val="000000"/>
          <w:sz w:val="24"/>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7"/>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112EA9"/>
    <w:rsid w:val="0000270B"/>
    <w:rsid w:val="0008386F"/>
    <w:rsid w:val="00113C97"/>
    <w:rsid w:val="003A4968"/>
    <w:rsid w:val="005A0C33"/>
    <w:rsid w:val="006F276C"/>
    <w:rsid w:val="00A20B78"/>
    <w:rsid w:val="00B64760"/>
    <w:rsid w:val="00BD00AC"/>
    <w:rsid w:val="00D810EB"/>
    <w:rsid w:val="00E86AD4"/>
    <w:rsid w:val="027C11FC"/>
    <w:rsid w:val="0295401A"/>
    <w:rsid w:val="0303051E"/>
    <w:rsid w:val="047B7BC4"/>
    <w:rsid w:val="04BF0B83"/>
    <w:rsid w:val="04FE4EAD"/>
    <w:rsid w:val="05312146"/>
    <w:rsid w:val="056D4E14"/>
    <w:rsid w:val="05FD7391"/>
    <w:rsid w:val="07DC3C63"/>
    <w:rsid w:val="0900633E"/>
    <w:rsid w:val="09F078C2"/>
    <w:rsid w:val="0A9773AF"/>
    <w:rsid w:val="0B715FA9"/>
    <w:rsid w:val="0BD1033B"/>
    <w:rsid w:val="0BFD7548"/>
    <w:rsid w:val="0C8C1EEF"/>
    <w:rsid w:val="0D0C14ED"/>
    <w:rsid w:val="0D6039E5"/>
    <w:rsid w:val="0DDE0C6E"/>
    <w:rsid w:val="0F573D98"/>
    <w:rsid w:val="0FBF064C"/>
    <w:rsid w:val="10011F66"/>
    <w:rsid w:val="1007164E"/>
    <w:rsid w:val="10972384"/>
    <w:rsid w:val="110F2EEB"/>
    <w:rsid w:val="11402C86"/>
    <w:rsid w:val="13566E57"/>
    <w:rsid w:val="141C53D8"/>
    <w:rsid w:val="14421D4B"/>
    <w:rsid w:val="147F0C66"/>
    <w:rsid w:val="1558413F"/>
    <w:rsid w:val="155E4129"/>
    <w:rsid w:val="15B259A5"/>
    <w:rsid w:val="160351CB"/>
    <w:rsid w:val="16F77748"/>
    <w:rsid w:val="17610576"/>
    <w:rsid w:val="19467D10"/>
    <w:rsid w:val="1A316175"/>
    <w:rsid w:val="1A830B36"/>
    <w:rsid w:val="1ADD4B0E"/>
    <w:rsid w:val="1BF021DF"/>
    <w:rsid w:val="1BFA3C82"/>
    <w:rsid w:val="1C672B50"/>
    <w:rsid w:val="1CCE54EB"/>
    <w:rsid w:val="1D7B5A38"/>
    <w:rsid w:val="1DA01B05"/>
    <w:rsid w:val="1DFC3E5E"/>
    <w:rsid w:val="1EA43205"/>
    <w:rsid w:val="1FBD1E67"/>
    <w:rsid w:val="20D855DF"/>
    <w:rsid w:val="22015C0D"/>
    <w:rsid w:val="234277A0"/>
    <w:rsid w:val="234B187D"/>
    <w:rsid w:val="23817433"/>
    <w:rsid w:val="23FC7BFC"/>
    <w:rsid w:val="24EA7C79"/>
    <w:rsid w:val="250F564D"/>
    <w:rsid w:val="252B1EB7"/>
    <w:rsid w:val="256870E0"/>
    <w:rsid w:val="25E42BF8"/>
    <w:rsid w:val="265249D6"/>
    <w:rsid w:val="275D5D26"/>
    <w:rsid w:val="275F7D29"/>
    <w:rsid w:val="28403FE5"/>
    <w:rsid w:val="28BE48E2"/>
    <w:rsid w:val="2A441357"/>
    <w:rsid w:val="2AFA0631"/>
    <w:rsid w:val="2B6721B0"/>
    <w:rsid w:val="2C191EA0"/>
    <w:rsid w:val="2CA3124A"/>
    <w:rsid w:val="2CE51BB8"/>
    <w:rsid w:val="2D8B5047"/>
    <w:rsid w:val="2D8F39A1"/>
    <w:rsid w:val="2DAC4578"/>
    <w:rsid w:val="2DB36870"/>
    <w:rsid w:val="2DEA6350"/>
    <w:rsid w:val="2E260032"/>
    <w:rsid w:val="2E380045"/>
    <w:rsid w:val="2EFA1D2E"/>
    <w:rsid w:val="2F2E6BFF"/>
    <w:rsid w:val="2FC241F2"/>
    <w:rsid w:val="2FEF2882"/>
    <w:rsid w:val="30045C2F"/>
    <w:rsid w:val="30DF2B6C"/>
    <w:rsid w:val="313E1E7A"/>
    <w:rsid w:val="320E48DE"/>
    <w:rsid w:val="330E4E8B"/>
    <w:rsid w:val="33161353"/>
    <w:rsid w:val="334E3954"/>
    <w:rsid w:val="335E270E"/>
    <w:rsid w:val="34255CC8"/>
    <w:rsid w:val="358A1AD4"/>
    <w:rsid w:val="358B06A1"/>
    <w:rsid w:val="35E41FA9"/>
    <w:rsid w:val="360B40D3"/>
    <w:rsid w:val="3661221B"/>
    <w:rsid w:val="37A433E0"/>
    <w:rsid w:val="37AE0477"/>
    <w:rsid w:val="38004B22"/>
    <w:rsid w:val="39140E3A"/>
    <w:rsid w:val="398C2739"/>
    <w:rsid w:val="39E974DB"/>
    <w:rsid w:val="3C4C5078"/>
    <w:rsid w:val="3DC862F7"/>
    <w:rsid w:val="3DDE3626"/>
    <w:rsid w:val="3EC31204"/>
    <w:rsid w:val="401C5798"/>
    <w:rsid w:val="40794199"/>
    <w:rsid w:val="408A19B3"/>
    <w:rsid w:val="40F0643B"/>
    <w:rsid w:val="41414714"/>
    <w:rsid w:val="419C13AE"/>
    <w:rsid w:val="41A73FEA"/>
    <w:rsid w:val="41B40E40"/>
    <w:rsid w:val="42DF02D2"/>
    <w:rsid w:val="44C917FC"/>
    <w:rsid w:val="45AD67D6"/>
    <w:rsid w:val="45CF1EF0"/>
    <w:rsid w:val="45E20A8C"/>
    <w:rsid w:val="47097B32"/>
    <w:rsid w:val="47382C50"/>
    <w:rsid w:val="473A0E5B"/>
    <w:rsid w:val="476617B8"/>
    <w:rsid w:val="48205CF0"/>
    <w:rsid w:val="48AE5D4E"/>
    <w:rsid w:val="4A4B4604"/>
    <w:rsid w:val="4A566A25"/>
    <w:rsid w:val="4A7A1254"/>
    <w:rsid w:val="4B18258B"/>
    <w:rsid w:val="4B2A3103"/>
    <w:rsid w:val="4B3522B4"/>
    <w:rsid w:val="4B5E6BA8"/>
    <w:rsid w:val="4C3F54C3"/>
    <w:rsid w:val="4CE147A6"/>
    <w:rsid w:val="4DBF3FC8"/>
    <w:rsid w:val="4E287A4C"/>
    <w:rsid w:val="4EEB3586"/>
    <w:rsid w:val="50E83C80"/>
    <w:rsid w:val="50E84976"/>
    <w:rsid w:val="52400ADE"/>
    <w:rsid w:val="52AB3BAD"/>
    <w:rsid w:val="52D27864"/>
    <w:rsid w:val="536B3F5C"/>
    <w:rsid w:val="53CD308F"/>
    <w:rsid w:val="54C17E31"/>
    <w:rsid w:val="54E75E4E"/>
    <w:rsid w:val="54EC5F00"/>
    <w:rsid w:val="55BB08CE"/>
    <w:rsid w:val="56112EA9"/>
    <w:rsid w:val="56634F6B"/>
    <w:rsid w:val="56794219"/>
    <w:rsid w:val="56FE5647"/>
    <w:rsid w:val="572004CE"/>
    <w:rsid w:val="576E3E36"/>
    <w:rsid w:val="57BC5768"/>
    <w:rsid w:val="57D62605"/>
    <w:rsid w:val="596C4E42"/>
    <w:rsid w:val="59BD7DED"/>
    <w:rsid w:val="5AE252E1"/>
    <w:rsid w:val="5B6534AE"/>
    <w:rsid w:val="5CBC1717"/>
    <w:rsid w:val="5D196F37"/>
    <w:rsid w:val="5D576B9E"/>
    <w:rsid w:val="5E0B23A4"/>
    <w:rsid w:val="5E311346"/>
    <w:rsid w:val="5E7F2B1D"/>
    <w:rsid w:val="5E9479C8"/>
    <w:rsid w:val="5EFF55AD"/>
    <w:rsid w:val="60446F8A"/>
    <w:rsid w:val="609A0FB7"/>
    <w:rsid w:val="60A8111F"/>
    <w:rsid w:val="60B802FB"/>
    <w:rsid w:val="60F45983"/>
    <w:rsid w:val="61633BDA"/>
    <w:rsid w:val="61B23647"/>
    <w:rsid w:val="61E33B45"/>
    <w:rsid w:val="63FE5340"/>
    <w:rsid w:val="64132F2C"/>
    <w:rsid w:val="64F92069"/>
    <w:rsid w:val="650664D0"/>
    <w:rsid w:val="652A6814"/>
    <w:rsid w:val="65355760"/>
    <w:rsid w:val="673113AB"/>
    <w:rsid w:val="67593ED7"/>
    <w:rsid w:val="678C7059"/>
    <w:rsid w:val="68AC152E"/>
    <w:rsid w:val="695323C7"/>
    <w:rsid w:val="69EA7D86"/>
    <w:rsid w:val="6B023115"/>
    <w:rsid w:val="6D401C96"/>
    <w:rsid w:val="6E06100F"/>
    <w:rsid w:val="6E5B1FD7"/>
    <w:rsid w:val="708F1B04"/>
    <w:rsid w:val="70E237AF"/>
    <w:rsid w:val="710C1A65"/>
    <w:rsid w:val="71FF19B7"/>
    <w:rsid w:val="73365FC3"/>
    <w:rsid w:val="73FA6E86"/>
    <w:rsid w:val="74572EAA"/>
    <w:rsid w:val="74E106B7"/>
    <w:rsid w:val="75700D85"/>
    <w:rsid w:val="75715F41"/>
    <w:rsid w:val="76497732"/>
    <w:rsid w:val="76890F73"/>
    <w:rsid w:val="770F4753"/>
    <w:rsid w:val="795E2CE3"/>
    <w:rsid w:val="7A126AE1"/>
    <w:rsid w:val="7ABE2378"/>
    <w:rsid w:val="7AFB3926"/>
    <w:rsid w:val="7BA41111"/>
    <w:rsid w:val="7BFC3589"/>
    <w:rsid w:val="7C185614"/>
    <w:rsid w:val="7CD02D3B"/>
    <w:rsid w:val="7D2B397D"/>
    <w:rsid w:val="7E352FE9"/>
    <w:rsid w:val="7EB61EE5"/>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pPr>
    <w:rPr>
      <w:rFonts w:ascii="Calibri" w:hAnsi="Calibri"/>
      <w:kern w:val="0"/>
      <w:sz w:val="20"/>
      <w:szCs w:val="20"/>
    </w:rPr>
  </w:style>
  <w:style w:type="paragraph" w:styleId="7">
    <w:name w:val="Title"/>
    <w:basedOn w:val="1"/>
    <w:next w:val="1"/>
    <w:qFormat/>
    <w:uiPriority w:val="0"/>
    <w:pPr>
      <w:spacing w:before="240" w:after="60" w:line="360" w:lineRule="auto"/>
      <w:ind w:firstLine="200" w:firstLineChars="200"/>
      <w:jc w:val="center"/>
      <w:outlineLvl w:val="0"/>
    </w:pPr>
    <w:rPr>
      <w:rFonts w:ascii="Arial" w:hAnsi="Arial"/>
      <w:b/>
      <w:bCs/>
      <w:sz w:val="32"/>
      <w:szCs w:val="32"/>
    </w:r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toc 2"/>
    <w:basedOn w:val="1"/>
    <w:next w:val="1"/>
    <w:qFormat/>
    <w:uiPriority w:val="0"/>
    <w:pPr>
      <w:tabs>
        <w:tab w:val="right" w:leader="dot" w:pos="8302"/>
      </w:tabs>
      <w:snapToGrid w:val="0"/>
      <w:spacing w:line="360" w:lineRule="auto"/>
      <w:ind w:left="525" w:hanging="4"/>
    </w:pPr>
    <w:rPr>
      <w:sz w:val="24"/>
      <w:szCs w:val="20"/>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qFormat/>
    <w:uiPriority w:val="0"/>
  </w:style>
  <w:style w:type="paragraph" w:customStyle="1" w:styleId="17">
    <w:name w:val="标题1"/>
    <w:basedOn w:val="3"/>
    <w:next w:val="1"/>
    <w:qFormat/>
    <w:uiPriority w:val="0"/>
    <w:pPr>
      <w:numPr>
        <w:ilvl w:val="0"/>
        <w:numId w:val="1"/>
      </w:numPr>
    </w:pPr>
    <w:rPr>
      <w:rFonts w:hAnsi="黑体"/>
    </w:rPr>
  </w:style>
  <w:style w:type="paragraph" w:customStyle="1" w:styleId="18">
    <w:name w:val="首页项目名称"/>
    <w:link w:val="20"/>
    <w:qFormat/>
    <w:uiPriority w:val="0"/>
    <w:pPr>
      <w:jc w:val="center"/>
    </w:pPr>
    <w:rPr>
      <w:rFonts w:ascii="Times New Roman" w:hAnsi="Times New Roman" w:eastAsia="隶书" w:cs="Times New Roman"/>
      <w:sz w:val="52"/>
      <w:lang w:val="en-US" w:eastAsia="zh-CN" w:bidi="ar-SA"/>
    </w:rPr>
  </w:style>
  <w:style w:type="paragraph" w:customStyle="1" w:styleId="19">
    <w:name w:val="首页日期"/>
    <w:basedOn w:val="1"/>
    <w:link w:val="21"/>
    <w:qFormat/>
    <w:uiPriority w:val="0"/>
    <w:pPr>
      <w:jc w:val="center"/>
    </w:pPr>
    <w:rPr>
      <w:rFonts w:eastAsia="楷体"/>
      <w:sz w:val="32"/>
    </w:rPr>
  </w:style>
  <w:style w:type="character" w:customStyle="1" w:styleId="20">
    <w:name w:val="首页项目名称 Char"/>
    <w:link w:val="18"/>
    <w:qFormat/>
    <w:uiPriority w:val="0"/>
    <w:rPr>
      <w:rFonts w:ascii="Times New Roman" w:hAnsi="Times New Roman" w:eastAsia="隶书"/>
      <w:sz w:val="52"/>
    </w:rPr>
  </w:style>
  <w:style w:type="character" w:customStyle="1" w:styleId="21">
    <w:name w:val="首页日期 Char"/>
    <w:link w:val="19"/>
    <w:qFormat/>
    <w:uiPriority w:val="0"/>
    <w:rPr>
      <w:rFonts w:ascii="Times New Roman" w:hAnsi="Times New Roman" w:eastAsia="楷体"/>
      <w:sz w:val="32"/>
    </w:rPr>
  </w:style>
  <w:style w:type="paragraph" w:customStyle="1" w:styleId="22">
    <w:name w:val="一标题"/>
    <w:link w:val="23"/>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3">
    <w:name w:val="一标题 Char"/>
    <w:link w:val="22"/>
    <w:qFormat/>
    <w:uiPriority w:val="0"/>
    <w:rPr>
      <w:rFonts w:ascii="宋体" w:hAnsi="宋体" w:eastAsia="宋体" w:cs="Times New Roman"/>
      <w:b/>
      <w:sz w:val="24"/>
    </w:rPr>
  </w:style>
  <w:style w:type="paragraph" w:customStyle="1" w:styleId="24">
    <w:name w:val="_Style 0"/>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1525</Words>
  <Characters>1555</Characters>
  <Lines>11</Lines>
  <Paragraphs>3</Paragraphs>
  <TotalTime>10</TotalTime>
  <ScaleCrop>false</ScaleCrop>
  <LinksUpToDate>false</LinksUpToDate>
  <CharactersWithSpaces>1564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志</cp:lastModifiedBy>
  <dcterms:modified xsi:type="dcterms:W3CDTF">2025-11-27T14:17:53Z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33B143F60C6149FCA6D163053531BDB1</vt:lpwstr>
  </property>
  <property fmtid="{D5CDD505-2E9C-101B-9397-08002B2CF9AE}" pid="4" name="KSOTemplateDocerSaveRecord">
    <vt:lpwstr>eyJoZGlkIjoiYTg0NmQwY2MxN2Q5ZjcwMDVkM2FiM2U3MGM5ZWNlOTUiLCJ1c2VySWQiOiIzMzI4MzAwMTEifQ==</vt:lpwstr>
  </property>
</Properties>
</file>