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AFAC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07FB4EB4">
      <w:pPr>
        <w:spacing w:line="360" w:lineRule="auto"/>
        <w:jc w:val="center"/>
        <w:rPr>
          <w:rFonts w:hint="default" w:ascii="黑体" w:hAnsi="黑体" w:eastAsia="黑体" w:cs="黑体"/>
          <w:b/>
          <w:bCs/>
          <w:sz w:val="52"/>
          <w:szCs w:val="52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52"/>
          <w:szCs w:val="52"/>
          <w:lang w:val="en-US" w:eastAsia="zh-CN"/>
        </w:rPr>
        <w:t>铜仁沿河供电局篮球场升级改造</w:t>
      </w:r>
    </w:p>
    <w:p w14:paraId="3F0BDD3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default" w:ascii="黑体" w:hAnsi="黑体" w:eastAsia="黑体" w:cs="黑体"/>
          <w:b/>
          <w:bCs/>
          <w:sz w:val="52"/>
          <w:szCs w:val="52"/>
          <w:lang w:val="en-US" w:eastAsia="zh-CN"/>
        </w:rPr>
        <w:t>服务项目</w:t>
      </w:r>
      <w:r>
        <w:rPr>
          <w:rFonts w:hint="eastAsia" w:ascii="黑体" w:hAnsi="黑体" w:eastAsia="黑体" w:cs="黑体"/>
          <w:b/>
          <w:bCs/>
          <w:sz w:val="52"/>
          <w:szCs w:val="52"/>
        </w:rPr>
        <w:t>技术规范书</w:t>
      </w:r>
    </w:p>
    <w:p w14:paraId="74FDC80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EF1214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</w:t>
      </w:r>
    </w:p>
    <w:p w14:paraId="16CD19E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55EBE2FD">
      <w:pPr>
        <w:pStyle w:val="4"/>
        <w:rPr>
          <w:rFonts w:eastAsia="黑体"/>
          <w:b/>
          <w:bCs w:val="0"/>
          <w:sz w:val="36"/>
          <w:szCs w:val="20"/>
          <w:lang w:val="en-US"/>
        </w:rPr>
      </w:pPr>
    </w:p>
    <w:p w14:paraId="05B44A13">
      <w:pPr>
        <w:rPr>
          <w:lang w:val="en-US"/>
        </w:rPr>
      </w:pPr>
    </w:p>
    <w:p w14:paraId="206623AB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沿河供电局</w:t>
      </w:r>
    </w:p>
    <w:p w14:paraId="0E77D876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年11月</w:t>
      </w:r>
    </w:p>
    <w:p w14:paraId="1E2E46B2">
      <w:pPr>
        <w:spacing w:line="360" w:lineRule="auto"/>
        <w:rPr>
          <w:rFonts w:ascii="宋体" w:hAnsi="宋体" w:cs="宋体"/>
          <w:b/>
          <w:bCs/>
          <w:color w:val="FF0000"/>
          <w:sz w:val="28"/>
          <w:szCs w:val="28"/>
          <w:highlight w:val="none"/>
        </w:rPr>
        <w:sectPr>
          <w:pgSz w:w="11906" w:h="16838"/>
          <w:pgMar w:top="0" w:right="0" w:bottom="0" w:left="0" w:header="0" w:footer="0" w:gutter="0"/>
          <w:cols w:space="0" w:num="1"/>
          <w:rtlGutter w:val="0"/>
          <w:docGrid w:type="lines" w:linePitch="312" w:charSpace="0"/>
        </w:sectPr>
      </w:pPr>
    </w:p>
    <w:p w14:paraId="1E7DAEFE">
      <w:pPr>
        <w:rPr>
          <w:highlight w:val="none"/>
        </w:rPr>
      </w:pPr>
    </w:p>
    <w:p w14:paraId="26915B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2" w:firstLineChars="200"/>
        <w:textAlignment w:val="auto"/>
        <w:rPr>
          <w:rFonts w:hint="eastAsia"/>
          <w:b/>
          <w:bCs/>
          <w:color w:val="auto"/>
        </w:rPr>
      </w:pPr>
      <w:bookmarkStart w:id="0" w:name="_Toc451693402"/>
      <w:r>
        <w:rPr>
          <w:rFonts w:hint="eastAsia"/>
          <w:b/>
          <w:bCs/>
          <w:color w:val="auto"/>
        </w:rPr>
        <w:t>1. 总则</w:t>
      </w:r>
      <w:bookmarkEnd w:id="0"/>
      <w:r>
        <w:rPr>
          <w:rFonts w:hint="eastAsia"/>
          <w:b/>
          <w:bCs/>
          <w:color w:val="auto"/>
        </w:rPr>
        <w:t xml:space="preserve"> </w:t>
      </w:r>
    </w:p>
    <w:p w14:paraId="17C6AC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bookmarkStart w:id="1" w:name="_Toc6607"/>
      <w:bookmarkStart w:id="2" w:name="_Toc8634"/>
      <w:bookmarkStart w:id="3" w:name="_Toc25863"/>
      <w:bookmarkStart w:id="4" w:name="_Toc423448532"/>
      <w:bookmarkStart w:id="5" w:name="_Toc298099242"/>
      <w:bookmarkStart w:id="6" w:name="_Toc298099426"/>
      <w:bookmarkStart w:id="7" w:name="_Toc25889"/>
      <w:bookmarkStart w:id="8" w:name="_Toc298099131"/>
      <w:bookmarkStart w:id="9" w:name="_Toc300324063"/>
      <w:r>
        <w:rPr>
          <w:rFonts w:hint="eastAsia"/>
        </w:rPr>
        <w:t>1.1 总体的要求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25DE0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1.1.1 本技术规范书内容包括项目技术要求、项目实施组织规范、验收及其它必备事项。</w:t>
      </w:r>
    </w:p>
    <w:p w14:paraId="15C010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1.1.2 本技术规范书中提出的技术要求仅为最低限度的技术要求。响应方（投标人）必须仔细阅读技术规范书的全部条款，并提供能完全满足要求的技术服务方案。</w:t>
      </w:r>
    </w:p>
    <w:p w14:paraId="5F90FF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1.1.3 本技术规范书的解释权属于采购方（招标人），未经采购方（招标人）同意，任何个人和单位不得做出任何修改。</w:t>
      </w:r>
    </w:p>
    <w:p w14:paraId="436BCC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1.1.4 技术规范书经买卖双方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采购双方</w:t>
      </w:r>
      <w:r>
        <w:rPr>
          <w:rFonts w:hint="eastAsia"/>
          <w:lang w:eastAsia="zh-CN"/>
        </w:rPr>
        <w:t>）</w:t>
      </w:r>
      <w:r>
        <w:rPr>
          <w:rFonts w:hint="eastAsia"/>
        </w:rPr>
        <w:t>确认后，作为合同的附件，与合同正文具有同等的法律效力。</w:t>
      </w:r>
    </w:p>
    <w:p w14:paraId="60095B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bookmarkStart w:id="10" w:name="_Toc30212"/>
      <w:bookmarkStart w:id="11" w:name="_Toc4161"/>
      <w:bookmarkStart w:id="12" w:name="_Toc2761"/>
      <w:bookmarkStart w:id="13" w:name="_Toc423448534"/>
      <w:bookmarkStart w:id="14" w:name="_Toc12243"/>
      <w:bookmarkStart w:id="15" w:name="_Toc298099244"/>
      <w:bookmarkStart w:id="16" w:name="_Toc298099428"/>
      <w:bookmarkStart w:id="17" w:name="_Toc298099133"/>
      <w:bookmarkStart w:id="18" w:name="_Toc300324065"/>
      <w:r>
        <w:rPr>
          <w:rFonts w:hint="eastAsia"/>
        </w:rPr>
        <w:t>1.2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技术应答要求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30E00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1.2.1本项目</w:t>
      </w:r>
      <w:r>
        <w:rPr>
          <w:rFonts w:hint="eastAsia"/>
          <w:lang w:eastAsia="zh-CN"/>
        </w:rPr>
        <w:t>按照</w:t>
      </w:r>
      <w:r>
        <w:rPr>
          <w:rFonts w:hint="eastAsia"/>
        </w:rPr>
        <w:t>相应质量标准、技术标准以及在技术规格书中规定的任何其他标准</w:t>
      </w:r>
      <w:r>
        <w:rPr>
          <w:rFonts w:hint="eastAsia"/>
          <w:lang w:eastAsia="zh-CN"/>
        </w:rPr>
        <w:t>，</w:t>
      </w:r>
      <w:r>
        <w:rPr>
          <w:rFonts w:hint="eastAsia"/>
        </w:rPr>
        <w:t>参照标准和规范最新版本的要求执行。如果几种规范和标准适用于同一种情况，则应遵循最为严格的规范。</w:t>
      </w:r>
    </w:p>
    <w:p w14:paraId="448CB4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1.2.2方案必须针对本技术规范书逐项回答。</w:t>
      </w:r>
    </w:p>
    <w:p w14:paraId="06CFD8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1.2.3对规范书中的技术指标要求，应说明能否满足、满足的程度以及实际满足的指标值。</w:t>
      </w:r>
    </w:p>
    <w:p w14:paraId="307CA8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1.2.4投标人须到现场实际测量，结合要求确认内容，并在响应时同步上传相关凭证，现场测量图片、材料、设计方案等（加盖供应商公章）。未提交资料或资料提供不全，资料不符，资料造假等供应商，其报价结果不予认可。联系人：甘</w:t>
      </w:r>
      <w:r>
        <w:t>红玲</w:t>
      </w:r>
      <w:r>
        <w:rPr>
          <w:rFonts w:hint="eastAsia"/>
          <w:lang w:val="en-US" w:eastAsia="zh-CN"/>
        </w:rPr>
        <w:t>，电话</w:t>
      </w:r>
      <w:r>
        <w:t>13638130266</w:t>
      </w:r>
      <w:r>
        <w:rPr>
          <w:rFonts w:hint="eastAsia"/>
          <w:lang w:val="en-US" w:eastAsia="zh-CN"/>
        </w:rPr>
        <w:t>。</w:t>
      </w:r>
    </w:p>
    <w:p w14:paraId="047ADC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bookmarkStart w:id="19" w:name="_Toc423448536"/>
      <w:bookmarkStart w:id="20" w:name="_Toc24076"/>
      <w:bookmarkStart w:id="21" w:name="_Toc300324067"/>
      <w:bookmarkStart w:id="22" w:name="_Toc298099246"/>
      <w:bookmarkStart w:id="23" w:name="_Toc27554"/>
      <w:bookmarkStart w:id="24" w:name="_Toc298099135"/>
      <w:bookmarkStart w:id="25" w:name="_Toc2479"/>
      <w:bookmarkStart w:id="26" w:name="_Toc11832"/>
      <w:bookmarkStart w:id="27" w:name="_Toc298099430"/>
      <w:r>
        <w:rPr>
          <w:rFonts w:hint="eastAsia"/>
        </w:rPr>
        <w:t>1.3响应方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投标人</w:t>
      </w:r>
      <w:r>
        <w:rPr>
          <w:rFonts w:hint="eastAsia"/>
          <w:lang w:eastAsia="zh-CN"/>
        </w:rPr>
        <w:t>）</w:t>
      </w:r>
      <w:r>
        <w:rPr>
          <w:rFonts w:hint="eastAsia"/>
        </w:rPr>
        <w:t>/采购方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招标人</w:t>
      </w:r>
      <w:r>
        <w:rPr>
          <w:rFonts w:hint="eastAsia"/>
          <w:lang w:eastAsia="zh-CN"/>
        </w:rPr>
        <w:t>）</w:t>
      </w:r>
      <w:r>
        <w:rPr>
          <w:rFonts w:hint="eastAsia"/>
        </w:rPr>
        <w:t>责任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14:paraId="216D7A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1.3.1 响应方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投标人）</w:t>
      </w:r>
      <w:r>
        <w:rPr>
          <w:rFonts w:hint="eastAsia"/>
        </w:rPr>
        <w:t>责任</w:t>
      </w:r>
    </w:p>
    <w:p w14:paraId="1348C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a.</w:t>
      </w:r>
      <w:r>
        <w:rPr>
          <w:rFonts w:hint="eastAsia"/>
        </w:rPr>
        <w:t>提供完整的技术服务详细清单和报价；</w:t>
      </w:r>
    </w:p>
    <w:p w14:paraId="473790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b.</w:t>
      </w:r>
      <w:r>
        <w:rPr>
          <w:rFonts w:hint="eastAsia"/>
        </w:rPr>
        <w:t>负责协助采购方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招标人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开展对本项目</w:t>
      </w:r>
      <w:r>
        <w:rPr>
          <w:rFonts w:hint="eastAsia"/>
        </w:rPr>
        <w:t>的评审和现场验收工作；</w:t>
      </w:r>
    </w:p>
    <w:p w14:paraId="73E356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c.按期提交满足采购方（招标人）要求的项目建设成果。</w:t>
      </w:r>
    </w:p>
    <w:p w14:paraId="031134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d.完成招标人指定的设计、制作、运输、安装。</w:t>
      </w:r>
    </w:p>
    <w:p w14:paraId="2F114C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1.3.2 采购方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招标人</w:t>
      </w:r>
      <w:r>
        <w:rPr>
          <w:rFonts w:hint="eastAsia"/>
          <w:lang w:eastAsia="zh-CN"/>
        </w:rPr>
        <w:t>）</w:t>
      </w:r>
      <w:r>
        <w:rPr>
          <w:rFonts w:hint="eastAsia"/>
        </w:rPr>
        <w:t>责任</w:t>
      </w:r>
    </w:p>
    <w:p w14:paraId="1467CE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a.</w:t>
      </w:r>
      <w:r>
        <w:rPr>
          <w:rFonts w:hint="eastAsia"/>
        </w:rPr>
        <w:t>为响应方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投标人）</w:t>
      </w:r>
      <w:r>
        <w:rPr>
          <w:rFonts w:hint="eastAsia"/>
          <w:lang w:eastAsia="zh-CN"/>
        </w:rPr>
        <w:t>实际实施项目时，</w:t>
      </w:r>
      <w:r>
        <w:rPr>
          <w:rFonts w:hint="eastAsia"/>
        </w:rPr>
        <w:t>调研及收集规范及标准等提供协助；</w:t>
      </w:r>
    </w:p>
    <w:p w14:paraId="667B1E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b.负责组织</w:t>
      </w:r>
      <w:r>
        <w:rPr>
          <w:rFonts w:hint="eastAsia"/>
        </w:rPr>
        <w:t>现场评审和验收。</w:t>
      </w:r>
    </w:p>
    <w:p w14:paraId="4865FA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2" w:firstLineChars="200"/>
        <w:textAlignment w:val="auto"/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2.</w:t>
      </w:r>
      <w:r>
        <w:rPr>
          <w:rFonts w:hint="eastAsia"/>
          <w:b/>
          <w:bCs/>
          <w:color w:val="auto"/>
        </w:rPr>
        <w:t>项目概况</w:t>
      </w:r>
    </w:p>
    <w:p w14:paraId="376980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.1 项目背景</w:t>
      </w:r>
    </w:p>
    <w:p w14:paraId="469715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为进一步完善单位文体设施，丰富干部职工业余文化生活，提升团队凝聚力与向心力，保障体育锻炼安全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改造后，篮球场将更符合安全运动标准，为职工提供优质、安全的健身环境，助力营造积极向上的单位氛围。</w:t>
      </w:r>
    </w:p>
    <w:p w14:paraId="37D4C6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2</w:t>
      </w:r>
      <w:r>
        <w:rPr>
          <w:rFonts w:hint="eastAsia"/>
          <w:color w:val="auto"/>
        </w:rPr>
        <w:t>.</w:t>
      </w:r>
      <w:r>
        <w:rPr>
          <w:rFonts w:hint="eastAsia"/>
          <w:color w:val="auto"/>
          <w:lang w:val="en-US" w:eastAsia="zh-CN"/>
        </w:rPr>
        <w:t>2</w:t>
      </w:r>
      <w:r>
        <w:rPr>
          <w:rFonts w:hint="eastAsia"/>
          <w:color w:val="auto"/>
        </w:rPr>
        <w:t xml:space="preserve"> 项目目标</w:t>
      </w:r>
    </w:p>
    <w:p w14:paraId="10001B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1.安全保障：消除地面破损、设施老化等安全隐患，打造无风险运动环境；</w:t>
      </w:r>
    </w:p>
    <w:p w14:paraId="7162C0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2.功能优化：升级场地地面、照明等核心设施，符合标准运动需求；</w:t>
      </w:r>
    </w:p>
    <w:p w14:paraId="4F9051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3.体验提升：改善运动舒适度，满足职工日常健身、团队赛事及对外交流使用；</w:t>
      </w:r>
    </w:p>
    <w:p w14:paraId="32253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4.氛围营造：完善文体设施，丰富职工业余生活，增强团队凝聚力。</w:t>
      </w:r>
    </w:p>
    <w:p w14:paraId="3784A1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2.3项目概述</w:t>
      </w:r>
    </w:p>
    <w:p w14:paraId="692747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具体围绕以下几个方面展开，包括但不限于以下内容：</w:t>
      </w:r>
    </w:p>
    <w:p w14:paraId="6B017A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2.3.1项目地点：沿河供电局篮球场</w:t>
      </w:r>
    </w:p>
    <w:p w14:paraId="775F34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2.3.2项目建设内容：项目建设内容</w:t>
      </w:r>
    </w:p>
    <w:p w14:paraId="609C7C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1. 场地翻新：对篮球场地面进行全面平整修复，清除破损涂层，重新涂刷防滑、耐磨专用涂料，提升场地缓冲性能与安全性。</w:t>
      </w:r>
    </w:p>
    <w:p w14:paraId="1AFD0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 设施更换：更换全部破损观众席座椅（选用防腐木或高强度塑料胶椅），检修并更换老化篮球架及破损篮板，保障核心设施达标。</w:t>
      </w:r>
    </w:p>
    <w:p w14:paraId="2A4FBC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 设备补充：安装音响设备及计分电子显示屏，满足赛事组织与活动开展需求。</w:t>
      </w:r>
    </w:p>
    <w:p w14:paraId="6F3899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 配套完善：增设6组LED球场专用照明系统，确保夜间亮度适配。</w:t>
      </w:r>
    </w:p>
    <w:p w14:paraId="0BA71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5.实施排水工程，优化场地排水坡度、完善排水管网，实现雨天快速排水无积水。   </w:t>
      </w:r>
    </w:p>
    <w:p w14:paraId="2A30F7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2.3.3建设时间要求：成交通知书下达日起三十日内完成。</w:t>
      </w:r>
    </w:p>
    <w:p w14:paraId="4675B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项目服务内容</w:t>
      </w:r>
    </w:p>
    <w:p w14:paraId="17A5FA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项目拟于2025年期间，铜仁沿河供电局篮球场升级改造维修供服务。</w:t>
      </w:r>
    </w:p>
    <w:p w14:paraId="4DAD54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服务内容：施工材料采购与质量把控、现场安全管理、施工进度跟踪与反馈、交叉作业协调；执行标准：材料符合国家环保及质量标准，进场前需经甲方抽检确认；现场封闭围挡完整，警示标识醒目，无安全事故；进度按规划推进，延期需提前48小时书面告知；协调无工作日施工干扰；</w:t>
      </w:r>
    </w:p>
    <w:p w14:paraId="521E6D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责任边界：负责施工期间现场人员、设备及周边环境安全；材料采购质量由服务方全权负责，进度延期需按约定承担违约责任。</w:t>
      </w:r>
    </w:p>
    <w:p w14:paraId="773EBE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后期验收服务</w:t>
      </w:r>
    </w:p>
    <w:p w14:paraId="64C0EC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服务内容：工程质量检测、设施功能调试与试运行、竣工资料整理、验收配合及售后质保；</w:t>
      </w:r>
    </w:p>
    <w:p w14:paraId="2BDAE4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执行标准：检测覆盖场地、设施、配套全维度，提供书面检测报告；试运行不少于72小时，无功能故障；竣工资料含图纸、材料合格证、检测报告等，整理规范；质保期不少于1年；</w:t>
      </w:r>
    </w:p>
    <w:p w14:paraId="484C9A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责任边界：负责配合甲方完成验收，质保期内非人为损坏的维修、调试免费；竣工资料遗漏或不合格，需在3个工作日内补齐。</w:t>
      </w:r>
    </w:p>
    <w:p w14:paraId="616E7649">
      <w:pPr>
        <w:pStyle w:val="2"/>
        <w:rPr>
          <w:rFonts w:hint="eastAsia"/>
          <w:b/>
          <w:bCs/>
          <w:color w:val="auto"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3.对成交人的资质等级要求</w:t>
      </w:r>
    </w:p>
    <w:p w14:paraId="77765427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3.1资质等级要求：</w:t>
      </w:r>
    </w:p>
    <w:p w14:paraId="32E007CF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3.1.1具备独立法人资格，具有相关活动策划与执行经验；</w:t>
      </w:r>
    </w:p>
    <w:p w14:paraId="5FFF2569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3.1.2具备体育运动咨询、体育用品设备出租、体育场馆经营及管理、体育赛事活动组织及策划咨询、制作各类广告企业策划等资质；</w:t>
      </w:r>
    </w:p>
    <w:p w14:paraId="03DA47E5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3.1.3拥有专业的策划、执行团队，具备较强的创意和执行能力；</w:t>
      </w:r>
    </w:p>
    <w:p w14:paraId="6F6179D7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3.1.4具有良好的信誉和口碑，无违法违规行为记录；</w:t>
      </w:r>
    </w:p>
    <w:p w14:paraId="00FBC707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3.1.5成交人成立时间不低于3年，在贵州省铜仁市区域内有固定的经营场所，具有履行合同所必须的设备和专业技术能力。</w:t>
      </w:r>
    </w:p>
    <w:p w14:paraId="51ABF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2" w:firstLineChars="200"/>
        <w:textAlignment w:val="auto"/>
        <w:rPr>
          <w:rFonts w:hint="eastAsia"/>
          <w:b/>
          <w:bCs/>
          <w:color w:val="auto"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4.服务内容清单：</w:t>
      </w:r>
    </w:p>
    <w:tbl>
      <w:tblPr>
        <w:tblStyle w:val="9"/>
        <w:tblW w:w="825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7"/>
        <w:gridCol w:w="4014"/>
        <w:gridCol w:w="2010"/>
        <w:gridCol w:w="1200"/>
      </w:tblGrid>
      <w:tr w14:paraId="55D09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692F0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序号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E52F8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项目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91A6E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数量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9B255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备注</w:t>
            </w:r>
          </w:p>
        </w:tc>
      </w:tr>
      <w:tr w14:paraId="6BC03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21C5A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1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5BCEC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场地修复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2BE0F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1项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7EC3E">
            <w:pPr>
              <w:jc w:val="center"/>
              <w:rPr>
                <w:rFonts w:hint="eastAsia"/>
              </w:rPr>
            </w:pPr>
          </w:p>
        </w:tc>
      </w:tr>
      <w:tr w14:paraId="71C93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E5145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2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1F913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观众席座椅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E37B7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1项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84F65">
            <w:pPr>
              <w:jc w:val="center"/>
              <w:rPr>
                <w:rFonts w:hint="eastAsia"/>
              </w:rPr>
            </w:pPr>
          </w:p>
        </w:tc>
      </w:tr>
      <w:tr w14:paraId="0F8285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C4B8D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3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AA9F3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音响、计分电子显示屏设备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4D916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1项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4E93F">
            <w:pPr>
              <w:jc w:val="center"/>
              <w:rPr>
                <w:rFonts w:hint="eastAsia"/>
              </w:rPr>
            </w:pPr>
          </w:p>
        </w:tc>
      </w:tr>
      <w:tr w14:paraId="319BA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2C207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4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951E7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照明系统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C9D77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1项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3CBFE">
            <w:pPr>
              <w:jc w:val="center"/>
              <w:rPr>
                <w:rFonts w:hint="eastAsia"/>
              </w:rPr>
            </w:pPr>
          </w:p>
        </w:tc>
      </w:tr>
      <w:tr w14:paraId="16544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B1FB0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5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1DCCC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排水工程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1D4DD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1项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C013B">
            <w:pPr>
              <w:jc w:val="center"/>
              <w:rPr>
                <w:rFonts w:hint="eastAsia"/>
              </w:rPr>
            </w:pPr>
          </w:p>
        </w:tc>
      </w:tr>
    </w:tbl>
    <w:p w14:paraId="773F7E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4.1</w:t>
      </w:r>
      <w:bookmarkStart w:id="28" w:name="_GoBack"/>
      <w:bookmarkEnd w:id="28"/>
      <w:r>
        <w:rPr>
          <w:rFonts w:hint="eastAsia"/>
          <w:lang w:val="en-US" w:eastAsia="zh-CN"/>
        </w:rPr>
        <w:t>报价明细表</w:t>
      </w:r>
      <w:r>
        <w:rPr>
          <w:rFonts w:hint="eastAsia"/>
        </w:rPr>
        <w:t>要求</w:t>
      </w:r>
    </w:p>
    <w:p w14:paraId="50C514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本项目最高限价为 4.9万元（含税），对于报价人确定最终报价大于、等于 4.9万元的做否决报价处理。具体报价明细按照以下报价明细表格式：</w:t>
      </w:r>
    </w:p>
    <w:p w14:paraId="4CEAF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铜仁沿河供电局篮球场升级改造项目</w:t>
      </w:r>
    </w:p>
    <w:tbl>
      <w:tblPr>
        <w:tblStyle w:val="9"/>
        <w:tblW w:w="8326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0"/>
        <w:gridCol w:w="3131"/>
        <w:gridCol w:w="2340"/>
        <w:gridCol w:w="2025"/>
      </w:tblGrid>
      <w:tr w14:paraId="54A1AB2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7" w:hRule="atLeast"/>
        </w:trPr>
        <w:tc>
          <w:tcPr>
            <w:tcW w:w="830" w:type="dxa"/>
            <w:tcBorders>
              <w:tl2br w:val="nil"/>
              <w:tr2bl w:val="nil"/>
            </w:tcBorders>
            <w:noWrap w:val="0"/>
            <w:vAlign w:val="center"/>
          </w:tcPr>
          <w:p w14:paraId="0F324248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3131" w:type="dxa"/>
            <w:tcBorders>
              <w:tl2br w:val="nil"/>
              <w:tr2bl w:val="nil"/>
            </w:tcBorders>
            <w:noWrap w:val="0"/>
            <w:vAlign w:val="center"/>
          </w:tcPr>
          <w:p w14:paraId="45C4C2DE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标的</w:t>
            </w:r>
          </w:p>
        </w:tc>
        <w:tc>
          <w:tcPr>
            <w:tcW w:w="2340" w:type="dxa"/>
            <w:tcBorders>
              <w:tl2br w:val="nil"/>
              <w:tr2bl w:val="nil"/>
            </w:tcBorders>
            <w:noWrap w:val="0"/>
            <w:vAlign w:val="center"/>
          </w:tcPr>
          <w:p w14:paraId="70F1DF02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报价（元）</w:t>
            </w:r>
          </w:p>
        </w:tc>
        <w:tc>
          <w:tcPr>
            <w:tcW w:w="2025" w:type="dxa"/>
            <w:tcBorders>
              <w:tl2br w:val="nil"/>
              <w:tr2bl w:val="nil"/>
            </w:tcBorders>
            <w:noWrap w:val="0"/>
            <w:vAlign w:val="center"/>
          </w:tcPr>
          <w:p w14:paraId="50AAE02E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备注</w:t>
            </w:r>
          </w:p>
        </w:tc>
      </w:tr>
      <w:tr w14:paraId="34B93A9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1" w:hRule="atLeast"/>
        </w:trPr>
        <w:tc>
          <w:tcPr>
            <w:tcW w:w="830" w:type="dxa"/>
            <w:tcBorders>
              <w:tl2br w:val="nil"/>
              <w:tr2bl w:val="nil"/>
            </w:tcBorders>
            <w:noWrap w:val="0"/>
            <w:vAlign w:val="center"/>
          </w:tcPr>
          <w:p w14:paraId="73AEC3BA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131" w:type="dxa"/>
            <w:tcBorders>
              <w:tl2br w:val="nil"/>
              <w:tr2bl w:val="nil"/>
            </w:tcBorders>
            <w:noWrap w:val="0"/>
            <w:vAlign w:val="center"/>
          </w:tcPr>
          <w:p w14:paraId="41981EBD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铜仁沿河供电局篮球场</w:t>
            </w:r>
            <w:r>
              <w:rPr>
                <w:rFonts w:hint="eastAsia"/>
                <w:lang w:val="en-US" w:eastAsia="zh-CN"/>
              </w:rPr>
              <w:t>升级改造</w:t>
            </w:r>
            <w:r>
              <w:rPr>
                <w:rFonts w:hint="default"/>
                <w:lang w:val="en-US" w:eastAsia="zh-CN"/>
              </w:rPr>
              <w:t>项目</w:t>
            </w:r>
          </w:p>
          <w:p w14:paraId="31B219C6"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2340" w:type="dxa"/>
            <w:tcBorders>
              <w:left w:val="single" w:color="auto" w:sz="4" w:space="0"/>
              <w:tl2br w:val="nil"/>
              <w:tr2bl w:val="nil"/>
            </w:tcBorders>
            <w:noWrap w:val="0"/>
            <w:vAlign w:val="center"/>
          </w:tcPr>
          <w:p w14:paraId="37D74B8A"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025" w:type="dxa"/>
            <w:tcBorders>
              <w:tl2br w:val="nil"/>
              <w:tr2bl w:val="nil"/>
            </w:tcBorders>
            <w:noWrap w:val="0"/>
            <w:vAlign w:val="center"/>
          </w:tcPr>
          <w:p w14:paraId="6B87BF52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合同签订之日起一个月。</w:t>
            </w:r>
          </w:p>
        </w:tc>
      </w:tr>
    </w:tbl>
    <w:p w14:paraId="5B138395">
      <w:pPr>
        <w:rPr>
          <w:rFonts w:hint="eastAsia"/>
          <w:lang w:val="en-US" w:eastAsia="zh-CN"/>
        </w:rPr>
      </w:pPr>
    </w:p>
    <w:p w14:paraId="3C31B0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2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5.★项目关键指标★</w:t>
      </w:r>
      <w:r>
        <w:rPr>
          <w:rFonts w:hint="eastAsia"/>
          <w:lang w:val="en-US" w:eastAsia="zh-CN"/>
        </w:rPr>
        <w:t>：</w:t>
      </w:r>
    </w:p>
    <w:p w14:paraId="4F0E9F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5.1.详细的标准、规范的要求、主要技术参数：严格按照贵州电网公司建设要求标准结合实际，按投标人要求设计制作；</w:t>
      </w:r>
    </w:p>
    <w:p w14:paraId="69082C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5.2.项目完工后建筑垃圾必须用汽车运出施工地点，做到人走场清。</w:t>
      </w:r>
    </w:p>
    <w:p w14:paraId="5D2B81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5.3.工期要求：业主方提出需求后，乙方需在两周内完成设计、制作、安装。如有特殊时限或设计需求，乙方应该按照甲方要求时限完成。</w:t>
      </w:r>
    </w:p>
    <w:p w14:paraId="6DD20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5.4.设计要求：根据业主方提出建设需求，乙方需做出不同的设计图。</w:t>
      </w:r>
    </w:p>
    <w:p w14:paraId="6DA1CD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5.5.设备及工器具要求：所有设备及工器具经检验合格，才准进入施工场地。</w:t>
      </w:r>
    </w:p>
    <w:p w14:paraId="77CB0E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2" w:firstLineChars="200"/>
        <w:textAlignment w:val="auto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6.</w:t>
      </w:r>
      <w:r>
        <w:rPr>
          <w:rFonts w:hint="eastAsia"/>
          <w:b/>
          <w:bCs/>
        </w:rPr>
        <w:t>人员配置要求</w:t>
      </w:r>
    </w:p>
    <w:p w14:paraId="1AF526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6.1.1 人员要求</w:t>
      </w:r>
    </w:p>
    <w:p w14:paraId="7B4495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6.1.1.1投标人派出的工作人员必须具有较好的专业技能和良好的职业操守，严格遵守国家有关规定和职业道德守则的规定，认真履行职责；</w:t>
      </w:r>
    </w:p>
    <w:p w14:paraId="4A5BAC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Times New Roman" w:hAnsi="Times New Roman" w:eastAsia="宋体" w:cs="Times New Roman"/>
          <w:highlight w:val="none"/>
          <w:lang w:val="en-US" w:eastAsia="zh-CN"/>
        </w:rPr>
      </w:pPr>
      <w:r>
        <w:rPr>
          <w:rFonts w:hint="eastAsia"/>
          <w:lang w:val="en-US" w:eastAsia="zh-CN"/>
        </w:rPr>
        <w:t>6.1.1.2投标人派出的工作人员必须是具备从事改工作的有经</w:t>
      </w:r>
      <w:r>
        <w:rPr>
          <w:rFonts w:hint="eastAsia" w:ascii="Times New Roman" w:hAnsi="Times New Roman" w:eastAsia="宋体" w:cs="Times New Roman"/>
          <w:lang w:val="en-US" w:eastAsia="zh-CN"/>
        </w:rPr>
        <w:t>验的人员且</w:t>
      </w:r>
      <w:r>
        <w:rPr>
          <w:rFonts w:hint="eastAsia" w:ascii="Times New Roman" w:hAnsi="Times New Roman" w:eastAsia="宋体" w:cs="Times New Roman"/>
          <w:highlight w:val="none"/>
          <w:lang w:val="en-US" w:eastAsia="zh-CN"/>
        </w:rPr>
        <w:t>持有</w:t>
      </w:r>
      <w:r>
        <w:rPr>
          <w:rFonts w:hint="eastAsia" w:ascii="Times New Roman" w:hAnsi="Times New Roman" w:eastAsia="宋体" w:cs="Times New Roman"/>
          <w:highlight w:val="none"/>
          <w:lang w:val="zh-CN" w:eastAsia="zh-CN"/>
        </w:rPr>
        <w:t>室内设计师、</w:t>
      </w:r>
      <w:r>
        <w:rPr>
          <w:rFonts w:hint="eastAsia" w:ascii="Times New Roman" w:hAnsi="Times New Roman" w:eastAsia="宋体" w:cs="Times New Roman"/>
          <w:highlight w:val="none"/>
          <w:lang w:val="en-US" w:eastAsia="zh-CN"/>
        </w:rPr>
        <w:t>平面设计师证书；</w:t>
      </w:r>
    </w:p>
    <w:p w14:paraId="6F5CDA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6.1.1.3本项目的人员要求配置如下：项目经理1人(负责合同的签订，项目开展的时间管控、整体策划)；对接专责1人(负责设计、项目对接等)；项目对接专责1人(负责项目制作、安装和维护)。</w:t>
      </w:r>
    </w:p>
    <w:p w14:paraId="2C28B9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7.</w:t>
      </w:r>
      <w:r>
        <w:rPr>
          <w:rFonts w:hint="eastAsia"/>
          <w:b/>
          <w:bCs/>
          <w:lang w:eastAsia="zh-CN"/>
        </w:rPr>
        <w:t>人员配置信息表</w:t>
      </w:r>
    </w:p>
    <w:tbl>
      <w:tblPr>
        <w:tblStyle w:val="9"/>
        <w:tblW w:w="86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3"/>
        <w:gridCol w:w="850"/>
        <w:gridCol w:w="851"/>
        <w:gridCol w:w="1417"/>
        <w:gridCol w:w="709"/>
        <w:gridCol w:w="709"/>
        <w:gridCol w:w="1417"/>
        <w:gridCol w:w="1505"/>
      </w:tblGrid>
      <w:tr w14:paraId="4CA6B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  <w:jc w:val="center"/>
        </w:trPr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4533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编号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6EE70">
            <w:pPr>
              <w:jc w:val="center"/>
              <w:rPr>
                <w:rFonts w:hint="eastAsia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08CDA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EF428">
            <w:pPr>
              <w:jc w:val="center"/>
              <w:rPr>
                <w:rFonts w:hint="eastAsia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4891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79AC7">
            <w:pPr>
              <w:jc w:val="center"/>
              <w:rPr>
                <w:rFonts w:hint="eastAsia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DB9B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00EE3D">
            <w:pPr>
              <w:jc w:val="center"/>
              <w:rPr>
                <w:rFonts w:hint="eastAsia"/>
              </w:rPr>
            </w:pPr>
          </w:p>
        </w:tc>
      </w:tr>
      <w:tr w14:paraId="33544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20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248D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职务/职称</w:t>
            </w:r>
          </w:p>
        </w:tc>
        <w:tc>
          <w:tcPr>
            <w:tcW w:w="29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FDEFE">
            <w:pPr>
              <w:jc w:val="center"/>
              <w:rPr>
                <w:rFonts w:hint="eastAsia"/>
              </w:rPr>
            </w:pP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4DF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任务分工</w:t>
            </w:r>
          </w:p>
        </w:tc>
        <w:tc>
          <w:tcPr>
            <w:tcW w:w="1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037C3">
            <w:pPr>
              <w:jc w:val="center"/>
              <w:rPr>
                <w:rFonts w:hint="eastAsia"/>
              </w:rPr>
            </w:pPr>
          </w:p>
        </w:tc>
      </w:tr>
      <w:tr w14:paraId="54A46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4" w:hRule="atLeast"/>
          <w:jc w:val="center"/>
        </w:trPr>
        <w:tc>
          <w:tcPr>
            <w:tcW w:w="20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0FCD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主要工作经历</w:t>
            </w:r>
          </w:p>
        </w:tc>
        <w:tc>
          <w:tcPr>
            <w:tcW w:w="66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CA4C38">
            <w:pPr>
              <w:rPr>
                <w:rFonts w:hint="eastAsia"/>
              </w:rPr>
            </w:pPr>
          </w:p>
          <w:p w14:paraId="0F8F4164">
            <w:pPr>
              <w:rPr>
                <w:rFonts w:hint="eastAsia"/>
              </w:rPr>
            </w:pPr>
          </w:p>
          <w:p w14:paraId="0AD31397">
            <w:pPr>
              <w:rPr>
                <w:rFonts w:hint="eastAsia"/>
              </w:rPr>
            </w:pPr>
          </w:p>
        </w:tc>
      </w:tr>
      <w:tr w14:paraId="4A528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20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AEA3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本人确认</w:t>
            </w:r>
          </w:p>
        </w:tc>
        <w:tc>
          <w:tcPr>
            <w:tcW w:w="66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040AA">
            <w:pPr>
              <w:rPr>
                <w:rFonts w:hint="eastAsia"/>
              </w:rPr>
            </w:pPr>
            <w:r>
              <w:rPr>
                <w:rFonts w:hint="eastAsia"/>
              </w:rPr>
              <w:t>本人承诺以上资料属实，签名：</w:t>
            </w:r>
          </w:p>
        </w:tc>
      </w:tr>
    </w:tbl>
    <w:p w14:paraId="3AA425FC">
      <w:pPr>
        <w:rPr>
          <w:rFonts w:hint="eastAsia"/>
        </w:rPr>
      </w:pPr>
      <w:r>
        <w:rPr>
          <w:rFonts w:hint="eastAsia"/>
        </w:rPr>
        <w:t>备注：投标人按人员要求在投标技术文件中提供人员配置信息表，一张表格填写一个人员，并标明编号。</w:t>
      </w:r>
    </w:p>
    <w:p w14:paraId="5D2CF772"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8.</w:t>
      </w:r>
      <w:r>
        <w:rPr>
          <w:rFonts w:hint="eastAsia"/>
          <w:b/>
          <w:bCs/>
        </w:rPr>
        <w:t>中标方不允许转包、分包：</w:t>
      </w:r>
      <w:r>
        <w:rPr>
          <w:rFonts w:hint="eastAsia"/>
          <w:lang w:val="en-US" w:eastAsia="zh-CN"/>
        </w:rPr>
        <w:t>成交人不允许违规转包、分包。</w:t>
      </w:r>
    </w:p>
    <w:p w14:paraId="3041FDAE">
      <w:pPr>
        <w:ind w:firstLine="420" w:firstLineChars="200"/>
        <w:rPr>
          <w:rFonts w:hint="eastAsia"/>
        </w:rPr>
      </w:pPr>
    </w:p>
    <w:p w14:paraId="2EB75D8F">
      <w:pPr>
        <w:rPr>
          <w:lang w:val="en-US" w:eastAsia="zh-CN"/>
        </w:rPr>
      </w:pPr>
    </w:p>
    <w:p w14:paraId="2C1F5D2E">
      <w:pPr>
        <w:rPr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804D79"/>
    <w:rsid w:val="000357E2"/>
    <w:rsid w:val="000B6FE5"/>
    <w:rsid w:val="002F0B0B"/>
    <w:rsid w:val="007637F4"/>
    <w:rsid w:val="00846033"/>
    <w:rsid w:val="016F0AA6"/>
    <w:rsid w:val="02472A6A"/>
    <w:rsid w:val="03B11E1D"/>
    <w:rsid w:val="058969DF"/>
    <w:rsid w:val="06B76380"/>
    <w:rsid w:val="06C90FB6"/>
    <w:rsid w:val="07D7113E"/>
    <w:rsid w:val="08956EB5"/>
    <w:rsid w:val="0A8F10FC"/>
    <w:rsid w:val="0D79376F"/>
    <w:rsid w:val="0F804D79"/>
    <w:rsid w:val="108D4A90"/>
    <w:rsid w:val="13D11138"/>
    <w:rsid w:val="13E62E35"/>
    <w:rsid w:val="16D86A04"/>
    <w:rsid w:val="16DD2B14"/>
    <w:rsid w:val="18691217"/>
    <w:rsid w:val="1BA47E6A"/>
    <w:rsid w:val="1C631392"/>
    <w:rsid w:val="1D725739"/>
    <w:rsid w:val="1EF317E6"/>
    <w:rsid w:val="1F102B5C"/>
    <w:rsid w:val="1FD61016"/>
    <w:rsid w:val="23650CFE"/>
    <w:rsid w:val="24A73F1B"/>
    <w:rsid w:val="250E1FF6"/>
    <w:rsid w:val="25180573"/>
    <w:rsid w:val="27334FC3"/>
    <w:rsid w:val="2B003384"/>
    <w:rsid w:val="2B473D61"/>
    <w:rsid w:val="2C231370"/>
    <w:rsid w:val="2CF42924"/>
    <w:rsid w:val="2E3B3FB2"/>
    <w:rsid w:val="2FD814A0"/>
    <w:rsid w:val="318A0E4C"/>
    <w:rsid w:val="323C48F6"/>
    <w:rsid w:val="326C7CCB"/>
    <w:rsid w:val="328767F8"/>
    <w:rsid w:val="33250629"/>
    <w:rsid w:val="34DF325D"/>
    <w:rsid w:val="35733DC1"/>
    <w:rsid w:val="36906BCF"/>
    <w:rsid w:val="387B14EE"/>
    <w:rsid w:val="392D0554"/>
    <w:rsid w:val="39E11825"/>
    <w:rsid w:val="3B967EE6"/>
    <w:rsid w:val="3D6407A3"/>
    <w:rsid w:val="3E974BA8"/>
    <w:rsid w:val="403501D5"/>
    <w:rsid w:val="40CF0629"/>
    <w:rsid w:val="410E2523"/>
    <w:rsid w:val="41E719A3"/>
    <w:rsid w:val="427E2307"/>
    <w:rsid w:val="42EF6D61"/>
    <w:rsid w:val="4324404F"/>
    <w:rsid w:val="44507440"/>
    <w:rsid w:val="44784FD3"/>
    <w:rsid w:val="45891EC6"/>
    <w:rsid w:val="45971DF5"/>
    <w:rsid w:val="45D808EC"/>
    <w:rsid w:val="488238B6"/>
    <w:rsid w:val="49D43CB8"/>
    <w:rsid w:val="4BA16852"/>
    <w:rsid w:val="4C6D0D34"/>
    <w:rsid w:val="4CB66B41"/>
    <w:rsid w:val="4ED5731C"/>
    <w:rsid w:val="506A4269"/>
    <w:rsid w:val="5151508A"/>
    <w:rsid w:val="52DE294E"/>
    <w:rsid w:val="54290655"/>
    <w:rsid w:val="553C5CE7"/>
    <w:rsid w:val="55FD758F"/>
    <w:rsid w:val="562F5108"/>
    <w:rsid w:val="568E5C3E"/>
    <w:rsid w:val="581260C5"/>
    <w:rsid w:val="59577BF7"/>
    <w:rsid w:val="59F667CF"/>
    <w:rsid w:val="5AA44CE1"/>
    <w:rsid w:val="5DA950A2"/>
    <w:rsid w:val="60940AF0"/>
    <w:rsid w:val="60F17CF0"/>
    <w:rsid w:val="62FB3D96"/>
    <w:rsid w:val="648A0240"/>
    <w:rsid w:val="673855F4"/>
    <w:rsid w:val="682513F1"/>
    <w:rsid w:val="6851554A"/>
    <w:rsid w:val="69731645"/>
    <w:rsid w:val="6CBF2ACE"/>
    <w:rsid w:val="6DF91DE0"/>
    <w:rsid w:val="6E753D0F"/>
    <w:rsid w:val="6E8C4F6B"/>
    <w:rsid w:val="6FDE1F16"/>
    <w:rsid w:val="705504B3"/>
    <w:rsid w:val="71E64F4A"/>
    <w:rsid w:val="72807126"/>
    <w:rsid w:val="77D71596"/>
    <w:rsid w:val="7AE2097E"/>
    <w:rsid w:val="7BE20509"/>
    <w:rsid w:val="7C7A4BE6"/>
    <w:rsid w:val="7CE01548"/>
    <w:rsid w:val="7E88183C"/>
    <w:rsid w:val="7EBB3EF3"/>
    <w:rsid w:val="7FE1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0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6">
    <w:name w:val="Body Text"/>
    <w:basedOn w:val="7"/>
    <w:next w:val="7"/>
    <w:qFormat/>
    <w:uiPriority w:val="0"/>
    <w:pPr>
      <w:widowControl/>
      <w:spacing w:after="120" w:line="276" w:lineRule="auto"/>
      <w:jc w:val="left"/>
    </w:pPr>
    <w:rPr>
      <w:rFonts w:ascii="Calibri" w:hAnsi="Calibri" w:eastAsia="宋体" w:cs="Times New Roman"/>
      <w:kern w:val="0"/>
      <w:sz w:val="22"/>
      <w:lang w:val="zh-CN" w:eastAsia="en-US" w:bidi="en-US"/>
    </w:rPr>
  </w:style>
  <w:style w:type="paragraph" w:styleId="7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  <w:szCs w:val="32"/>
    </w:r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2359</Words>
  <Characters>2526</Characters>
  <Lines>0</Lines>
  <Paragraphs>0</Paragraphs>
  <TotalTime>0</TotalTime>
  <ScaleCrop>false</ScaleCrop>
  <LinksUpToDate>false</LinksUpToDate>
  <CharactersWithSpaces>2568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2021-03-08T02:37:00Z</dcterms:created>
  <dc:creator>黄顺丽</dc:creator>
  <cp:lastModifiedBy>甘红玲</cp:lastModifiedBy>
  <cp:lastPrinted>2025-03-31T00:46:00Z</cp:lastPrinted>
  <dcterms:modified xsi:type="dcterms:W3CDTF">2025-11-19T07:06:17Z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CF150F1A6E634DCEB68D15B5FC9C648E</vt:lpwstr>
  </property>
  <property fmtid="{D5CDD505-2E9C-101B-9397-08002B2CF9AE}" pid="4" name="KSOTemplateDocerSaveRecord">
    <vt:lpwstr>eyJoZGlkIjoiOTI1YTMzZDdiZmIzZGQ2ZGUzN2UxMjc1NzQzYjIyMzIiLCJ1c2VySWQiOiIyODkwMzQ5MjAifQ==</vt:lpwstr>
  </property>
</Properties>
</file>