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highlight w:val="none"/>
        </w:rPr>
      </w:pPr>
    </w:p>
    <w:p>
      <w:pPr>
        <w:jc w:val="center"/>
        <w:rPr>
          <w:rFonts w:hint="eastAsia" w:ascii="微软雅黑" w:hAnsi="微软雅黑" w:eastAsia="微软雅黑" w:cs="微软雅黑"/>
          <w:b/>
          <w:bCs/>
          <w:sz w:val="30"/>
          <w:szCs w:val="30"/>
          <w:highlight w:val="none"/>
        </w:rPr>
      </w:pPr>
      <w:r>
        <w:rPr>
          <w:rFonts w:hint="eastAsia" w:ascii="微软雅黑" w:hAnsi="微软雅黑" w:eastAsia="微软雅黑" w:cs="微软雅黑"/>
          <w:b/>
          <w:bCs/>
          <w:sz w:val="30"/>
          <w:szCs w:val="30"/>
          <w:highlight w:val="none"/>
        </w:rPr>
        <w:t>一种智能的数据网设备巡视工具</w:t>
      </w:r>
      <w:r>
        <w:rPr>
          <w:rFonts w:hint="eastAsia" w:ascii="微软雅黑" w:hAnsi="微软雅黑" w:eastAsia="微软雅黑" w:cs="微软雅黑"/>
          <w:b/>
          <w:bCs/>
          <w:sz w:val="30"/>
          <w:szCs w:val="30"/>
          <w:highlight w:val="none"/>
          <w:lang w:val="en-US" w:eastAsia="zh-CN"/>
        </w:rPr>
        <w:t>加工测试服务</w:t>
      </w:r>
      <w:r>
        <w:rPr>
          <w:rFonts w:hint="eastAsia" w:ascii="微软雅黑" w:hAnsi="微软雅黑" w:eastAsia="微软雅黑" w:cs="微软雅黑"/>
          <w:b/>
          <w:bCs/>
          <w:sz w:val="30"/>
          <w:szCs w:val="30"/>
          <w:highlight w:val="none"/>
        </w:rPr>
        <w:t>采购技术要求</w:t>
      </w:r>
    </w:p>
    <w:p>
      <w:pPr>
        <w:jc w:val="center"/>
        <w:rPr>
          <w:rFonts w:hint="default" w:ascii="微软雅黑" w:hAnsi="微软雅黑" w:eastAsia="微软雅黑" w:cs="微软雅黑"/>
          <w:b/>
          <w:bCs/>
          <w:sz w:val="30"/>
          <w:szCs w:val="30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30"/>
          <w:szCs w:val="30"/>
          <w:highlight w:val="none"/>
        </w:rPr>
        <w:t>承办部门：</w:t>
      </w:r>
      <w:r>
        <w:rPr>
          <w:rFonts w:hint="eastAsia" w:ascii="微软雅黑" w:hAnsi="微软雅黑" w:eastAsia="微软雅黑" w:cs="微软雅黑"/>
          <w:b/>
          <w:bCs/>
          <w:sz w:val="30"/>
          <w:szCs w:val="30"/>
          <w:highlight w:val="none"/>
          <w:lang w:val="en-US" w:eastAsia="zh-CN"/>
        </w:rPr>
        <w:t>河源</w:t>
      </w:r>
      <w:r>
        <w:rPr>
          <w:rFonts w:hint="eastAsia" w:ascii="微软雅黑" w:hAnsi="微软雅黑" w:eastAsia="微软雅黑" w:cs="微软雅黑"/>
          <w:b/>
          <w:bCs/>
          <w:sz w:val="30"/>
          <w:szCs w:val="30"/>
          <w:highlight w:val="none"/>
        </w:rPr>
        <w:t>供电局</w:t>
      </w:r>
      <w:r>
        <w:rPr>
          <w:rFonts w:hint="eastAsia" w:ascii="微软雅黑" w:hAnsi="微软雅黑" w:eastAsia="微软雅黑" w:cs="微软雅黑"/>
          <w:b/>
          <w:bCs/>
          <w:sz w:val="30"/>
          <w:szCs w:val="30"/>
          <w:highlight w:val="none"/>
          <w:lang w:val="en-US" w:eastAsia="zh-CN"/>
        </w:rPr>
        <w:t>电力调度控制中心</w:t>
      </w:r>
    </w:p>
    <w:p>
      <w:pPr>
        <w:pStyle w:val="3"/>
        <w:ind w:left="579" w:hanging="579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一、总则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用于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河源</w:t>
      </w:r>
      <w:r>
        <w:rPr>
          <w:rFonts w:hint="eastAsia" w:ascii="宋体" w:hAnsi="宋体" w:eastAsia="宋体" w:cs="宋体"/>
          <w:sz w:val="24"/>
          <w:highlight w:val="none"/>
        </w:rPr>
        <w:t>供电局职工创新项目一种智能的数据网设备巡视工具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测试服务采购</w:t>
      </w:r>
      <w:r>
        <w:rPr>
          <w:rFonts w:hint="eastAsia" w:ascii="宋体" w:hAnsi="宋体" w:eastAsia="宋体" w:cs="宋体"/>
          <w:sz w:val="24"/>
          <w:highlight w:val="none"/>
        </w:rPr>
        <w:t>技术要求文件，适用于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河源</w:t>
      </w:r>
      <w:r>
        <w:rPr>
          <w:rFonts w:hint="eastAsia" w:ascii="宋体" w:hAnsi="宋体" w:eastAsia="宋体" w:cs="宋体"/>
          <w:sz w:val="24"/>
          <w:highlight w:val="none"/>
        </w:rPr>
        <w:t>供电局职工创新项目一种智能的数据网设备巡视工具（项目编码：GDZC202404150012）加工测试服务采购，最终解释权归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河源</w:t>
      </w:r>
      <w:r>
        <w:rPr>
          <w:rFonts w:hint="eastAsia" w:ascii="宋体" w:hAnsi="宋体" w:eastAsia="宋体" w:cs="宋体"/>
          <w:sz w:val="24"/>
          <w:highlight w:val="none"/>
        </w:rPr>
        <w:t>供电局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电力调度控制中心</w:t>
      </w:r>
      <w:r>
        <w:rPr>
          <w:rFonts w:hint="eastAsia" w:ascii="宋体" w:hAnsi="宋体" w:eastAsia="宋体" w:cs="宋体"/>
          <w:sz w:val="24"/>
          <w:highlight w:val="none"/>
        </w:rPr>
        <w:t>。</w:t>
      </w:r>
    </w:p>
    <w:p>
      <w:pPr>
        <w:pStyle w:val="3"/>
        <w:ind w:left="579" w:hanging="579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二、范围</w:t>
      </w:r>
    </w:p>
    <w:p>
      <w:pPr>
        <w:ind w:firstLine="280" w:firstLineChars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一种智能的数据网设备巡视工具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下文简称“巡视工具”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是一款后台运行的自动化巡检工具，能够替代现有的人工巡检方式。它通过SNMP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协议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，自动执行一系列预定义的巡检命令，收集设备状态信息，并生成结构化的巡检报告。</w:t>
      </w:r>
    </w:p>
    <w:p>
      <w:pPr>
        <w:rPr>
          <w:rFonts w:hint="eastAsia" w:ascii="宋体" w:hAnsi="宋体" w:eastAsia="宋体" w:cs="宋体"/>
          <w:sz w:val="24"/>
          <w:szCs w:val="24"/>
          <w:highlight w:val="none"/>
        </w:rPr>
      </w:pPr>
    </w:p>
    <w:p>
      <w:pPr>
        <w:pStyle w:val="3"/>
        <w:ind w:left="579" w:hanging="579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bookmarkStart w:id="0" w:name="_Toc401347539"/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三、定义、首字母与缩略语</w:t>
      </w:r>
      <w:bookmarkEnd w:id="0"/>
    </w:p>
    <w:p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0" w:after="0" w:afterAutospacing="0"/>
        <w:ind w:left="420" w:leftChars="0" w:right="0" w:hanging="420" w:firstLineChars="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Style w:val="12"/>
          <w:rFonts w:hint="eastAsia" w:ascii="宋体" w:hAnsi="宋体" w:eastAsia="宋体" w:cs="宋体"/>
          <w:b/>
          <w:bCs/>
          <w:i w:val="0"/>
          <w:iCs w:val="0"/>
          <w:caps w:val="0"/>
          <w:color w:val="0F1115"/>
          <w:spacing w:val="0"/>
          <w:sz w:val="24"/>
          <w:szCs w:val="24"/>
          <w:highlight w:val="none"/>
          <w:shd w:val="clear" w:fill="FFFFFF"/>
        </w:rPr>
        <w:t>SRS：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软件需求规格说明书</w:t>
      </w:r>
    </w:p>
    <w:p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0" w:after="0" w:afterAutospacing="0"/>
        <w:ind w:left="420" w:leftChars="0" w:right="0" w:hanging="420" w:firstLineChars="0"/>
        <w:jc w:val="left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Style w:val="12"/>
          <w:rFonts w:hint="eastAsia" w:ascii="宋体" w:hAnsi="宋体" w:eastAsia="宋体" w:cs="宋体"/>
          <w:b/>
          <w:bCs/>
          <w:i w:val="0"/>
          <w:iCs w:val="0"/>
          <w:caps w:val="0"/>
          <w:color w:val="0F1115"/>
          <w:spacing w:val="0"/>
          <w:sz w:val="24"/>
          <w:szCs w:val="24"/>
          <w:highlight w:val="none"/>
          <w:shd w:val="clear" w:fill="FFFFFF"/>
          <w:lang w:val="en-US" w:eastAsia="zh-CN"/>
        </w:rPr>
        <w:t>SNMP</w:t>
      </w:r>
      <w:r>
        <w:rPr>
          <w:rStyle w:val="12"/>
          <w:rFonts w:hint="eastAsia" w:ascii="宋体" w:hAnsi="宋体" w:eastAsia="宋体" w:cs="宋体"/>
          <w:b/>
          <w:bCs/>
          <w:i w:val="0"/>
          <w:iCs w:val="0"/>
          <w:caps w:val="0"/>
          <w:color w:val="0F1115"/>
          <w:spacing w:val="0"/>
          <w:sz w:val="24"/>
          <w:szCs w:val="24"/>
          <w:highlight w:val="none"/>
          <w:shd w:val="clear" w:fill="FFFFFF"/>
        </w:rPr>
        <w:t>：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简单网络管理协议</w:t>
      </w:r>
    </w:p>
    <w:p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0" w:after="0" w:afterAutospacing="0"/>
        <w:ind w:left="420" w:leftChars="0" w:right="0" w:hanging="420" w:firstLineChars="0"/>
        <w:jc w:val="left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Style w:val="12"/>
          <w:rFonts w:hint="eastAsia" w:ascii="宋体" w:hAnsi="宋体" w:eastAsia="宋体" w:cs="宋体"/>
          <w:b/>
          <w:bCs/>
          <w:i w:val="0"/>
          <w:iCs w:val="0"/>
          <w:caps w:val="0"/>
          <w:color w:val="0F1115"/>
          <w:spacing w:val="0"/>
          <w:sz w:val="24"/>
          <w:szCs w:val="24"/>
          <w:highlight w:val="none"/>
          <w:shd w:val="clear" w:fill="FFFFFF"/>
        </w:rPr>
        <w:t>OSPF：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开放最短路径优先协议</w:t>
      </w:r>
    </w:p>
    <w:p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0" w:after="0" w:afterAutospacing="0"/>
        <w:ind w:left="420" w:leftChars="0" w:right="0" w:hanging="420" w:firstLineChars="0"/>
        <w:jc w:val="left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Style w:val="12"/>
          <w:rFonts w:hint="eastAsia" w:ascii="宋体" w:hAnsi="宋体" w:eastAsia="宋体" w:cs="宋体"/>
          <w:b/>
          <w:bCs/>
          <w:i w:val="0"/>
          <w:iCs w:val="0"/>
          <w:caps w:val="0"/>
          <w:color w:val="0F1115"/>
          <w:spacing w:val="0"/>
          <w:sz w:val="24"/>
          <w:szCs w:val="24"/>
          <w:highlight w:val="none"/>
          <w:shd w:val="clear" w:fill="FFFFFF"/>
        </w:rPr>
        <w:t>BGP：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边界网关协议</w:t>
      </w:r>
    </w:p>
    <w:p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0" w:after="0" w:afterAutospacing="0"/>
        <w:ind w:left="420" w:leftChars="0" w:right="0" w:hanging="420" w:firstLineChars="0"/>
        <w:jc w:val="left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Style w:val="12"/>
          <w:rFonts w:hint="eastAsia" w:ascii="宋体" w:hAnsi="宋体" w:eastAsia="宋体" w:cs="宋体"/>
          <w:b/>
          <w:bCs/>
          <w:i w:val="0"/>
          <w:iCs w:val="0"/>
          <w:caps w:val="0"/>
          <w:color w:val="0F1115"/>
          <w:spacing w:val="0"/>
          <w:sz w:val="24"/>
          <w:szCs w:val="24"/>
          <w:highlight w:val="none"/>
          <w:shd w:val="clear" w:fill="FFFFFF"/>
        </w:rPr>
        <w:t>CPU：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中央处理器</w:t>
      </w:r>
    </w:p>
    <w:p>
      <w:pPr>
        <w:rPr>
          <w:rFonts w:hint="eastAsia" w:ascii="宋体" w:hAnsi="宋体" w:eastAsia="宋体" w:cs="宋体"/>
          <w:sz w:val="24"/>
          <w:szCs w:val="24"/>
          <w:highlight w:val="none"/>
        </w:rPr>
      </w:pPr>
    </w:p>
    <w:p>
      <w:pPr>
        <w:pStyle w:val="3"/>
        <w:ind w:left="579" w:hanging="579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bookmarkStart w:id="1" w:name="_Toc1006264790"/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四、文档概览</w:t>
      </w:r>
      <w:bookmarkEnd w:id="1"/>
    </w:p>
    <w:p>
      <w:pPr>
        <w:ind w:firstLine="280" w:firstLineChars="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本文档其余部分的结构如下：第2节提供产品的总体描述；第3节详细列出所有具体需求。</w:t>
      </w:r>
    </w:p>
    <w:p>
      <w:pPr>
        <w:ind w:firstLine="280" w:firstLineChars="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bookmarkStart w:id="2" w:name="_Toc1819713891"/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1总体描述</w:t>
      </w:r>
      <w:bookmarkEnd w:id="2"/>
    </w:p>
    <w:p>
      <w:pPr>
        <w:ind w:left="579" w:hanging="579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bookmarkStart w:id="3" w:name="_Toc67074333"/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1.1产品功能</w:t>
      </w:r>
      <w:bookmarkEnd w:id="3"/>
    </w:p>
    <w:p>
      <w:pPr>
        <w:ind w:firstLine="280" w:firstLineChars="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巡视工具是一个独立的自动化运维工具，是现有网络管理系统和人工运维流程的补充与增强。它不替代网络网管系统，而是专注于执行定期的设备状态与配置检查。</w:t>
      </w:r>
    </w:p>
    <w:p>
      <w:pPr>
        <w:ind w:firstLine="280" w:firstLineChars="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巡视工具主要功能摘要如下：</w:t>
      </w:r>
    </w:p>
    <w:p>
      <w:pPr>
        <w:numPr>
          <w:ilvl w:val="0"/>
          <w:numId w:val="3"/>
        </w:numPr>
        <w:ind w:left="420" w:leftChars="0" w:hanging="420" w:firstLineChars="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协议适配： 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支持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SNMP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协议</w:t>
      </w:r>
    </w:p>
    <w:p>
      <w:pPr>
        <w:numPr>
          <w:ilvl w:val="0"/>
          <w:numId w:val="3"/>
        </w:numPr>
        <w:ind w:left="420" w:leftChars="0" w:hanging="420" w:firstLineChars="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自动化巡检执行： 按年、季、周计划自动执行巡检任务。</w:t>
      </w:r>
    </w:p>
    <w:p>
      <w:pPr>
        <w:numPr>
          <w:ilvl w:val="0"/>
          <w:numId w:val="3"/>
        </w:numPr>
        <w:ind w:left="420" w:leftChars="0" w:hanging="420" w:firstLineChars="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设备检查： 检查设备硬件、软件、服务、协议状态等检查项。</w:t>
      </w:r>
    </w:p>
    <w:p>
      <w:pPr>
        <w:numPr>
          <w:ilvl w:val="0"/>
          <w:numId w:val="3"/>
        </w:numPr>
        <w:ind w:left="420" w:leftChars="0" w:hanging="420" w:firstLineChars="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报告生成： 自动生成巡检报告。</w:t>
      </w:r>
    </w:p>
    <w:p>
      <w:pPr>
        <w:numPr>
          <w:ilvl w:val="0"/>
          <w:numId w:val="3"/>
        </w:numPr>
        <w:ind w:left="420" w:leftChars="0" w:hanging="420" w:firstLineChars="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调度与执行： 具备任务调度功能，可在指定时间运行。</w:t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</w:p>
    <w:p>
      <w:pPr>
        <w:ind w:left="579" w:hanging="579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bookmarkStart w:id="4" w:name="_Toc2047311128"/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1.2约束</w:t>
      </w:r>
      <w:bookmarkEnd w:id="4"/>
    </w:p>
    <w:p>
      <w:pPr>
        <w:numPr>
          <w:ilvl w:val="0"/>
          <w:numId w:val="4"/>
        </w:numPr>
        <w:ind w:left="420" w:leftChars="0" w:hanging="420" w:firstLineChars="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巡视工具通过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SNMP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协议与网络设备进行通信。</w:t>
      </w:r>
    </w:p>
    <w:p>
      <w:pPr>
        <w:numPr>
          <w:ilvl w:val="0"/>
          <w:numId w:val="4"/>
        </w:numPr>
        <w:ind w:left="420" w:leftChars="0" w:hanging="420" w:firstLineChars="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巡视工具在目标设备支持并且做了适配的情况下进行巡检。</w:t>
      </w:r>
    </w:p>
    <w:p>
      <w:pPr>
        <w:numPr>
          <w:ilvl w:val="0"/>
          <w:numId w:val="4"/>
        </w:numPr>
        <w:ind w:left="420" w:leftChars="0" w:hanging="420" w:firstLineChars="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巡视工具为使用C++语言进行开发的客户端，需安装在电脑上，兼容Win7、Win10、Win11。</w:t>
      </w:r>
    </w:p>
    <w:p>
      <w:pPr>
        <w:numPr>
          <w:ilvl w:val="0"/>
          <w:numId w:val="4"/>
        </w:numPr>
        <w:ind w:left="420" w:leftChars="0" w:hanging="420" w:firstLineChars="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巡视工具运行环境需具备稳定的网络连接，能够访问被巡检的网络设备。</w:t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</w:p>
    <w:p>
      <w:pPr>
        <w:ind w:left="579" w:hanging="579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bookmarkStart w:id="5" w:name="_Toc1820994659"/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1.3前提条件和依赖关系</w:t>
      </w:r>
      <w:bookmarkEnd w:id="5"/>
    </w:p>
    <w:p>
      <w:pPr>
        <w:numPr>
          <w:ilvl w:val="0"/>
          <w:numId w:val="5"/>
        </w:numPr>
        <w:ind w:left="420" w:leftChars="0" w:hanging="420" w:firstLineChars="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目标网络设备支持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SNMP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协议并正确配置。</w:t>
      </w:r>
    </w:p>
    <w:p>
      <w:pPr>
        <w:numPr>
          <w:ilvl w:val="0"/>
          <w:numId w:val="5"/>
        </w:numPr>
        <w:ind w:left="420" w:leftChars="0" w:hanging="420" w:firstLineChars="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工具所运行的环境拥有足够的权限能访问到被巡检设备。</w:t>
      </w:r>
    </w:p>
    <w:p>
      <w:pPr>
        <w:numPr>
          <w:ilvl w:val="0"/>
          <w:numId w:val="5"/>
        </w:numPr>
        <w:ind w:left="420" w:leftChars="0" w:hanging="420" w:firstLineChars="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目标设备支持本工具所执行的巡检协议和命令。</w:t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bookmarkStart w:id="6" w:name="_Toc1432406627"/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2具体需求</w:t>
      </w:r>
      <w:bookmarkEnd w:id="6"/>
    </w:p>
    <w:p>
      <w:pPr>
        <w:ind w:firstLine="280" w:firstLineChars="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本节详细描述了系统的功能需求，按功能模块进行组织。</w:t>
      </w:r>
    </w:p>
    <w:p>
      <w:pPr>
        <w:ind w:firstLine="280" w:firstLineChars="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</w:p>
    <w:p>
      <w:pPr>
        <w:ind w:left="579" w:hanging="579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bookmarkStart w:id="7" w:name="_Toc1680126529"/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2.1设备管理与适配需求</w:t>
      </w:r>
      <w:bookmarkEnd w:id="7"/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1"/>
        <w:gridCol w:w="7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3" w:type="dxa"/>
            <w:shd w:val="clear" w:color="auto" w:fill="D8D8D8" w:themeFill="background1" w:themeFillShade="D9"/>
          </w:tcPr>
          <w:p>
            <w:pPr>
              <w:spacing w:line="276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eastAsia="zh-CN"/>
              </w:rPr>
              <w:t>需求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  <w:t>ID</w:t>
            </w:r>
          </w:p>
        </w:tc>
        <w:tc>
          <w:tcPr>
            <w:tcW w:w="7535" w:type="dxa"/>
            <w:shd w:val="clear" w:color="auto" w:fill="D8D8D8" w:themeFill="background1" w:themeFillShade="D9"/>
          </w:tcPr>
          <w:p>
            <w:pPr>
              <w:spacing w:line="276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eastAsia="zh-CN"/>
              </w:rPr>
              <w:t>需求描述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13" w:type="dxa"/>
          </w:tcPr>
          <w:p>
            <w:pPr>
              <w:spacing w:line="276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DEV.001</w:t>
            </w:r>
          </w:p>
        </w:tc>
        <w:tc>
          <w:tcPr>
            <w:tcW w:w="7535" w:type="dxa"/>
          </w:tcPr>
          <w:p>
            <w:pPr>
              <w:spacing w:line="276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巡视工具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应允许用户添加、编辑和删除待巡检的网络设备。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3" w:type="dxa"/>
          </w:tcPr>
          <w:p>
            <w:pPr>
              <w:spacing w:line="276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DEV.00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7535" w:type="dxa"/>
          </w:tcPr>
          <w:p>
            <w:pPr>
              <w:spacing w:line="276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对于每台设备，工具应能存储并管理以下信息：IP地址、设备型号、厂商、登录凭证（用户名/密码）。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3" w:type="dxa"/>
          </w:tcPr>
          <w:p>
            <w:pPr>
              <w:spacing w:line="276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DEV.00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7535" w:type="dxa"/>
          </w:tcPr>
          <w:p>
            <w:pPr>
              <w:spacing w:line="276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巡视工具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应允许用户手动为设备选择并加载对应的协议和巡检项。</w:t>
            </w:r>
          </w:p>
        </w:tc>
      </w:tr>
    </w:tbl>
    <w:p>
      <w:pPr>
        <w:ind w:firstLine="280" w:firstLineChars="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</w:p>
    <w:p>
      <w:pPr>
        <w:ind w:left="579" w:hanging="579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bookmarkStart w:id="8" w:name="_Toc1766560717"/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2.2巡检任务调度与执行需求</w:t>
      </w:r>
      <w:bookmarkEnd w:id="8"/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8"/>
        <w:gridCol w:w="71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3" w:type="dxa"/>
            <w:shd w:val="clear" w:color="auto" w:fill="D8D8D8" w:themeFill="background1" w:themeFillShade="D9"/>
          </w:tcPr>
          <w:p>
            <w:pPr>
              <w:spacing w:line="276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eastAsia="zh-CN"/>
              </w:rPr>
              <w:t>需求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  <w:t>ID</w:t>
            </w:r>
          </w:p>
        </w:tc>
        <w:tc>
          <w:tcPr>
            <w:tcW w:w="7535" w:type="dxa"/>
            <w:shd w:val="clear" w:color="auto" w:fill="D8D8D8" w:themeFill="background1" w:themeFillShade="D9"/>
          </w:tcPr>
          <w:p>
            <w:pPr>
              <w:spacing w:line="276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eastAsia="zh-CN"/>
              </w:rPr>
              <w:t>需求描述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TASK.001</w:t>
            </w:r>
          </w:p>
        </w:tc>
        <w:tc>
          <w:tcPr>
            <w:tcW w:w="7535" w:type="dxa"/>
            <w:vAlign w:val="center"/>
          </w:tcPr>
          <w:p>
            <w:pPr>
              <w:spacing w:line="276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巡视工具应允许用户创建巡检任务，并为任务指定执行周期（年、季、周）和具体执行时间。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TASK.002</w:t>
            </w:r>
          </w:p>
        </w:tc>
        <w:tc>
          <w:tcPr>
            <w:tcW w:w="7535" w:type="dxa"/>
            <w:vAlign w:val="center"/>
          </w:tcPr>
          <w:p>
            <w:pPr>
              <w:spacing w:line="276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巡视工具应提供一个任务调度器，能够自动在预定时间触发巡检任务的执行。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TASK.003</w:t>
            </w:r>
          </w:p>
        </w:tc>
        <w:tc>
          <w:tcPr>
            <w:tcW w:w="7535" w:type="dxa"/>
            <w:vAlign w:val="center"/>
          </w:tcPr>
          <w:p>
            <w:pPr>
              <w:spacing w:line="276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巡视工具应支持手动立即执行单次巡检任务。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bookmarkStart w:id="9" w:name="_Toc720827252"/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2.3核心巡检功能需求</w:t>
      </w:r>
      <w:bookmarkEnd w:id="9"/>
    </w:p>
    <w:p>
      <w:pP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以下巡检项均在设备有并且支持的情况才会执行</w:t>
      </w:r>
    </w:p>
    <w:tbl>
      <w:tblPr>
        <w:tblStyle w:val="10"/>
        <w:tblW w:w="91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7"/>
        <w:gridCol w:w="1573"/>
        <w:gridCol w:w="60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7" w:type="dxa"/>
            <w:shd w:val="clear" w:color="auto" w:fill="D8D8D8" w:themeFill="background1" w:themeFillShade="D9"/>
          </w:tcPr>
          <w:p>
            <w:pPr>
              <w:spacing w:line="276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eastAsia="zh-CN"/>
              </w:rPr>
              <w:t>需求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  <w:t>ID</w:t>
            </w:r>
          </w:p>
        </w:tc>
        <w:tc>
          <w:tcPr>
            <w:tcW w:w="1573" w:type="dxa"/>
            <w:shd w:val="clear" w:color="auto" w:fill="D8D8D8" w:themeFill="background1" w:themeFillShade="D9"/>
          </w:tcPr>
          <w:p>
            <w:pPr>
              <w:tabs>
                <w:tab w:val="left" w:pos="480"/>
              </w:tabs>
              <w:spacing w:line="276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eastAsia="zh-CN"/>
              </w:rPr>
              <w:t>需求名称</w:t>
            </w:r>
          </w:p>
        </w:tc>
        <w:tc>
          <w:tcPr>
            <w:tcW w:w="6072" w:type="dxa"/>
            <w:shd w:val="clear" w:color="auto" w:fill="D8D8D8" w:themeFill="background1" w:themeFillShade="D9"/>
          </w:tcPr>
          <w:p>
            <w:pPr>
              <w:spacing w:line="276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eastAsia="zh-CN"/>
              </w:rPr>
              <w:t>需求描述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CHK.001</w:t>
            </w:r>
          </w:p>
        </w:tc>
        <w:tc>
          <w:tcPr>
            <w:tcW w:w="157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检查路由器时间</w:t>
            </w:r>
          </w:p>
        </w:tc>
        <w:tc>
          <w:tcPr>
            <w:tcW w:w="6072" w:type="dxa"/>
            <w:vAlign w:val="center"/>
          </w:tcPr>
          <w:p>
            <w:pPr>
              <w:spacing w:line="276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工具应能获取设备系统时间，并与标准时间源进行比对，判断时间是否准确。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CHK.002</w:t>
            </w:r>
          </w:p>
        </w:tc>
        <w:tc>
          <w:tcPr>
            <w:tcW w:w="157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检查路由器软件版本</w:t>
            </w:r>
          </w:p>
        </w:tc>
        <w:tc>
          <w:tcPr>
            <w:tcW w:w="6072" w:type="dxa"/>
            <w:vAlign w:val="center"/>
          </w:tcPr>
          <w:p>
            <w:pPr>
              <w:spacing w:line="276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获取并记录当前设备软件版本。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CHK.003</w:t>
            </w:r>
          </w:p>
        </w:tc>
        <w:tc>
          <w:tcPr>
            <w:tcW w:w="157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检查端口状态</w:t>
            </w:r>
          </w:p>
        </w:tc>
        <w:tc>
          <w:tcPr>
            <w:tcW w:w="6072" w:type="dxa"/>
            <w:vAlign w:val="center"/>
          </w:tcPr>
          <w:p>
            <w:pPr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检查TCP监听端口是否存在高危端口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CHK.004</w:t>
            </w:r>
          </w:p>
        </w:tc>
        <w:tc>
          <w:tcPr>
            <w:tcW w:w="157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检查登录限制</w:t>
            </w:r>
          </w:p>
        </w:tc>
        <w:tc>
          <w:tcPr>
            <w:tcW w:w="607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检查是否建立访问控制列表对远程访问白名单做限制并调用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CHK.005</w:t>
            </w:r>
          </w:p>
        </w:tc>
        <w:tc>
          <w:tcPr>
            <w:tcW w:w="157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检查Telnet</w:t>
            </w:r>
          </w:p>
        </w:tc>
        <w:tc>
          <w:tcPr>
            <w:tcW w:w="6072" w:type="dxa"/>
            <w:vAlign w:val="center"/>
          </w:tcPr>
          <w:p>
            <w:pPr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检查是否关闭Telnet登录方式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CHK.006</w:t>
            </w:r>
          </w:p>
        </w:tc>
        <w:tc>
          <w:tcPr>
            <w:tcW w:w="157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检查新站上联链路</w:t>
            </w:r>
          </w:p>
        </w:tc>
        <w:tc>
          <w:tcPr>
            <w:tcW w:w="607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检查两个协议邻居状态是否成功建立连接，检查接口物理状态是否UP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CHK.007</w:t>
            </w:r>
          </w:p>
        </w:tc>
        <w:tc>
          <w:tcPr>
            <w:tcW w:w="157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查看CPU状态</w:t>
            </w:r>
          </w:p>
        </w:tc>
        <w:tc>
          <w:tcPr>
            <w:tcW w:w="6072" w:type="dxa"/>
            <w:vAlign w:val="center"/>
          </w:tcPr>
          <w:p>
            <w:pPr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获取设备CPU利用率，并判断是否超过设定的安全阈值（如80%）。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CHK.008</w:t>
            </w:r>
          </w:p>
        </w:tc>
        <w:tc>
          <w:tcPr>
            <w:tcW w:w="157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查看内存状态</w:t>
            </w:r>
          </w:p>
        </w:tc>
        <w:tc>
          <w:tcPr>
            <w:tcW w:w="607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获取设备内存利用率，并判断其是否超过设定的安全阈值（如70%）。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CHK.009</w:t>
            </w:r>
          </w:p>
        </w:tc>
        <w:tc>
          <w:tcPr>
            <w:tcW w:w="157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查看板卡状态</w:t>
            </w:r>
          </w:p>
        </w:tc>
        <w:tc>
          <w:tcPr>
            <w:tcW w:w="607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检查在用板卡状态是否注册成功并且状态正常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CHK.010</w:t>
            </w:r>
          </w:p>
        </w:tc>
        <w:tc>
          <w:tcPr>
            <w:tcW w:w="157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查看风扇状态</w:t>
            </w:r>
          </w:p>
        </w:tc>
        <w:tc>
          <w:tcPr>
            <w:tcW w:w="607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检查设备风扇模块的状态是否正常运行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CHK.011</w:t>
            </w:r>
          </w:p>
        </w:tc>
        <w:tc>
          <w:tcPr>
            <w:tcW w:w="157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查看电源状态</w:t>
            </w:r>
          </w:p>
        </w:tc>
        <w:tc>
          <w:tcPr>
            <w:tcW w:w="607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检查电源模块是否注册成功并且状态正常，每一路电源供电的摘要信息有所体现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CHK.012</w:t>
            </w:r>
          </w:p>
        </w:tc>
        <w:tc>
          <w:tcPr>
            <w:tcW w:w="157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查看设备温度</w:t>
            </w:r>
          </w:p>
        </w:tc>
        <w:tc>
          <w:tcPr>
            <w:tcW w:w="607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检查设备当前温度，并判断其是否在预设的正常范围内。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CHK.013</w:t>
            </w:r>
          </w:p>
        </w:tc>
        <w:tc>
          <w:tcPr>
            <w:tcW w:w="157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查看OSPF邻居</w:t>
            </w:r>
          </w:p>
        </w:tc>
        <w:tc>
          <w:tcPr>
            <w:tcW w:w="607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检查两个协议邻居状态是否成功建立连接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CHK.014</w:t>
            </w:r>
          </w:p>
        </w:tc>
        <w:tc>
          <w:tcPr>
            <w:tcW w:w="157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查看BGP协议与路由</w:t>
            </w:r>
          </w:p>
        </w:tc>
        <w:tc>
          <w:tcPr>
            <w:tcW w:w="607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检查两个协议邻居状态是否成功建立连接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</w:p>
    <w:p>
      <w:pPr>
        <w:rPr>
          <w:rFonts w:hint="default" w:ascii="Arial" w:hAnsi="Arial"/>
          <w:sz w:val="24"/>
          <w:szCs w:val="24"/>
          <w:highlight w:val="none"/>
          <w:lang w:val="en-US" w:eastAsia="zh-CN"/>
        </w:rPr>
      </w:pPr>
      <w:bookmarkStart w:id="10" w:name="_Toc1137090722"/>
      <w:r>
        <w:rPr>
          <w:rFonts w:hint="eastAsia" w:ascii="Arial" w:hAnsi="Arial"/>
          <w:sz w:val="24"/>
          <w:szCs w:val="24"/>
          <w:highlight w:val="none"/>
          <w:lang w:val="en-US" w:eastAsia="zh-CN"/>
        </w:rPr>
        <w:t>2.4生成报告需求</w:t>
      </w:r>
      <w:bookmarkEnd w:id="10"/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1"/>
        <w:gridCol w:w="7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3" w:type="dxa"/>
            <w:shd w:val="clear" w:color="auto" w:fill="D8D8D8" w:themeFill="background1" w:themeFillShade="D9"/>
          </w:tcPr>
          <w:p>
            <w:pPr>
              <w:spacing w:line="276" w:lineRule="auto"/>
              <w:jc w:val="center"/>
              <w:rPr>
                <w:rFonts w:hint="default" w:eastAsia="宋体"/>
                <w:b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b/>
                <w:sz w:val="21"/>
                <w:szCs w:val="21"/>
                <w:highlight w:val="none"/>
                <w:lang w:eastAsia="zh-CN"/>
              </w:rPr>
              <w:t>需求</w:t>
            </w:r>
            <w:r>
              <w:rPr>
                <w:rFonts w:hint="eastAsia"/>
                <w:b/>
                <w:sz w:val="21"/>
                <w:szCs w:val="21"/>
                <w:highlight w:val="none"/>
                <w:lang w:val="en-US" w:eastAsia="zh-CN"/>
              </w:rPr>
              <w:t>ID</w:t>
            </w:r>
          </w:p>
        </w:tc>
        <w:tc>
          <w:tcPr>
            <w:tcW w:w="7535" w:type="dxa"/>
            <w:shd w:val="clear" w:color="auto" w:fill="D8D8D8" w:themeFill="background1" w:themeFillShade="D9"/>
          </w:tcPr>
          <w:p>
            <w:pPr>
              <w:spacing w:line="276" w:lineRule="auto"/>
              <w:jc w:val="center"/>
              <w:rPr>
                <w:rFonts w:hint="eastAsia" w:eastAsia="宋体"/>
                <w:b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/>
                <w:b/>
                <w:sz w:val="21"/>
                <w:szCs w:val="21"/>
                <w:highlight w:val="none"/>
                <w:lang w:eastAsia="zh-CN"/>
              </w:rPr>
              <w:t>需求描述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RPT.001</w:t>
            </w:r>
          </w:p>
        </w:tc>
        <w:tc>
          <w:tcPr>
            <w:tcW w:w="75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巡检工具应在每次巡检任务完成后，自动生成一份巡检报告。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RPT.002</w:t>
            </w:r>
          </w:p>
        </w:tc>
        <w:tc>
          <w:tcPr>
            <w:tcW w:w="75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报告格式为excel格式，并包含：报告生成时间、巡检设备列表、详细检查结果列表。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RPT.003</w:t>
            </w:r>
          </w:p>
        </w:tc>
        <w:tc>
          <w:tcPr>
            <w:tcW w:w="75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F1115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对于每一项检查，报告应清晰列出：检查项、检查结果（通过/失败/警告）。</w:t>
            </w:r>
          </w:p>
        </w:tc>
      </w:tr>
    </w:tbl>
    <w:p>
      <w:pPr>
        <w:rPr>
          <w:rFonts w:hint="default"/>
          <w:highlight w:val="none"/>
          <w:lang w:val="en-US" w:eastAsia="zh-CN"/>
        </w:rPr>
      </w:pPr>
    </w:p>
    <w:p>
      <w:pPr>
        <w:rPr>
          <w:rFonts w:hint="default"/>
          <w:highlight w:val="none"/>
          <w:lang w:val="en-US" w:eastAsia="zh-CN"/>
        </w:rPr>
      </w:pPr>
    </w:p>
    <w:p>
      <w:pPr>
        <w:pStyle w:val="3"/>
        <w:ind w:left="579" w:hanging="579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五、智能化需求</w:t>
      </w:r>
    </w:p>
    <w:p>
      <w:pPr>
        <w:rPr>
          <w:rFonts w:hint="eastAsia" w:ascii="宋体" w:hAnsi="宋体" w:eastAsia="宋体" w:cs="宋体"/>
          <w:sz w:val="24"/>
          <w:szCs w:val="32"/>
          <w:highlight w:val="none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32"/>
          <w:highlight w:val="none"/>
          <w:lang w:val="en-US" w:eastAsia="zh-CN"/>
        </w:rPr>
        <w:t>5.1异常模式自学习机制，AI模型训练在本地运行，不上传用户数据至外网，训练周期为每月一次，自动更新阈值；</w:t>
      </w:r>
    </w:p>
    <w:p>
      <w:pPr>
        <w:rPr>
          <w:rFonts w:hint="eastAsia" w:ascii="宋体" w:hAnsi="宋体" w:eastAsia="宋体" w:cs="宋体"/>
          <w:sz w:val="24"/>
          <w:szCs w:val="32"/>
          <w:highlight w:val="none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32"/>
          <w:highlight w:val="none"/>
          <w:lang w:val="en-US" w:eastAsia="zh-CN"/>
        </w:rPr>
        <w:t>5.2可视化模块，支持点击设备模型，弹出其实时巡检数据（如温度、电源、板卡状态），并与历史均值对比；</w:t>
      </w:r>
    </w:p>
    <w:p>
      <w:pPr>
        <w:rPr>
          <w:rFonts w:hint="eastAsia" w:ascii="宋体" w:hAnsi="宋体" w:eastAsia="宋体" w:cs="宋体"/>
          <w:sz w:val="24"/>
          <w:szCs w:val="32"/>
          <w:highlight w:val="none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32"/>
          <w:highlight w:val="none"/>
          <w:lang w:val="en-US" w:eastAsia="zh-CN"/>
        </w:rPr>
        <w:t>5.3语音告警助手（离线TTS），工具内置离线语音合成引擎，当检测到“严重”或“失败”级别告警时，可自动播放语音提醒，如“路由器CPU利用率超过90%，请关注”。</w:t>
      </w:r>
    </w:p>
    <w:p>
      <w:pPr>
        <w:rPr>
          <w:rFonts w:hint="eastAsia" w:ascii="宋体" w:hAnsi="宋体" w:eastAsia="宋体" w:cs="宋体"/>
          <w:highlight w:val="none"/>
        </w:rPr>
      </w:pPr>
    </w:p>
    <w:p>
      <w:pPr>
        <w:pStyle w:val="3"/>
        <w:ind w:left="579" w:hanging="579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六、试验要求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在符合规格书定义的Win7-Win11系统环境中，使用多台已配置SNMP的真实网络设备，对软件的设备管理、任务调度、全部核心巡检项及报告生成功能进行完整的功能验证。 试验需确保软件能稳定运行，准确执行预设的周期性及手动巡检任务，并能正确采集设备状态、判断阈值告警，最终自动生成包含所有检查结果的Excel报告。整个过程要求记录详实，确保所有主要功能正常运行且无重大缺陷。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</w:p>
    <w:p>
      <w:pPr>
        <w:pStyle w:val="3"/>
        <w:ind w:left="579" w:hanging="579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bookmarkStart w:id="11" w:name="_Toc367709681"/>
      <w:bookmarkStart w:id="12" w:name="_Toc450578894"/>
      <w:bookmarkStart w:id="13" w:name="_Toc490650489"/>
      <w:bookmarkStart w:id="14" w:name="_GoBack"/>
      <w:bookmarkEnd w:id="14"/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七、售后服务</w:t>
      </w:r>
      <w:bookmarkEnd w:id="11"/>
      <w:bookmarkEnd w:id="12"/>
      <w:bookmarkEnd w:id="13"/>
    </w:p>
    <w:p>
      <w:pPr>
        <w:rPr>
          <w:rFonts w:hint="eastAsia" w:ascii="宋体" w:hAnsi="宋体" w:eastAsia="宋体" w:cs="宋体"/>
          <w:sz w:val="24"/>
          <w:szCs w:val="32"/>
          <w:highlight w:val="none"/>
        </w:rPr>
      </w:pPr>
      <w:r>
        <w:rPr>
          <w:rFonts w:hint="eastAsia" w:ascii="宋体" w:hAnsi="宋体" w:eastAsia="宋体" w:cs="宋体"/>
          <w:sz w:val="24"/>
          <w:szCs w:val="32"/>
          <w:highlight w:val="none"/>
        </w:rPr>
        <w:t>1.服务期限</w:t>
      </w:r>
    </w:p>
    <w:p>
      <w:pPr>
        <w:rPr>
          <w:rFonts w:hint="eastAsia" w:ascii="宋体" w:hAnsi="宋体" w:eastAsia="宋体" w:cs="宋体"/>
          <w:sz w:val="24"/>
          <w:szCs w:val="32"/>
          <w:highlight w:val="none"/>
        </w:rPr>
      </w:pPr>
      <w:r>
        <w:rPr>
          <w:rFonts w:hint="eastAsia" w:ascii="宋体" w:hAnsi="宋体" w:eastAsia="宋体" w:cs="宋体"/>
          <w:sz w:val="24"/>
          <w:szCs w:val="32"/>
          <w:highlight w:val="none"/>
          <w:lang w:val="en-US" w:eastAsia="zh-CN"/>
        </w:rPr>
        <w:t>1.1</w:t>
      </w:r>
      <w:r>
        <w:rPr>
          <w:rFonts w:hint="eastAsia" w:ascii="宋体" w:hAnsi="宋体" w:eastAsia="宋体" w:cs="宋体"/>
          <w:sz w:val="24"/>
          <w:szCs w:val="32"/>
          <w:highlight w:val="none"/>
        </w:rPr>
        <w:t>质保期：自</w:t>
      </w:r>
      <w:r>
        <w:rPr>
          <w:rFonts w:hint="eastAsia" w:ascii="宋体" w:hAnsi="宋体" w:eastAsia="宋体" w:cs="宋体"/>
          <w:sz w:val="24"/>
          <w:szCs w:val="32"/>
          <w:highlight w:val="none"/>
          <w:lang w:val="en-US" w:eastAsia="zh-CN"/>
        </w:rPr>
        <w:t>软件</w:t>
      </w:r>
      <w:r>
        <w:rPr>
          <w:rFonts w:hint="eastAsia" w:ascii="宋体" w:hAnsi="宋体" w:eastAsia="宋体" w:cs="宋体"/>
          <w:sz w:val="24"/>
          <w:szCs w:val="32"/>
          <w:highlight w:val="none"/>
        </w:rPr>
        <w:t>最终验收合格之日起，提供不少于 12个月的免费质保服务。</w:t>
      </w:r>
    </w:p>
    <w:p>
      <w:pPr>
        <w:rPr>
          <w:rFonts w:hint="eastAsia" w:ascii="宋体" w:hAnsi="宋体" w:eastAsia="宋体" w:cs="宋体"/>
          <w:sz w:val="24"/>
          <w:szCs w:val="32"/>
          <w:highlight w:val="none"/>
        </w:rPr>
      </w:pPr>
      <w:r>
        <w:rPr>
          <w:rFonts w:hint="eastAsia" w:ascii="宋体" w:hAnsi="宋体" w:eastAsia="宋体" w:cs="宋体"/>
          <w:sz w:val="24"/>
          <w:szCs w:val="32"/>
          <w:highlight w:val="none"/>
          <w:lang w:val="en-US" w:eastAsia="zh-CN"/>
        </w:rPr>
        <w:t>1.2</w:t>
      </w:r>
      <w:r>
        <w:rPr>
          <w:rFonts w:hint="eastAsia" w:ascii="宋体" w:hAnsi="宋体" w:eastAsia="宋体" w:cs="宋体"/>
          <w:sz w:val="24"/>
          <w:szCs w:val="32"/>
          <w:highlight w:val="none"/>
        </w:rPr>
        <w:t>技术支持期：质保期结束后，提供不少于3年的有偿技术支持服务，具体费用另行协商。</w:t>
      </w:r>
    </w:p>
    <w:p>
      <w:pPr>
        <w:rPr>
          <w:rFonts w:hint="eastAsia" w:ascii="宋体" w:hAnsi="宋体" w:eastAsia="宋体" w:cs="宋体"/>
          <w:sz w:val="24"/>
          <w:szCs w:val="32"/>
          <w:highlight w:val="none"/>
        </w:rPr>
      </w:pPr>
    </w:p>
    <w:p>
      <w:pPr>
        <w:rPr>
          <w:rFonts w:hint="eastAsia" w:ascii="宋体" w:hAnsi="宋体" w:eastAsia="宋体" w:cs="宋体"/>
          <w:sz w:val="24"/>
          <w:szCs w:val="32"/>
          <w:highlight w:val="none"/>
        </w:rPr>
      </w:pPr>
      <w:r>
        <w:rPr>
          <w:rFonts w:hint="eastAsia" w:ascii="宋体" w:hAnsi="宋体" w:eastAsia="宋体" w:cs="宋体"/>
          <w:sz w:val="24"/>
          <w:szCs w:val="32"/>
          <w:highlight w:val="none"/>
        </w:rPr>
        <w:t>2.服务内容</w:t>
      </w:r>
    </w:p>
    <w:p>
      <w:pPr>
        <w:rPr>
          <w:rFonts w:hint="eastAsia" w:ascii="宋体" w:hAnsi="宋体" w:eastAsia="宋体" w:cs="宋体"/>
          <w:sz w:val="24"/>
          <w:szCs w:val="32"/>
          <w:highlight w:val="none"/>
        </w:rPr>
      </w:pPr>
      <w:r>
        <w:rPr>
          <w:rFonts w:hint="eastAsia" w:ascii="宋体" w:hAnsi="宋体" w:eastAsia="宋体" w:cs="宋体"/>
          <w:sz w:val="24"/>
          <w:szCs w:val="32"/>
          <w:highlight w:val="none"/>
          <w:lang w:val="en-US" w:eastAsia="zh-CN"/>
        </w:rPr>
        <w:t>2.1</w:t>
      </w:r>
      <w:r>
        <w:rPr>
          <w:rFonts w:hint="eastAsia" w:ascii="宋体" w:hAnsi="宋体" w:eastAsia="宋体" w:cs="宋体"/>
          <w:sz w:val="24"/>
          <w:szCs w:val="32"/>
          <w:highlight w:val="none"/>
        </w:rPr>
        <w:t>故障响应：</w:t>
      </w:r>
    </w:p>
    <w:p>
      <w:pPr>
        <w:rPr>
          <w:rFonts w:hint="eastAsia" w:ascii="宋体" w:hAnsi="宋体" w:eastAsia="宋体" w:cs="宋体"/>
          <w:sz w:val="24"/>
          <w:szCs w:val="32"/>
          <w:highlight w:val="none"/>
        </w:rPr>
      </w:pPr>
      <w:r>
        <w:rPr>
          <w:rFonts w:hint="eastAsia" w:ascii="宋体" w:hAnsi="宋体" w:eastAsia="宋体" w:cs="宋体"/>
          <w:sz w:val="24"/>
          <w:szCs w:val="32"/>
          <w:highlight w:val="none"/>
          <w:lang w:val="en-US" w:eastAsia="zh-CN"/>
        </w:rPr>
        <w:t>2.1.1</w:t>
      </w:r>
      <w:r>
        <w:rPr>
          <w:rFonts w:hint="eastAsia" w:ascii="宋体" w:hAnsi="宋体" w:eastAsia="宋体" w:cs="宋体"/>
          <w:sz w:val="24"/>
          <w:szCs w:val="32"/>
          <w:highlight w:val="none"/>
        </w:rPr>
        <w:t>提供</w:t>
      </w:r>
      <w:r>
        <w:rPr>
          <w:rFonts w:hint="eastAsia" w:ascii="宋体" w:hAnsi="宋体" w:eastAsia="宋体" w:cs="宋体"/>
          <w:sz w:val="24"/>
          <w:szCs w:val="32"/>
          <w:highlight w:val="none"/>
          <w:lang w:val="en-US" w:eastAsia="zh-CN"/>
        </w:rPr>
        <w:t>工作日</w:t>
      </w:r>
      <w:r>
        <w:rPr>
          <w:rFonts w:hint="eastAsia" w:ascii="宋体" w:hAnsi="宋体" w:eastAsia="宋体" w:cs="宋体"/>
          <w:sz w:val="24"/>
          <w:szCs w:val="32"/>
          <w:highlight w:val="none"/>
        </w:rPr>
        <w:t>电话、邮件、远程技术支持；</w:t>
      </w:r>
    </w:p>
    <w:p>
      <w:pPr>
        <w:rPr>
          <w:rFonts w:hint="eastAsia" w:ascii="宋体" w:hAnsi="宋体" w:eastAsia="宋体" w:cs="宋体"/>
          <w:sz w:val="24"/>
          <w:szCs w:val="32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32"/>
          <w:highlight w:val="none"/>
          <w:lang w:val="en-US" w:eastAsia="zh-CN"/>
        </w:rPr>
        <w:t>2.1.2</w:t>
      </w:r>
      <w:r>
        <w:rPr>
          <w:rFonts w:hint="eastAsia" w:ascii="宋体" w:hAnsi="宋体" w:eastAsia="宋体" w:cs="宋体"/>
          <w:sz w:val="24"/>
          <w:szCs w:val="32"/>
          <w:highlight w:val="none"/>
        </w:rPr>
        <w:t>重大故障（系统瘫痪）</w:t>
      </w:r>
      <w:r>
        <w:rPr>
          <w:rFonts w:hint="eastAsia" w:ascii="宋体" w:hAnsi="宋体" w:eastAsia="宋体" w:cs="宋体"/>
          <w:sz w:val="24"/>
          <w:szCs w:val="32"/>
          <w:highlight w:val="none"/>
          <w:lang w:val="en-US" w:eastAsia="zh-CN"/>
        </w:rPr>
        <w:t>工作日内24</w:t>
      </w:r>
      <w:r>
        <w:rPr>
          <w:rFonts w:hint="eastAsia" w:ascii="宋体" w:hAnsi="宋体" w:eastAsia="宋体" w:cs="宋体"/>
          <w:sz w:val="24"/>
          <w:szCs w:val="32"/>
          <w:highlight w:val="none"/>
        </w:rPr>
        <w:t>小时内到场</w:t>
      </w:r>
      <w:r>
        <w:rPr>
          <w:rFonts w:hint="eastAsia" w:ascii="宋体" w:hAnsi="宋体" w:eastAsia="宋体" w:cs="宋体"/>
          <w:sz w:val="24"/>
          <w:szCs w:val="32"/>
          <w:highlight w:val="none"/>
          <w:lang w:val="en-US" w:eastAsia="zh-CN"/>
        </w:rPr>
        <w:t>协助</w:t>
      </w:r>
      <w:r>
        <w:rPr>
          <w:rFonts w:hint="eastAsia" w:ascii="宋体" w:hAnsi="宋体" w:eastAsia="宋体" w:cs="宋体"/>
          <w:sz w:val="24"/>
          <w:szCs w:val="32"/>
          <w:highlight w:val="none"/>
        </w:rPr>
        <w:t>处理</w:t>
      </w:r>
      <w:r>
        <w:rPr>
          <w:rFonts w:hint="eastAsia" w:ascii="宋体" w:hAnsi="宋体" w:eastAsia="宋体" w:cs="宋体"/>
          <w:sz w:val="24"/>
          <w:szCs w:val="32"/>
          <w:highlight w:val="none"/>
          <w:lang w:eastAsia="zh-CN"/>
        </w:rPr>
        <w:t>；</w:t>
      </w:r>
    </w:p>
    <w:p>
      <w:pPr>
        <w:rPr>
          <w:rFonts w:hint="eastAsia" w:ascii="宋体" w:hAnsi="宋体" w:eastAsia="宋体" w:cs="宋体"/>
          <w:sz w:val="24"/>
          <w:szCs w:val="32"/>
          <w:highlight w:val="none"/>
        </w:rPr>
      </w:pPr>
      <w:r>
        <w:rPr>
          <w:rFonts w:hint="eastAsia" w:ascii="宋体" w:hAnsi="宋体" w:eastAsia="宋体" w:cs="宋体"/>
          <w:sz w:val="24"/>
          <w:szCs w:val="32"/>
          <w:highlight w:val="none"/>
          <w:lang w:val="en-US" w:eastAsia="zh-CN"/>
        </w:rPr>
        <w:t>2.2</w:t>
      </w:r>
      <w:r>
        <w:rPr>
          <w:rFonts w:hint="eastAsia" w:ascii="宋体" w:hAnsi="宋体" w:eastAsia="宋体" w:cs="宋体"/>
          <w:sz w:val="24"/>
          <w:szCs w:val="32"/>
          <w:highlight w:val="none"/>
        </w:rPr>
        <w:t>软件更新：</w:t>
      </w:r>
    </w:p>
    <w:p>
      <w:pPr>
        <w:rPr>
          <w:rFonts w:hint="eastAsia" w:ascii="宋体" w:hAnsi="宋体" w:eastAsia="宋体" w:cs="宋体"/>
          <w:sz w:val="24"/>
          <w:szCs w:val="32"/>
          <w:highlight w:val="none"/>
        </w:rPr>
      </w:pPr>
      <w:r>
        <w:rPr>
          <w:rFonts w:hint="eastAsia" w:ascii="宋体" w:hAnsi="宋体" w:eastAsia="宋体" w:cs="宋体"/>
          <w:sz w:val="24"/>
          <w:szCs w:val="32"/>
          <w:highlight w:val="none"/>
          <w:lang w:val="en-US" w:eastAsia="zh-CN"/>
        </w:rPr>
        <w:t>2.2.1</w:t>
      </w:r>
      <w:r>
        <w:rPr>
          <w:rFonts w:hint="eastAsia" w:ascii="宋体" w:hAnsi="宋体" w:eastAsia="宋体" w:cs="宋体"/>
          <w:sz w:val="24"/>
          <w:szCs w:val="32"/>
          <w:highlight w:val="none"/>
        </w:rPr>
        <w:t>质保期内，免费提供软件补丁、版本升级；</w:t>
      </w:r>
    </w:p>
    <w:p>
      <w:pPr>
        <w:rPr>
          <w:rFonts w:hint="eastAsia" w:ascii="宋体" w:hAnsi="宋体" w:eastAsia="宋体" w:cs="宋体"/>
          <w:sz w:val="24"/>
          <w:szCs w:val="32"/>
          <w:highlight w:val="none"/>
        </w:rPr>
      </w:pPr>
      <w:r>
        <w:rPr>
          <w:rFonts w:hint="eastAsia" w:ascii="宋体" w:hAnsi="宋体" w:eastAsia="宋体" w:cs="宋体"/>
          <w:sz w:val="24"/>
          <w:szCs w:val="32"/>
          <w:highlight w:val="none"/>
          <w:lang w:val="en-US" w:eastAsia="zh-CN"/>
        </w:rPr>
        <w:t>2.2.2</w:t>
      </w:r>
      <w:r>
        <w:rPr>
          <w:rFonts w:hint="eastAsia" w:ascii="宋体" w:hAnsi="宋体" w:eastAsia="宋体" w:cs="宋体"/>
          <w:sz w:val="24"/>
          <w:szCs w:val="32"/>
          <w:highlight w:val="none"/>
        </w:rPr>
        <w:t>质保期外，按年度收取不超过合同总价10%的维护费用。</w:t>
      </w:r>
    </w:p>
    <w:p>
      <w:pPr>
        <w:rPr>
          <w:rFonts w:hint="eastAsia" w:ascii="宋体" w:hAnsi="宋体" w:eastAsia="宋体" w:cs="宋体"/>
          <w:sz w:val="24"/>
          <w:szCs w:val="32"/>
          <w:highlight w:val="none"/>
        </w:rPr>
      </w:pPr>
    </w:p>
    <w:p>
      <w:pPr>
        <w:rPr>
          <w:rFonts w:hint="eastAsia" w:ascii="宋体" w:hAnsi="宋体" w:eastAsia="宋体" w:cs="宋体"/>
          <w:sz w:val="24"/>
          <w:szCs w:val="32"/>
          <w:highlight w:val="none"/>
        </w:rPr>
      </w:pPr>
      <w:r>
        <w:rPr>
          <w:rFonts w:hint="eastAsia" w:ascii="宋体" w:hAnsi="宋体" w:eastAsia="宋体" w:cs="宋体"/>
          <w:sz w:val="24"/>
          <w:szCs w:val="32"/>
          <w:highlight w:val="none"/>
        </w:rPr>
        <w:t>3.服务方式</w:t>
      </w:r>
    </w:p>
    <w:p>
      <w:pPr>
        <w:rPr>
          <w:rFonts w:hint="eastAsia" w:ascii="宋体" w:hAnsi="宋体" w:eastAsia="宋体" w:cs="宋体"/>
          <w:sz w:val="24"/>
          <w:szCs w:val="32"/>
          <w:highlight w:val="none"/>
        </w:rPr>
      </w:pPr>
      <w:r>
        <w:rPr>
          <w:rFonts w:hint="eastAsia" w:ascii="宋体" w:hAnsi="宋体" w:eastAsia="宋体" w:cs="宋体"/>
          <w:sz w:val="24"/>
          <w:szCs w:val="32"/>
          <w:highlight w:val="none"/>
          <w:lang w:val="en-US" w:eastAsia="zh-CN"/>
        </w:rPr>
        <w:t>3.1</w:t>
      </w:r>
      <w:r>
        <w:rPr>
          <w:rFonts w:hint="eastAsia" w:ascii="宋体" w:hAnsi="宋体" w:eastAsia="宋体" w:cs="宋体"/>
          <w:sz w:val="24"/>
          <w:szCs w:val="32"/>
          <w:highlight w:val="none"/>
        </w:rPr>
        <w:t>远程支持：通过远程桌面、SSH等方式进行；</w:t>
      </w:r>
    </w:p>
    <w:p>
      <w:pPr>
        <w:rPr>
          <w:rFonts w:hint="eastAsia" w:ascii="宋体" w:hAnsi="宋体" w:eastAsia="宋体" w:cs="宋体"/>
          <w:sz w:val="24"/>
          <w:szCs w:val="32"/>
          <w:highlight w:val="none"/>
        </w:rPr>
      </w:pPr>
      <w:r>
        <w:rPr>
          <w:rFonts w:hint="eastAsia" w:ascii="宋体" w:hAnsi="宋体" w:eastAsia="宋体" w:cs="宋体"/>
          <w:sz w:val="24"/>
          <w:szCs w:val="32"/>
          <w:highlight w:val="none"/>
          <w:lang w:val="en-US" w:eastAsia="zh-CN"/>
        </w:rPr>
        <w:t>3.2</w:t>
      </w:r>
      <w:r>
        <w:rPr>
          <w:rFonts w:hint="eastAsia" w:ascii="宋体" w:hAnsi="宋体" w:eastAsia="宋体" w:cs="宋体"/>
          <w:sz w:val="24"/>
          <w:szCs w:val="32"/>
          <w:highlight w:val="none"/>
        </w:rPr>
        <w:t>现场支持：工程师到场处理，交通及住宿费用由供方承担（质保期内）；</w:t>
      </w:r>
    </w:p>
    <w:p>
      <w:pPr>
        <w:rPr>
          <w:rFonts w:hint="eastAsia" w:ascii="宋体" w:hAnsi="宋体" w:eastAsia="宋体" w:cs="宋体"/>
          <w:sz w:val="24"/>
          <w:szCs w:val="32"/>
          <w:highlight w:val="none"/>
        </w:rPr>
      </w:pPr>
    </w:p>
    <w:p>
      <w:pPr>
        <w:rPr>
          <w:rFonts w:hint="eastAsia" w:ascii="宋体" w:hAnsi="宋体" w:eastAsia="宋体" w:cs="宋体"/>
          <w:sz w:val="24"/>
          <w:szCs w:val="32"/>
          <w:highlight w:val="none"/>
        </w:rPr>
      </w:pPr>
      <w:r>
        <w:rPr>
          <w:rFonts w:hint="eastAsia" w:ascii="宋体" w:hAnsi="宋体" w:eastAsia="宋体" w:cs="宋体"/>
          <w:sz w:val="24"/>
          <w:szCs w:val="32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32"/>
          <w:highlight w:val="none"/>
        </w:rPr>
        <w:t>.培训与文档</w:t>
      </w:r>
    </w:p>
    <w:p>
      <w:pPr>
        <w:rPr>
          <w:rFonts w:hint="eastAsia" w:ascii="宋体" w:hAnsi="宋体" w:eastAsia="宋体" w:cs="宋体"/>
          <w:sz w:val="24"/>
          <w:szCs w:val="32"/>
          <w:highlight w:val="none"/>
        </w:rPr>
      </w:pPr>
      <w:r>
        <w:rPr>
          <w:rFonts w:hint="eastAsia" w:ascii="宋体" w:hAnsi="宋体" w:eastAsia="宋体" w:cs="宋体"/>
          <w:sz w:val="24"/>
          <w:szCs w:val="32"/>
          <w:highlight w:val="none"/>
          <w:lang w:val="en-US" w:eastAsia="zh-CN"/>
        </w:rPr>
        <w:t>4.1</w:t>
      </w:r>
      <w:r>
        <w:rPr>
          <w:rFonts w:hint="eastAsia" w:ascii="宋体" w:hAnsi="宋体" w:eastAsia="宋体" w:cs="宋体"/>
          <w:sz w:val="24"/>
          <w:szCs w:val="32"/>
          <w:highlight w:val="none"/>
        </w:rPr>
        <w:t>提供不少于2次的现场培训，内容包括设备操作、故障排查、日常维护；</w:t>
      </w:r>
    </w:p>
    <w:p>
      <w:pPr>
        <w:rPr>
          <w:rFonts w:hint="eastAsia" w:ascii="宋体" w:hAnsi="宋体" w:eastAsia="宋体" w:cs="宋体"/>
          <w:sz w:val="24"/>
          <w:szCs w:val="32"/>
          <w:highlight w:val="none"/>
        </w:rPr>
      </w:pPr>
      <w:r>
        <w:rPr>
          <w:rFonts w:hint="eastAsia" w:ascii="宋体" w:hAnsi="宋体" w:eastAsia="宋体" w:cs="宋体"/>
          <w:sz w:val="24"/>
          <w:szCs w:val="32"/>
          <w:highlight w:val="none"/>
          <w:lang w:val="en-US" w:eastAsia="zh-CN"/>
        </w:rPr>
        <w:t>4.2</w:t>
      </w:r>
      <w:r>
        <w:rPr>
          <w:rFonts w:hint="eastAsia" w:ascii="宋体" w:hAnsi="宋体" w:eastAsia="宋体" w:cs="宋体"/>
          <w:sz w:val="24"/>
          <w:szCs w:val="32"/>
          <w:highlight w:val="none"/>
        </w:rPr>
        <w:t>提供完整的《用户手册》纸质</w:t>
      </w:r>
      <w:r>
        <w:rPr>
          <w:rFonts w:hint="eastAsia" w:ascii="宋体" w:hAnsi="宋体" w:eastAsia="宋体" w:cs="宋体"/>
          <w:sz w:val="24"/>
          <w:szCs w:val="32"/>
          <w:highlight w:val="none"/>
          <w:lang w:val="en-US" w:eastAsia="zh-CN"/>
        </w:rPr>
        <w:t>和</w:t>
      </w:r>
      <w:r>
        <w:rPr>
          <w:rFonts w:hint="eastAsia" w:ascii="宋体" w:hAnsi="宋体" w:eastAsia="宋体" w:cs="宋体"/>
          <w:sz w:val="24"/>
          <w:szCs w:val="32"/>
          <w:highlight w:val="none"/>
        </w:rPr>
        <w:t>电子版；</w:t>
      </w:r>
    </w:p>
    <w:p>
      <w:pPr>
        <w:rPr>
          <w:rFonts w:hint="eastAsia" w:ascii="宋体" w:hAnsi="宋体" w:eastAsia="宋体" w:cs="宋体"/>
          <w:sz w:val="24"/>
          <w:szCs w:val="32"/>
          <w:highlight w:val="none"/>
        </w:rPr>
      </w:pPr>
      <w:r>
        <w:rPr>
          <w:rFonts w:hint="eastAsia" w:ascii="宋体" w:hAnsi="宋体" w:eastAsia="宋体" w:cs="宋体"/>
          <w:sz w:val="24"/>
          <w:szCs w:val="32"/>
          <w:highlight w:val="none"/>
          <w:lang w:val="en-US" w:eastAsia="zh-CN"/>
        </w:rPr>
        <w:t>4.3</w:t>
      </w:r>
      <w:r>
        <w:rPr>
          <w:rFonts w:hint="eastAsia" w:ascii="宋体" w:hAnsi="宋体" w:eastAsia="宋体" w:cs="宋体"/>
          <w:sz w:val="24"/>
          <w:szCs w:val="32"/>
          <w:highlight w:val="none"/>
        </w:rPr>
        <w:t>培训对象包括：运维人员、技术人员、管理人员，培训后签署《培训确认单》。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EU-F1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书宋简体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7F6B296"/>
    <w:multiLevelType w:val="singleLevel"/>
    <w:tmpl w:val="B7F6B296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">
    <w:nsid w:val="BFFE3A86"/>
    <w:multiLevelType w:val="singleLevel"/>
    <w:tmpl w:val="BFFE3A86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2">
    <w:nsid w:val="EDFEC291"/>
    <w:multiLevelType w:val="singleLevel"/>
    <w:tmpl w:val="EDFEC291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3">
    <w:nsid w:val="60376ADF"/>
    <w:multiLevelType w:val="multilevel"/>
    <w:tmpl w:val="60376ADF"/>
    <w:lvl w:ilvl="0" w:tentative="0">
      <w:start w:val="1"/>
      <w:numFmt w:val="decimal"/>
      <w:pStyle w:val="2"/>
      <w:lvlText w:val="%1"/>
      <w:lvlJc w:val="left"/>
      <w:pPr>
        <w:ind w:left="432" w:hanging="432"/>
      </w:pPr>
    </w:lvl>
    <w:lvl w:ilvl="1" w:tentative="0">
      <w:start w:val="1"/>
      <w:numFmt w:val="decimal"/>
      <w:lvlText w:val="%1.%2"/>
      <w:lvlJc w:val="left"/>
      <w:pPr>
        <w:ind w:left="576" w:hanging="576"/>
      </w:pPr>
    </w:lvl>
    <w:lvl w:ilvl="2" w:tentative="0">
      <w:start w:val="1"/>
      <w:numFmt w:val="decimal"/>
      <w:lvlText w:val="%1.%2.%3"/>
      <w:lvlJc w:val="left"/>
      <w:pPr>
        <w:ind w:left="720" w:hanging="720"/>
      </w:pPr>
    </w:lvl>
    <w:lvl w:ilvl="3" w:tentative="0">
      <w:start w:val="1"/>
      <w:numFmt w:val="decimal"/>
      <w:lvlText w:val="%1.%2.%3.%4"/>
      <w:lvlJc w:val="left"/>
      <w:pPr>
        <w:ind w:left="864" w:hanging="864"/>
      </w:pPr>
    </w:lvl>
    <w:lvl w:ilvl="4" w:tentative="0">
      <w:start w:val="1"/>
      <w:numFmt w:val="decimal"/>
      <w:lvlText w:val="%1.%2.%3.%4.%5"/>
      <w:lvlJc w:val="left"/>
      <w:pPr>
        <w:ind w:left="1008" w:hanging="1008"/>
      </w:pPr>
    </w:lvl>
    <w:lvl w:ilvl="5" w:tentative="0">
      <w:start w:val="1"/>
      <w:numFmt w:val="decimal"/>
      <w:lvlText w:val="%1.%2.%3.%4.%5.%6"/>
      <w:lvlJc w:val="left"/>
      <w:pPr>
        <w:ind w:left="1152" w:hanging="1152"/>
      </w:pPr>
    </w:lvl>
    <w:lvl w:ilvl="6" w:tentative="0">
      <w:start w:val="1"/>
      <w:numFmt w:val="decimal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>
    <w:nsid w:val="77BF5724"/>
    <w:multiLevelType w:val="singleLevel"/>
    <w:tmpl w:val="77BF5724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NkZWJmOTVmYjZlNTgxNTgxMmJjYTJkYmNjMjYzYWMifQ=="/>
    <w:docVar w:name="KSO_WPS_MARK_KEY" w:val="e8552729-bd62-4f3e-9a4b-3195d904e188"/>
  </w:docVars>
  <w:rsids>
    <w:rsidRoot w:val="1C092469"/>
    <w:rsid w:val="00083A5F"/>
    <w:rsid w:val="00086A04"/>
    <w:rsid w:val="000D6793"/>
    <w:rsid w:val="002A715D"/>
    <w:rsid w:val="00357059"/>
    <w:rsid w:val="00395610"/>
    <w:rsid w:val="003F7A58"/>
    <w:rsid w:val="0041675D"/>
    <w:rsid w:val="0044432E"/>
    <w:rsid w:val="004C2942"/>
    <w:rsid w:val="0055438F"/>
    <w:rsid w:val="00572BEA"/>
    <w:rsid w:val="005C6D7C"/>
    <w:rsid w:val="006407A0"/>
    <w:rsid w:val="009A79EC"/>
    <w:rsid w:val="00AE2FC8"/>
    <w:rsid w:val="00AE50BC"/>
    <w:rsid w:val="00B50A46"/>
    <w:rsid w:val="00BA75D8"/>
    <w:rsid w:val="00DE0666"/>
    <w:rsid w:val="00DE5B32"/>
    <w:rsid w:val="00F21AA8"/>
    <w:rsid w:val="01571566"/>
    <w:rsid w:val="018E4567"/>
    <w:rsid w:val="03C76963"/>
    <w:rsid w:val="04A91BE2"/>
    <w:rsid w:val="05C118E1"/>
    <w:rsid w:val="05E355AA"/>
    <w:rsid w:val="0A6C2012"/>
    <w:rsid w:val="0B266665"/>
    <w:rsid w:val="0D505C1B"/>
    <w:rsid w:val="0E9C774E"/>
    <w:rsid w:val="117B0D8C"/>
    <w:rsid w:val="1227460A"/>
    <w:rsid w:val="128437BB"/>
    <w:rsid w:val="13F54834"/>
    <w:rsid w:val="1410126E"/>
    <w:rsid w:val="14467430"/>
    <w:rsid w:val="14860BF1"/>
    <w:rsid w:val="149955F1"/>
    <w:rsid w:val="15691DFD"/>
    <w:rsid w:val="15F46599"/>
    <w:rsid w:val="16956516"/>
    <w:rsid w:val="17B9416E"/>
    <w:rsid w:val="19CD7C7A"/>
    <w:rsid w:val="1B157403"/>
    <w:rsid w:val="1C092469"/>
    <w:rsid w:val="1ED10455"/>
    <w:rsid w:val="206875AA"/>
    <w:rsid w:val="218C0425"/>
    <w:rsid w:val="23205DC5"/>
    <w:rsid w:val="23A77580"/>
    <w:rsid w:val="2605498B"/>
    <w:rsid w:val="26061C5A"/>
    <w:rsid w:val="26D870C8"/>
    <w:rsid w:val="270C6E38"/>
    <w:rsid w:val="27DE07D4"/>
    <w:rsid w:val="29177195"/>
    <w:rsid w:val="29591B52"/>
    <w:rsid w:val="29BE7749"/>
    <w:rsid w:val="29C67F0D"/>
    <w:rsid w:val="2D117084"/>
    <w:rsid w:val="2D233974"/>
    <w:rsid w:val="2D9E0E43"/>
    <w:rsid w:val="2E7339C7"/>
    <w:rsid w:val="2EFA733D"/>
    <w:rsid w:val="2F640588"/>
    <w:rsid w:val="30B27271"/>
    <w:rsid w:val="32977FED"/>
    <w:rsid w:val="34BE44CC"/>
    <w:rsid w:val="356FBDCB"/>
    <w:rsid w:val="35F51433"/>
    <w:rsid w:val="364F4412"/>
    <w:rsid w:val="37C130EE"/>
    <w:rsid w:val="37FF0F7D"/>
    <w:rsid w:val="383556C1"/>
    <w:rsid w:val="3BE30717"/>
    <w:rsid w:val="3C18367C"/>
    <w:rsid w:val="3C2F632F"/>
    <w:rsid w:val="3DE75397"/>
    <w:rsid w:val="3E1503E1"/>
    <w:rsid w:val="3E540971"/>
    <w:rsid w:val="3EF46C8A"/>
    <w:rsid w:val="408F1FDB"/>
    <w:rsid w:val="42407E9D"/>
    <w:rsid w:val="425D60B8"/>
    <w:rsid w:val="42864D18"/>
    <w:rsid w:val="430F2F5F"/>
    <w:rsid w:val="43757DB5"/>
    <w:rsid w:val="451B76B4"/>
    <w:rsid w:val="46BE2900"/>
    <w:rsid w:val="46F44C0D"/>
    <w:rsid w:val="47ED29F0"/>
    <w:rsid w:val="480A77CA"/>
    <w:rsid w:val="4A1433AF"/>
    <w:rsid w:val="4A587A34"/>
    <w:rsid w:val="4B79120A"/>
    <w:rsid w:val="4B881494"/>
    <w:rsid w:val="4BE37C31"/>
    <w:rsid w:val="4C1763F7"/>
    <w:rsid w:val="4C207F2B"/>
    <w:rsid w:val="4D710BC6"/>
    <w:rsid w:val="4E626DEF"/>
    <w:rsid w:val="4F890A9D"/>
    <w:rsid w:val="50B05655"/>
    <w:rsid w:val="50BC7CAB"/>
    <w:rsid w:val="51B60EDF"/>
    <w:rsid w:val="52AB4C74"/>
    <w:rsid w:val="52BE7E0B"/>
    <w:rsid w:val="54BA5EB5"/>
    <w:rsid w:val="554C1676"/>
    <w:rsid w:val="55A41882"/>
    <w:rsid w:val="563034C0"/>
    <w:rsid w:val="598453B0"/>
    <w:rsid w:val="5AE0768E"/>
    <w:rsid w:val="5B2353A2"/>
    <w:rsid w:val="5BC326E1"/>
    <w:rsid w:val="5C3931AC"/>
    <w:rsid w:val="60F313B0"/>
    <w:rsid w:val="64104091"/>
    <w:rsid w:val="642F4DB7"/>
    <w:rsid w:val="64682325"/>
    <w:rsid w:val="652F3602"/>
    <w:rsid w:val="6660394E"/>
    <w:rsid w:val="67CC0B6F"/>
    <w:rsid w:val="67D30295"/>
    <w:rsid w:val="67FE0BDB"/>
    <w:rsid w:val="69A7373F"/>
    <w:rsid w:val="6A5079C7"/>
    <w:rsid w:val="6B125A53"/>
    <w:rsid w:val="6B154BB8"/>
    <w:rsid w:val="6CCE0375"/>
    <w:rsid w:val="6EDE7B06"/>
    <w:rsid w:val="6F5C6295"/>
    <w:rsid w:val="6F6B0849"/>
    <w:rsid w:val="6FB3379D"/>
    <w:rsid w:val="724D07EA"/>
    <w:rsid w:val="72694632"/>
    <w:rsid w:val="7275721E"/>
    <w:rsid w:val="72F93721"/>
    <w:rsid w:val="742E4F45"/>
    <w:rsid w:val="743A42BA"/>
    <w:rsid w:val="75585F01"/>
    <w:rsid w:val="76462E10"/>
    <w:rsid w:val="766A718D"/>
    <w:rsid w:val="76FFBC85"/>
    <w:rsid w:val="77D50E60"/>
    <w:rsid w:val="77F263D0"/>
    <w:rsid w:val="7A9F4612"/>
    <w:rsid w:val="7B6065BB"/>
    <w:rsid w:val="7BFB7AF1"/>
    <w:rsid w:val="7D0C4ED0"/>
    <w:rsid w:val="8BF083CD"/>
    <w:rsid w:val="ED7EC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99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numPr>
        <w:ilvl w:val="0"/>
        <w:numId w:val="1"/>
      </w:numPr>
      <w:outlineLvl w:val="0"/>
    </w:pPr>
    <w:rPr>
      <w:rFonts w:ascii="Arial" w:hAnsi="Arial" w:eastAsia="黑体"/>
      <w:b/>
      <w:bCs/>
      <w:kern w:val="44"/>
      <w:sz w:val="30"/>
      <w:szCs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qFormat/>
    <w:uiPriority w:val="0"/>
    <w:rPr>
      <w:rFonts w:ascii="宋体" w:hAnsi="Courier New" w:eastAsia="宋体" w:cs="Times New Roman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semiHidden/>
    <w:unhideWhenUsed/>
    <w:qFormat/>
    <w:uiPriority w:val="99"/>
    <w:rPr>
      <w:sz w:val="24"/>
    </w:rPr>
  </w:style>
  <w:style w:type="paragraph" w:styleId="8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eastAsia="宋体" w:cs="Arial"/>
      <w:b/>
      <w:bCs/>
      <w:sz w:val="32"/>
      <w:szCs w:val="32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22"/>
    <w:rPr>
      <w:b/>
      <w:bCs/>
    </w:rPr>
  </w:style>
  <w:style w:type="paragraph" w:customStyle="1" w:styleId="13">
    <w:name w:val="3z"/>
    <w:basedOn w:val="1"/>
    <w:qFormat/>
    <w:uiPriority w:val="0"/>
    <w:pPr>
      <w:topLinePunct/>
      <w:spacing w:line="312" w:lineRule="exact"/>
    </w:pPr>
    <w:rPr>
      <w:rFonts w:ascii="EU-F1" w:hAnsi="Times New Roman" w:eastAsia="黑体" w:cs="Times New Roman"/>
      <w:kern w:val="0"/>
      <w:sz w:val="20"/>
      <w:szCs w:val="21"/>
    </w:rPr>
  </w:style>
  <w:style w:type="character" w:customStyle="1" w:styleId="14">
    <w:name w:val="首行缩进 Char"/>
    <w:link w:val="15"/>
    <w:qFormat/>
    <w:locked/>
    <w:uiPriority w:val="0"/>
    <w:rPr>
      <w:rFonts w:ascii="方正书宋简体" w:eastAsia="方正书宋简体" w:cs="宋体"/>
      <w:kern w:val="2"/>
      <w:sz w:val="21"/>
    </w:rPr>
  </w:style>
  <w:style w:type="paragraph" w:customStyle="1" w:styleId="15">
    <w:name w:val="首行缩进"/>
    <w:basedOn w:val="1"/>
    <w:link w:val="14"/>
    <w:qFormat/>
    <w:uiPriority w:val="0"/>
    <w:pPr>
      <w:spacing w:line="300" w:lineRule="auto"/>
      <w:ind w:firstLine="420" w:firstLineChars="200"/>
    </w:pPr>
    <w:rPr>
      <w:rFonts w:ascii="方正书宋简体" w:eastAsia="方正书宋简体" w:cs="宋体"/>
      <w:szCs w:val="20"/>
    </w:rPr>
  </w:style>
  <w:style w:type="paragraph" w:styleId="16">
    <w:name w:val="No Spacing"/>
    <w:qFormat/>
    <w:uiPriority w:val="99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2135</Words>
  <Characters>2399</Characters>
  <Lines>16</Lines>
  <Paragraphs>4</Paragraphs>
  <TotalTime>13</TotalTime>
  <ScaleCrop>false</ScaleCrop>
  <LinksUpToDate>false</LinksUpToDate>
  <CharactersWithSpaces>2405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2024-08-19T19:43:00Z</dcterms:created>
  <dc:creator>活着</dc:creator>
  <cp:lastModifiedBy>叶明武</cp:lastModifiedBy>
  <dcterms:modified xsi:type="dcterms:W3CDTF">2025-11-28T03:27:05Z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FA324547AD5A48A78AE647CD7A12B5E2</vt:lpwstr>
  </property>
  <property fmtid="{D5CDD505-2E9C-101B-9397-08002B2CF9AE}" pid="4" name="KSOTemplateDocerSaveRecord">
    <vt:lpwstr>eyJoZGlkIjoiYmQ5OGE3YTNkMjM1YzVlN2ExMDBjNDVhYjkxYzllZmEiLCJ1c2VySWQiOiIyMDEyMDA0MjAifQ==</vt:lpwstr>
  </property>
</Properties>
</file>