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hd w:val="clear" w:color="auto" w:fill="FFFFFF"/>
        <w:spacing w:line="360" w:lineRule="auto"/>
        <w:jc w:val="center"/>
        <w:outlineLvl w:val="0"/>
        <w:rPr>
          <w:rFonts w:eastAsia="仿宋"/>
          <w:b/>
          <w:color w:val="auto"/>
          <w:sz w:val="28"/>
          <w:szCs w:val="28"/>
          <w:highlight w:val="none"/>
        </w:rPr>
      </w:pPr>
      <w:bookmarkStart w:id="0" w:name="_Toc250988913"/>
      <w:bookmarkStart w:id="1" w:name="_Toc446509936"/>
      <w:r>
        <w:rPr>
          <w:rFonts w:eastAsia="仿宋"/>
          <w:b/>
          <w:color w:val="auto"/>
          <w:sz w:val="28"/>
          <w:szCs w:val="28"/>
          <w:highlight w:val="none"/>
        </w:rPr>
        <w:t xml:space="preserve"> 技术</w:t>
      </w:r>
      <w:bookmarkEnd w:id="0"/>
      <w:r>
        <w:rPr>
          <w:rFonts w:eastAsia="仿宋"/>
          <w:b/>
          <w:color w:val="auto"/>
          <w:sz w:val="28"/>
          <w:szCs w:val="28"/>
          <w:highlight w:val="none"/>
        </w:rPr>
        <w:t>文件</w:t>
      </w:r>
      <w:bookmarkEnd w:id="1"/>
    </w:p>
    <w:p>
      <w:pPr>
        <w:pStyle w:val="7"/>
        <w:snapToGrid w:val="0"/>
        <w:spacing w:line="360" w:lineRule="auto"/>
        <w:ind w:firstLine="0" w:firstLineChars="0"/>
        <w:outlineLvl w:val="0"/>
        <w:rPr>
          <w:rFonts w:hint="eastAsia" w:ascii="仿宋" w:hAnsi="仿宋" w:eastAsia="仿宋"/>
          <w:b/>
          <w:color w:val="auto"/>
          <w:sz w:val="28"/>
          <w:szCs w:val="28"/>
          <w:highlight w:val="none"/>
        </w:rPr>
      </w:pPr>
    </w:p>
    <w:p>
      <w:pPr>
        <w:pStyle w:val="7"/>
        <w:numPr>
          <w:ilvl w:val="0"/>
          <w:numId w:val="1"/>
        </w:numPr>
        <w:snapToGrid w:val="0"/>
        <w:spacing w:line="360" w:lineRule="auto"/>
        <w:ind w:firstLineChars="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服务范围</w:t>
      </w:r>
    </w:p>
    <w:tbl>
      <w:tblPr>
        <w:tblStyle w:val="4"/>
        <w:tblW w:w="9296" w:type="dxa"/>
        <w:tblInd w:w="93" w:type="dxa"/>
        <w:tblLayout w:type="fixed"/>
        <w:tblCellMar>
          <w:top w:w="0" w:type="dxa"/>
          <w:left w:w="108" w:type="dxa"/>
          <w:bottom w:w="0" w:type="dxa"/>
          <w:right w:w="108" w:type="dxa"/>
        </w:tblCellMar>
      </w:tblPr>
      <w:tblGrid>
        <w:gridCol w:w="735"/>
        <w:gridCol w:w="2528"/>
        <w:gridCol w:w="2512"/>
        <w:gridCol w:w="2107"/>
        <w:gridCol w:w="1414"/>
      </w:tblGrid>
      <w:tr>
        <w:tblPrEx>
          <w:tblCellMar>
            <w:top w:w="0" w:type="dxa"/>
            <w:left w:w="108" w:type="dxa"/>
            <w:bottom w:w="0" w:type="dxa"/>
            <w:right w:w="108" w:type="dxa"/>
          </w:tblCellMar>
        </w:tblPrEx>
        <w:trPr>
          <w:trHeight w:val="540" w:hRule="atLeast"/>
        </w:trPr>
        <w:tc>
          <w:tcPr>
            <w:tcW w:w="73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序号</w:t>
            </w:r>
          </w:p>
        </w:tc>
        <w:tc>
          <w:tcPr>
            <w:tcW w:w="2528" w:type="dxa"/>
            <w:tcBorders>
              <w:top w:val="single" w:color="auto" w:sz="4" w:space="0"/>
              <w:left w:val="nil"/>
              <w:bottom w:val="single" w:color="auto" w:sz="4" w:space="0"/>
              <w:right w:val="single" w:color="auto" w:sz="4" w:space="0"/>
            </w:tcBorders>
            <w:vAlign w:val="center"/>
          </w:tcPr>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项目名称</w:t>
            </w:r>
          </w:p>
        </w:tc>
        <w:tc>
          <w:tcPr>
            <w:tcW w:w="2512" w:type="dxa"/>
            <w:tcBorders>
              <w:top w:val="single" w:color="auto" w:sz="4" w:space="0"/>
              <w:left w:val="nil"/>
              <w:bottom w:val="single" w:color="auto" w:sz="4" w:space="0"/>
              <w:right w:val="single" w:color="auto" w:sz="4" w:space="0"/>
            </w:tcBorders>
            <w:shd w:val="clear" w:color="000000" w:fill="FFFFFF"/>
            <w:vAlign w:val="center"/>
          </w:tcPr>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服务范围</w:t>
            </w:r>
          </w:p>
        </w:tc>
        <w:tc>
          <w:tcPr>
            <w:tcW w:w="2107" w:type="dxa"/>
            <w:tcBorders>
              <w:top w:val="single" w:color="auto" w:sz="4" w:space="0"/>
              <w:left w:val="nil"/>
              <w:bottom w:val="single" w:color="auto" w:sz="4" w:space="0"/>
              <w:right w:val="single" w:color="auto" w:sz="4" w:space="0"/>
            </w:tcBorders>
            <w:shd w:val="clear" w:color="000000" w:fill="FFFFFF"/>
            <w:vAlign w:val="center"/>
          </w:tcPr>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预期目标和交付成果</w:t>
            </w:r>
          </w:p>
        </w:tc>
        <w:tc>
          <w:tcPr>
            <w:tcW w:w="1414" w:type="dxa"/>
            <w:tcBorders>
              <w:top w:val="single" w:color="auto" w:sz="4" w:space="0"/>
              <w:left w:val="single" w:color="auto" w:sz="4" w:space="0"/>
              <w:bottom w:val="single" w:color="auto" w:sz="4" w:space="0"/>
              <w:right w:val="single" w:color="auto" w:sz="4" w:space="0"/>
            </w:tcBorders>
            <w:shd w:val="clear" w:color="000000" w:fill="FFFFFF"/>
            <w:vAlign w:val="center"/>
          </w:tcPr>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备注</w:t>
            </w:r>
          </w:p>
        </w:tc>
      </w:tr>
      <w:tr>
        <w:tblPrEx>
          <w:tblCellMar>
            <w:top w:w="0" w:type="dxa"/>
            <w:left w:w="108" w:type="dxa"/>
            <w:bottom w:w="0" w:type="dxa"/>
            <w:right w:w="108" w:type="dxa"/>
          </w:tblCellMar>
        </w:tblPrEx>
        <w:trPr>
          <w:trHeight w:val="510" w:hRule="atLeast"/>
        </w:trPr>
        <w:tc>
          <w:tcPr>
            <w:tcW w:w="735" w:type="dxa"/>
            <w:tcBorders>
              <w:top w:val="nil"/>
              <w:left w:val="single" w:color="auto" w:sz="4" w:space="0"/>
              <w:bottom w:val="single" w:color="auto" w:sz="4" w:space="0"/>
              <w:right w:val="single" w:color="auto" w:sz="4" w:space="0"/>
            </w:tcBorders>
            <w:shd w:val="clear" w:color="000000" w:fill="FFFFFF"/>
            <w:vAlign w:val="center"/>
          </w:tcPr>
          <w:p>
            <w:pPr>
              <w:jc w:val="center"/>
              <w:rPr>
                <w:rFonts w:hint="eastAsia" w:ascii="仿宋" w:hAnsi="仿宋" w:eastAsia="仿宋"/>
                <w:color w:val="auto"/>
                <w:sz w:val="28"/>
                <w:szCs w:val="28"/>
                <w:highlight w:val="none"/>
              </w:rPr>
            </w:pPr>
            <w:r>
              <w:rPr>
                <w:rFonts w:ascii="仿宋" w:hAnsi="仿宋" w:eastAsia="仿宋"/>
                <w:color w:val="auto"/>
                <w:sz w:val="28"/>
                <w:szCs w:val="28"/>
                <w:highlight w:val="none"/>
              </w:rPr>
              <w:t>1</w:t>
            </w:r>
          </w:p>
        </w:tc>
        <w:tc>
          <w:tcPr>
            <w:tcW w:w="2528" w:type="dxa"/>
            <w:tcBorders>
              <w:top w:val="nil"/>
              <w:left w:val="nil"/>
              <w:bottom w:val="single" w:color="auto" w:sz="4" w:space="0"/>
              <w:right w:val="single" w:color="auto" w:sz="4" w:space="0"/>
            </w:tcBorders>
            <w:shd w:val="clear" w:color="000000" w:fill="FFFFFF"/>
            <w:vAlign w:val="center"/>
          </w:tcPr>
          <w:p>
            <w:pPr>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专利信息检索、月度专利台账查询</w:t>
            </w:r>
            <w:r>
              <w:rPr>
                <w:rFonts w:hint="eastAsia" w:ascii="仿宋" w:hAnsi="仿宋" w:eastAsia="仿宋"/>
                <w:color w:val="auto"/>
                <w:sz w:val="28"/>
                <w:szCs w:val="28"/>
                <w:highlight w:val="none"/>
                <w:lang w:val="en-US" w:eastAsia="zh-CN"/>
              </w:rPr>
              <w:t>服务</w:t>
            </w:r>
          </w:p>
        </w:tc>
        <w:tc>
          <w:tcPr>
            <w:tcW w:w="2512" w:type="dxa"/>
            <w:tcBorders>
              <w:top w:val="nil"/>
              <w:left w:val="nil"/>
              <w:bottom w:val="single" w:color="auto" w:sz="4" w:space="0"/>
              <w:right w:val="single" w:color="auto" w:sz="4" w:space="0"/>
            </w:tcBorders>
            <w:shd w:val="clear" w:color="000000" w:fill="FFFFFF"/>
            <w:vAlign w:val="center"/>
          </w:tcPr>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见第2节</w:t>
            </w:r>
          </w:p>
        </w:tc>
        <w:tc>
          <w:tcPr>
            <w:tcW w:w="2107" w:type="dxa"/>
            <w:tcBorders>
              <w:top w:val="nil"/>
              <w:left w:val="nil"/>
              <w:bottom w:val="single" w:color="auto" w:sz="4" w:space="0"/>
              <w:right w:val="single" w:color="auto" w:sz="4" w:space="0"/>
            </w:tcBorders>
            <w:shd w:val="clear" w:color="000000" w:fill="FFFFFF"/>
            <w:vAlign w:val="center"/>
          </w:tcPr>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见第2节</w:t>
            </w:r>
          </w:p>
        </w:tc>
        <w:tc>
          <w:tcPr>
            <w:tcW w:w="1414" w:type="dxa"/>
            <w:tcBorders>
              <w:top w:val="single" w:color="auto" w:sz="4" w:space="0"/>
              <w:left w:val="single" w:color="auto" w:sz="4" w:space="0"/>
              <w:bottom w:val="single" w:color="auto" w:sz="4" w:space="0"/>
              <w:right w:val="single" w:color="auto" w:sz="4" w:space="0"/>
            </w:tcBorders>
            <w:shd w:val="clear" w:color="000000" w:fill="FFFFFF"/>
            <w:vAlign w:val="center"/>
          </w:tcPr>
          <w:p>
            <w:pPr>
              <w:jc w:val="center"/>
              <w:rPr>
                <w:rFonts w:hint="eastAsia" w:ascii="仿宋" w:hAnsi="仿宋" w:eastAsia="仿宋"/>
                <w:color w:val="auto"/>
                <w:sz w:val="28"/>
                <w:szCs w:val="28"/>
                <w:highlight w:val="none"/>
              </w:rPr>
            </w:pPr>
            <w:r>
              <w:rPr>
                <w:rFonts w:ascii="仿宋" w:hAnsi="仿宋" w:eastAsia="仿宋"/>
                <w:color w:val="auto"/>
                <w:sz w:val="28"/>
                <w:szCs w:val="28"/>
                <w:highlight w:val="none"/>
              </w:rPr>
              <w:t>—</w:t>
            </w:r>
          </w:p>
        </w:tc>
      </w:tr>
    </w:tbl>
    <w:p>
      <w:pPr>
        <w:pStyle w:val="7"/>
        <w:snapToGrid w:val="0"/>
        <w:spacing w:line="360" w:lineRule="auto"/>
        <w:ind w:left="425" w:firstLine="0" w:firstLineChars="0"/>
        <w:rPr>
          <w:rFonts w:hint="eastAsia" w:ascii="仿宋" w:hAnsi="仿宋" w:eastAsia="仿宋"/>
          <w:color w:val="auto"/>
          <w:sz w:val="28"/>
          <w:szCs w:val="28"/>
          <w:highlight w:val="none"/>
        </w:rPr>
      </w:pPr>
    </w:p>
    <w:p>
      <w:pPr>
        <w:pStyle w:val="7"/>
        <w:numPr>
          <w:ilvl w:val="0"/>
          <w:numId w:val="1"/>
        </w:numPr>
        <w:snapToGrid w:val="0"/>
        <w:spacing w:line="360" w:lineRule="auto"/>
        <w:ind w:firstLineChars="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委托内容和要求</w:t>
      </w:r>
    </w:p>
    <w:p>
      <w:pPr>
        <w:pStyle w:val="7"/>
        <w:numPr>
          <w:ilvl w:val="1"/>
          <w:numId w:val="1"/>
        </w:numPr>
        <w:snapToGrid w:val="0"/>
        <w:spacing w:line="360" w:lineRule="auto"/>
        <w:ind w:firstLineChars="0"/>
        <w:rPr>
          <w:rFonts w:hint="eastAsia" w:ascii="仿宋" w:hAnsi="仿宋" w:eastAsia="仿宋"/>
          <w:color w:val="auto"/>
          <w:sz w:val="28"/>
          <w:szCs w:val="28"/>
          <w:highlight w:val="none"/>
        </w:rPr>
      </w:pPr>
      <w:r>
        <w:rPr>
          <w:rFonts w:hint="eastAsia" w:ascii="仿宋" w:hAnsi="仿宋" w:eastAsia="仿宋"/>
          <w:color w:val="auto"/>
          <w:kern w:val="0"/>
          <w:sz w:val="28"/>
          <w:szCs w:val="28"/>
          <w:highlight w:val="none"/>
        </w:rPr>
        <w:t>项目说明：</w:t>
      </w:r>
    </w:p>
    <w:p>
      <w:pPr>
        <w:pStyle w:val="7"/>
        <w:snapToGrid w:val="0"/>
        <w:spacing w:line="360" w:lineRule="auto"/>
        <w:ind w:left="425" w:firstLine="560" w:firstLineChars="200"/>
        <w:rPr>
          <w:rFonts w:ascii="仿宋" w:hAnsi="仿宋" w:eastAsia="仿宋"/>
          <w:color w:val="auto"/>
          <w:kern w:val="0"/>
          <w:sz w:val="28"/>
          <w:szCs w:val="28"/>
          <w:highlight w:val="none"/>
        </w:rPr>
      </w:pPr>
      <w:r>
        <w:rPr>
          <w:rFonts w:hint="eastAsia" w:ascii="仿宋" w:hAnsi="仿宋" w:eastAsia="仿宋"/>
          <w:color w:val="auto"/>
          <w:kern w:val="0"/>
          <w:sz w:val="28"/>
          <w:szCs w:val="28"/>
          <w:highlight w:val="none"/>
        </w:rPr>
        <w:t>为云南电科院知识产权相关部门提供专利检索分析账号2个，辅助相关专利人员在日常流程中开展检索、专利分析工作。</w:t>
      </w:r>
    </w:p>
    <w:p>
      <w:pPr>
        <w:pStyle w:val="7"/>
        <w:snapToGrid w:val="0"/>
        <w:spacing w:line="360" w:lineRule="auto"/>
        <w:ind w:left="425" w:firstLine="560" w:firstLineChars="200"/>
        <w:rPr>
          <w:rFonts w:hint="eastAsia" w:ascii="仿宋" w:hAnsi="仿宋" w:eastAsia="仿宋"/>
          <w:color w:val="auto"/>
          <w:kern w:val="0"/>
          <w:sz w:val="28"/>
          <w:szCs w:val="28"/>
          <w:highlight w:val="none"/>
        </w:rPr>
      </w:pPr>
      <w:r>
        <w:rPr>
          <w:rFonts w:hint="eastAsia" w:ascii="仿宋" w:hAnsi="仿宋" w:eastAsia="仿宋"/>
          <w:color w:val="auto"/>
          <w:kern w:val="0"/>
          <w:sz w:val="28"/>
          <w:szCs w:val="28"/>
          <w:highlight w:val="none"/>
        </w:rPr>
        <w:t>平台需</w:t>
      </w:r>
      <w:r>
        <w:rPr>
          <w:rFonts w:hint="eastAsia" w:ascii="仿宋" w:hAnsi="仿宋" w:eastAsia="仿宋"/>
          <w:color w:val="auto"/>
          <w:kern w:val="0"/>
          <w:sz w:val="28"/>
          <w:szCs w:val="28"/>
          <w:highlight w:val="none"/>
          <w:lang w:val="en-US" w:eastAsia="zh-CN"/>
        </w:rPr>
        <w:t>不同国家</w:t>
      </w:r>
      <w:r>
        <w:rPr>
          <w:rFonts w:hint="eastAsia" w:ascii="仿宋" w:hAnsi="仿宋" w:eastAsia="仿宋"/>
          <w:color w:val="auto"/>
          <w:kern w:val="0"/>
          <w:sz w:val="28"/>
          <w:szCs w:val="28"/>
          <w:highlight w:val="none"/>
        </w:rPr>
        <w:t>专利数据，包括标题摘要中文翻译、标准化申请人辅助工具/工商信息、转让、许可、诉讼、权利人变更、无效、复审、国防解密、在售、标准专利、质押、保全、海关备案 、FDA等数据，助力科技文献查新。</w:t>
      </w:r>
    </w:p>
    <w:p>
      <w:pPr>
        <w:pStyle w:val="7"/>
        <w:snapToGrid w:val="0"/>
        <w:spacing w:line="360" w:lineRule="auto"/>
        <w:ind w:left="425" w:firstLine="560" w:firstLineChars="200"/>
        <w:rPr>
          <w:rFonts w:hint="eastAsia" w:ascii="仿宋" w:hAnsi="仿宋" w:eastAsia="仿宋"/>
          <w:color w:val="auto"/>
          <w:kern w:val="0"/>
          <w:sz w:val="28"/>
          <w:szCs w:val="28"/>
          <w:highlight w:val="none"/>
        </w:rPr>
      </w:pPr>
      <w:r>
        <w:rPr>
          <w:rFonts w:hint="eastAsia" w:ascii="仿宋" w:hAnsi="仿宋" w:eastAsia="仿宋"/>
          <w:color w:val="auto"/>
          <w:kern w:val="0"/>
          <w:sz w:val="28"/>
          <w:szCs w:val="28"/>
          <w:highlight w:val="none"/>
          <w:lang w:val="en-US" w:eastAsia="zh-CN"/>
        </w:rPr>
        <w:t>提供专利关注功能，能</w:t>
      </w:r>
      <w:r>
        <w:rPr>
          <w:rFonts w:hint="eastAsia" w:ascii="仿宋" w:hAnsi="仿宋" w:eastAsia="仿宋"/>
          <w:color w:val="auto"/>
          <w:kern w:val="0"/>
          <w:sz w:val="28"/>
          <w:szCs w:val="28"/>
          <w:highlight w:val="none"/>
        </w:rPr>
        <w:t>户定期关注竞争对手或者重点技术的最新专利公开情况和专利状态变化情况，可以对指定检索式周期性地关注最新检索结果命中，或者对指定专利数据周期性关注状态变化。</w:t>
      </w:r>
      <w:r>
        <w:rPr>
          <w:rFonts w:hint="eastAsia" w:ascii="仿宋" w:hAnsi="仿宋" w:eastAsia="仿宋"/>
          <w:color w:val="auto"/>
          <w:kern w:val="0"/>
          <w:sz w:val="28"/>
          <w:szCs w:val="28"/>
          <w:highlight w:val="none"/>
          <w:lang w:val="en-US" w:eastAsia="zh-CN"/>
        </w:rPr>
        <w:t>能</w:t>
      </w:r>
      <w:r>
        <w:rPr>
          <w:rFonts w:hint="eastAsia" w:ascii="仿宋" w:hAnsi="仿宋" w:eastAsia="仿宋"/>
          <w:color w:val="auto"/>
          <w:kern w:val="0"/>
          <w:sz w:val="28"/>
          <w:szCs w:val="28"/>
          <w:highlight w:val="none"/>
        </w:rPr>
        <w:t>设置的关注周期、发送内容和文件格式，可以定期向指定邮箱发送专利关注结果。</w:t>
      </w:r>
    </w:p>
    <w:p>
      <w:pPr>
        <w:pStyle w:val="7"/>
        <w:numPr>
          <w:ilvl w:val="1"/>
          <w:numId w:val="1"/>
        </w:numPr>
        <w:snapToGrid w:val="0"/>
        <w:spacing w:line="360" w:lineRule="auto"/>
        <w:ind w:firstLineChars="0"/>
        <w:rPr>
          <w:rFonts w:hint="eastAsia" w:ascii="仿宋" w:hAnsi="仿宋" w:eastAsia="仿宋"/>
          <w:color w:val="auto"/>
          <w:kern w:val="0"/>
          <w:sz w:val="28"/>
          <w:szCs w:val="28"/>
          <w:highlight w:val="none"/>
        </w:rPr>
      </w:pPr>
      <w:r>
        <w:rPr>
          <w:rFonts w:hint="eastAsia" w:ascii="仿宋" w:hAnsi="仿宋" w:eastAsia="仿宋"/>
          <w:color w:val="auto"/>
          <w:kern w:val="0"/>
          <w:sz w:val="28"/>
          <w:szCs w:val="28"/>
          <w:highlight w:val="none"/>
        </w:rPr>
        <w:t>预期目标和交付成果：</w:t>
      </w:r>
    </w:p>
    <w:p>
      <w:pPr>
        <w:pStyle w:val="7"/>
        <w:snapToGrid w:val="0"/>
        <w:spacing w:line="360" w:lineRule="auto"/>
        <w:ind w:right="26" w:firstLineChars="0"/>
        <w:rPr>
          <w:rFonts w:hint="eastAsia" w:ascii="仿宋" w:hAnsi="仿宋" w:eastAsia="仿宋"/>
          <w:color w:val="auto"/>
          <w:kern w:val="0"/>
          <w:sz w:val="28"/>
          <w:szCs w:val="28"/>
          <w:highlight w:val="none"/>
        </w:rPr>
      </w:pPr>
      <w:r>
        <w:rPr>
          <w:rFonts w:hint="eastAsia" w:ascii="仿宋" w:hAnsi="仿宋" w:eastAsia="仿宋"/>
          <w:color w:val="auto"/>
          <w:kern w:val="0"/>
          <w:sz w:val="28"/>
          <w:szCs w:val="28"/>
          <w:highlight w:val="none"/>
        </w:rPr>
        <w:t>通过使用专利检索分析账号辅助专利管理人员开展工作，提高工作效率；交付成果：提供</w:t>
      </w:r>
      <w:r>
        <w:rPr>
          <w:rFonts w:hint="eastAsia" w:ascii="仿宋" w:hAnsi="仿宋" w:eastAsia="仿宋"/>
          <w:color w:val="auto"/>
          <w:sz w:val="28"/>
          <w:szCs w:val="28"/>
          <w:highlight w:val="none"/>
        </w:rPr>
        <w:t>全球科技分析运营平台2个账号一年服务权限，</w:t>
      </w:r>
      <w:r>
        <w:rPr>
          <w:rFonts w:hint="eastAsia" w:ascii="仿宋" w:hAnsi="仿宋" w:eastAsia="仿宋"/>
          <w:color w:val="auto"/>
          <w:kern w:val="0"/>
          <w:sz w:val="28"/>
          <w:szCs w:val="28"/>
          <w:highlight w:val="none"/>
        </w:rPr>
        <w:t>满足院专利相关的部门使用。</w:t>
      </w:r>
    </w:p>
    <w:p>
      <w:pPr>
        <w:pStyle w:val="7"/>
        <w:numPr>
          <w:ilvl w:val="1"/>
          <w:numId w:val="1"/>
        </w:numPr>
        <w:snapToGrid w:val="0"/>
        <w:spacing w:line="360" w:lineRule="auto"/>
        <w:ind w:firstLineChars="0"/>
        <w:rPr>
          <w:rFonts w:hint="eastAsia" w:ascii="仿宋" w:hAnsi="仿宋" w:eastAsia="仿宋"/>
          <w:color w:val="auto"/>
          <w:kern w:val="0"/>
          <w:sz w:val="28"/>
          <w:szCs w:val="28"/>
          <w:highlight w:val="none"/>
        </w:rPr>
      </w:pPr>
      <w:r>
        <w:rPr>
          <w:rFonts w:hint="eastAsia" w:ascii="仿宋" w:hAnsi="仿宋" w:eastAsia="仿宋"/>
          <w:color w:val="auto"/>
          <w:kern w:val="0"/>
          <w:sz w:val="28"/>
          <w:szCs w:val="28"/>
          <w:highlight w:val="none"/>
        </w:rPr>
        <w:t xml:space="preserve">服务期限： </w:t>
      </w:r>
      <w:bookmarkStart w:id="2" w:name="_GoBack"/>
      <w:bookmarkEnd w:id="2"/>
    </w:p>
    <w:p>
      <w:pPr>
        <w:pStyle w:val="7"/>
        <w:numPr>
          <w:ilvl w:val="0"/>
          <w:numId w:val="0"/>
        </w:numPr>
        <w:snapToGrid w:val="0"/>
        <w:spacing w:line="360" w:lineRule="auto"/>
        <w:ind w:firstLine="560" w:firstLineChars="200"/>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完成采购后，开通账号并具备使用条件起1年内。</w:t>
      </w:r>
    </w:p>
    <w:p>
      <w:pPr>
        <w:pStyle w:val="7"/>
        <w:numPr>
          <w:ilvl w:val="1"/>
          <w:numId w:val="1"/>
        </w:numPr>
        <w:snapToGrid w:val="0"/>
        <w:spacing w:line="360" w:lineRule="auto"/>
        <w:ind w:firstLineChars="0"/>
        <w:rPr>
          <w:rFonts w:hint="eastAsia" w:ascii="仿宋" w:hAnsi="仿宋" w:eastAsia="仿宋"/>
          <w:color w:val="auto"/>
          <w:kern w:val="0"/>
          <w:sz w:val="28"/>
          <w:szCs w:val="28"/>
          <w:highlight w:val="none"/>
        </w:rPr>
      </w:pPr>
      <w:r>
        <w:rPr>
          <w:rFonts w:hint="eastAsia" w:ascii="仿宋" w:hAnsi="仿宋" w:eastAsia="仿宋"/>
          <w:color w:val="auto"/>
          <w:kern w:val="0"/>
          <w:sz w:val="28"/>
          <w:szCs w:val="28"/>
          <w:highlight w:val="none"/>
        </w:rPr>
        <w:t xml:space="preserve"> 工作进度安排：</w:t>
      </w:r>
    </w:p>
    <w:p>
      <w:pPr>
        <w:pStyle w:val="7"/>
        <w:snapToGrid w:val="0"/>
        <w:spacing w:line="360" w:lineRule="auto"/>
        <w:ind w:left="0" w:leftChars="0" w:firstLine="560" w:firstLineChars="200"/>
        <w:rPr>
          <w:rFonts w:hint="eastAsia" w:ascii="仿宋" w:hAnsi="仿宋" w:eastAsia="仿宋"/>
          <w:color w:val="auto"/>
          <w:kern w:val="0"/>
          <w:sz w:val="28"/>
          <w:szCs w:val="28"/>
          <w:highlight w:val="none"/>
        </w:rPr>
      </w:pPr>
      <w:r>
        <w:rPr>
          <w:rFonts w:hint="eastAsia" w:ascii="仿宋" w:hAnsi="仿宋" w:eastAsia="仿宋"/>
          <w:color w:val="auto"/>
          <w:kern w:val="0"/>
          <w:sz w:val="28"/>
          <w:szCs w:val="28"/>
          <w:highlight w:val="none"/>
        </w:rPr>
        <w:t>合同签订后5个工作日内</w:t>
      </w:r>
      <w:r>
        <w:rPr>
          <w:rFonts w:ascii="仿宋" w:hAnsi="仿宋" w:eastAsia="仿宋"/>
          <w:color w:val="auto"/>
          <w:kern w:val="0"/>
          <w:sz w:val="28"/>
          <w:szCs w:val="28"/>
          <w:highlight w:val="none"/>
        </w:rPr>
        <w:t>完成全部</w:t>
      </w:r>
      <w:r>
        <w:rPr>
          <w:rFonts w:hint="eastAsia" w:ascii="仿宋" w:hAnsi="仿宋" w:eastAsia="仿宋"/>
          <w:color w:val="auto"/>
          <w:kern w:val="0"/>
          <w:sz w:val="28"/>
          <w:szCs w:val="28"/>
          <w:highlight w:val="none"/>
        </w:rPr>
        <w:t>平台账号开通工作</w:t>
      </w:r>
    </w:p>
    <w:p>
      <w:pPr>
        <w:pStyle w:val="7"/>
        <w:numPr>
          <w:ilvl w:val="1"/>
          <w:numId w:val="1"/>
        </w:numPr>
        <w:snapToGrid w:val="0"/>
        <w:spacing w:line="360" w:lineRule="auto"/>
        <w:ind w:firstLineChars="0"/>
        <w:rPr>
          <w:rFonts w:hint="eastAsia" w:ascii="仿宋" w:hAnsi="仿宋" w:eastAsia="仿宋"/>
          <w:color w:val="auto"/>
          <w:sz w:val="28"/>
          <w:szCs w:val="28"/>
          <w:highlight w:val="none"/>
        </w:rPr>
      </w:pPr>
      <w:r>
        <w:rPr>
          <w:rFonts w:hint="eastAsia" w:ascii="仿宋" w:hAnsi="仿宋" w:eastAsia="仿宋"/>
          <w:color w:val="auto"/>
          <w:kern w:val="0"/>
          <w:sz w:val="28"/>
          <w:szCs w:val="28"/>
          <w:highlight w:val="none"/>
        </w:rPr>
        <w:t>验收：</w:t>
      </w:r>
      <w:r>
        <w:rPr>
          <w:rFonts w:ascii="仿宋" w:hAnsi="仿宋" w:eastAsia="仿宋"/>
          <w:color w:val="auto"/>
          <w:sz w:val="28"/>
          <w:szCs w:val="28"/>
          <w:highlight w:val="none"/>
        </w:rPr>
        <w:t xml:space="preserve"> </w:t>
      </w:r>
    </w:p>
    <w:p>
      <w:pPr>
        <w:snapToGrid w:val="0"/>
        <w:spacing w:line="360" w:lineRule="auto"/>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经采购方确认符合功能要求为验收合格。</w:t>
      </w:r>
    </w:p>
    <w:p>
      <w:pPr>
        <w:pStyle w:val="7"/>
        <w:numPr>
          <w:ilvl w:val="1"/>
          <w:numId w:val="1"/>
        </w:numPr>
        <w:snapToGrid w:val="0"/>
        <w:spacing w:line="360" w:lineRule="auto"/>
        <w:ind w:firstLineChars="0"/>
        <w:rPr>
          <w:rFonts w:hint="eastAsia" w:ascii="仿宋" w:hAnsi="仿宋" w:eastAsia="仿宋"/>
          <w:color w:val="auto"/>
          <w:sz w:val="28"/>
          <w:szCs w:val="28"/>
          <w:highlight w:val="none"/>
        </w:rPr>
      </w:pPr>
      <w:r>
        <w:rPr>
          <w:rFonts w:hint="eastAsia" w:ascii="仿宋" w:hAnsi="仿宋" w:eastAsia="仿宋"/>
          <w:color w:val="auto"/>
          <w:kern w:val="0"/>
          <w:sz w:val="28"/>
          <w:szCs w:val="28"/>
          <w:highlight w:val="none"/>
        </w:rPr>
        <w:t xml:space="preserve"> 培训：</w:t>
      </w:r>
      <w:r>
        <w:rPr>
          <w:rFonts w:ascii="仿宋" w:hAnsi="仿宋" w:eastAsia="仿宋"/>
          <w:color w:val="auto"/>
          <w:sz w:val="28"/>
          <w:szCs w:val="28"/>
          <w:highlight w:val="none"/>
        </w:rPr>
        <w:t xml:space="preserve"> </w:t>
      </w:r>
    </w:p>
    <w:p>
      <w:pPr>
        <w:pStyle w:val="7"/>
        <w:snapToGrid w:val="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服务期内</w:t>
      </w:r>
      <w:r>
        <w:rPr>
          <w:rFonts w:hint="eastAsia" w:ascii="仿宋" w:hAnsi="仿宋" w:eastAsia="仿宋"/>
          <w:color w:val="auto"/>
          <w:sz w:val="28"/>
          <w:szCs w:val="28"/>
          <w:highlight w:val="none"/>
          <w:lang w:val="en-US" w:eastAsia="zh-CN"/>
        </w:rPr>
        <w:t>根据采购方需求提供</w:t>
      </w:r>
      <w:r>
        <w:rPr>
          <w:rFonts w:hint="eastAsia" w:ascii="仿宋" w:hAnsi="仿宋" w:eastAsia="仿宋"/>
          <w:color w:val="auto"/>
          <w:sz w:val="28"/>
          <w:szCs w:val="28"/>
          <w:highlight w:val="none"/>
        </w:rPr>
        <w:t>在线或线下的系统使用培训。</w:t>
      </w:r>
    </w:p>
    <w:p>
      <w:pPr>
        <w:pStyle w:val="7"/>
        <w:numPr>
          <w:ilvl w:val="1"/>
          <w:numId w:val="1"/>
        </w:numPr>
        <w:snapToGrid w:val="0"/>
        <w:spacing w:line="360" w:lineRule="auto"/>
        <w:ind w:firstLineChars="0"/>
        <w:rPr>
          <w:rFonts w:hint="eastAsia" w:ascii="仿宋" w:hAnsi="仿宋" w:eastAsia="仿宋"/>
          <w:color w:val="auto"/>
          <w:kern w:val="0"/>
          <w:sz w:val="28"/>
          <w:szCs w:val="28"/>
          <w:highlight w:val="none"/>
        </w:rPr>
      </w:pPr>
      <w:r>
        <w:rPr>
          <w:rFonts w:hint="eastAsia" w:ascii="仿宋" w:hAnsi="仿宋" w:eastAsia="仿宋"/>
          <w:color w:val="auto"/>
          <w:kern w:val="0"/>
          <w:sz w:val="28"/>
          <w:szCs w:val="28"/>
          <w:highlight w:val="none"/>
        </w:rPr>
        <w:t xml:space="preserve"> 质量保证及售后服务：</w:t>
      </w:r>
    </w:p>
    <w:p>
      <w:pPr>
        <w:pStyle w:val="7"/>
        <w:snapToGrid w:val="0"/>
        <w:spacing w:line="360" w:lineRule="auto"/>
        <w:ind w:left="0" w:leftChars="0" w:firstLine="560" w:firstLineChars="200"/>
        <w:rPr>
          <w:rFonts w:hint="eastAsia" w:ascii="仿宋" w:hAnsi="仿宋" w:eastAsia="仿宋"/>
          <w:color w:val="auto"/>
          <w:kern w:val="0"/>
          <w:sz w:val="28"/>
          <w:szCs w:val="28"/>
          <w:highlight w:val="none"/>
        </w:rPr>
      </w:pPr>
      <w:r>
        <w:rPr>
          <w:rFonts w:hint="eastAsia" w:ascii="仿宋" w:hAnsi="仿宋" w:eastAsia="仿宋"/>
          <w:color w:val="auto"/>
          <w:kern w:val="0"/>
          <w:sz w:val="28"/>
          <w:szCs w:val="28"/>
          <w:highlight w:val="none"/>
        </w:rPr>
        <w:t>质量保证：专利检索分析账号数据来源渠道合法、正规，数据真实有效，数据更新速度快，数据精准度高。</w:t>
      </w:r>
    </w:p>
    <w:p>
      <w:pPr>
        <w:pStyle w:val="7"/>
        <w:snapToGrid w:val="0"/>
        <w:spacing w:line="360" w:lineRule="auto"/>
        <w:rPr>
          <w:rFonts w:ascii="仿宋" w:hAnsi="仿宋" w:eastAsia="仿宋"/>
          <w:color w:val="auto"/>
          <w:kern w:val="0"/>
          <w:sz w:val="28"/>
          <w:szCs w:val="28"/>
          <w:highlight w:val="none"/>
        </w:rPr>
      </w:pPr>
      <w:r>
        <w:rPr>
          <w:rFonts w:hint="eastAsia" w:ascii="仿宋" w:hAnsi="仿宋" w:eastAsia="仿宋"/>
          <w:color w:val="auto"/>
          <w:kern w:val="0"/>
          <w:sz w:val="28"/>
          <w:szCs w:val="28"/>
          <w:highlight w:val="none"/>
        </w:rPr>
        <w:t>售后服务：服务期内，可以支持上门+远程在线服务解答，技术体系建设项目提供5x8小时的全天服务。</w:t>
      </w:r>
    </w:p>
    <w:p>
      <w:pPr>
        <w:pStyle w:val="7"/>
        <w:snapToGrid w:val="0"/>
        <w:spacing w:line="360" w:lineRule="auto"/>
        <w:ind w:firstLineChars="0"/>
        <w:rPr>
          <w:rFonts w:hint="default" w:ascii="仿宋" w:hAnsi="仿宋" w:eastAsia="仿宋"/>
          <w:color w:val="auto"/>
          <w:kern w:val="0"/>
          <w:sz w:val="28"/>
          <w:szCs w:val="28"/>
          <w:highlight w:val="none"/>
          <w:lang w:val="en-US" w:eastAsia="zh-CN"/>
        </w:rPr>
      </w:pPr>
      <w:r>
        <w:rPr>
          <w:rFonts w:hint="eastAsia" w:ascii="仿宋" w:hAnsi="仿宋" w:eastAsia="仿宋"/>
          <w:color w:val="auto"/>
          <w:kern w:val="0"/>
          <w:sz w:val="28"/>
          <w:szCs w:val="28"/>
          <w:highlight w:val="none"/>
        </w:rPr>
        <w:t>2.8 其它：</w:t>
      </w:r>
      <w:r>
        <w:rPr>
          <w:rFonts w:hint="eastAsia" w:ascii="仿宋" w:hAnsi="仿宋" w:eastAsia="仿宋"/>
          <w:color w:val="auto"/>
          <w:kern w:val="0"/>
          <w:sz w:val="28"/>
          <w:szCs w:val="28"/>
          <w:highlight w:val="none"/>
          <w:lang w:val="en-US" w:eastAsia="zh-CN"/>
        </w:rPr>
        <w:t>完成采购，交付</w:t>
      </w:r>
      <w:r>
        <w:rPr>
          <w:rFonts w:hint="eastAsia" w:ascii="仿宋" w:hAnsi="仿宋" w:eastAsia="仿宋"/>
          <w:color w:val="auto"/>
          <w:sz w:val="28"/>
          <w:szCs w:val="28"/>
          <w:highlight w:val="none"/>
        </w:rPr>
        <w:t>账号</w:t>
      </w:r>
      <w:r>
        <w:rPr>
          <w:rFonts w:hint="eastAsia" w:ascii="仿宋" w:hAnsi="仿宋" w:eastAsia="仿宋"/>
          <w:color w:val="auto"/>
          <w:sz w:val="28"/>
          <w:szCs w:val="28"/>
          <w:highlight w:val="none"/>
          <w:lang w:val="en-US" w:eastAsia="zh-CN"/>
        </w:rPr>
        <w:t>能</w:t>
      </w:r>
      <w:r>
        <w:rPr>
          <w:rFonts w:hint="eastAsia" w:ascii="仿宋" w:hAnsi="仿宋" w:eastAsia="仿宋"/>
          <w:color w:val="auto"/>
          <w:sz w:val="28"/>
          <w:szCs w:val="28"/>
          <w:highlight w:val="none"/>
        </w:rPr>
        <w:t>正常访问</w:t>
      </w:r>
      <w:r>
        <w:rPr>
          <w:rFonts w:hint="eastAsia" w:ascii="仿宋" w:hAnsi="仿宋" w:eastAsia="仿宋"/>
          <w:color w:val="auto"/>
          <w:sz w:val="28"/>
          <w:szCs w:val="28"/>
          <w:highlight w:val="none"/>
          <w:lang w:val="en-US" w:eastAsia="zh-CN"/>
        </w:rPr>
        <w:t>后付款。</w:t>
      </w:r>
    </w:p>
    <w:sectPr>
      <w:headerReference r:id="rId5" w:type="default"/>
      <w:footerReference r:id="rId6" w:type="default"/>
      <w:footerReference r:id="rId7" w:type="even"/>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page" w:x="5880" w:y="-14"/>
      <w:rPr>
        <w:rStyle w:val="6"/>
      </w:rPr>
    </w:pPr>
    <w:r>
      <w:fldChar w:fldCharType="begin"/>
    </w:r>
    <w:r>
      <w:rPr>
        <w:rStyle w:val="6"/>
      </w:rPr>
      <w:instrText xml:space="preserve">PAGE  </w:instrText>
    </w:r>
    <w:r>
      <w:fldChar w:fldCharType="separate"/>
    </w:r>
    <w:r>
      <w:rPr>
        <w:rStyle w:val="6"/>
      </w:rPr>
      <w:t>12</w:t>
    </w:r>
    <w:r>
      <w:fldChar w:fldCharType="end"/>
    </w:r>
  </w:p>
  <w:p>
    <w:pPr>
      <w:pStyle w:val="2"/>
      <w:spacing w:line="360" w:lineRule="auto"/>
      <w:ind w:right="360"/>
      <w:jc w:val="both"/>
      <w:rPr>
        <w:rFonts w:ascii="宋体"/>
        <w:b/>
        <w:bCs/>
      </w:rPr>
    </w:pPr>
    <w:r>
      <w:rPr>
        <w:rFonts w:hint="eastAsia" w:ascii="宋体"/>
        <w:bCs/>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right" w:y="1"/>
      <w:rPr>
        <w:rStyle w:val="6"/>
      </w:rPr>
    </w:pPr>
    <w:r>
      <w:fldChar w:fldCharType="begin"/>
    </w:r>
    <w:r>
      <w:rPr>
        <w:rStyle w:val="6"/>
      </w:rPr>
      <w:instrText xml:space="preserve">PAGE  </w:instrText>
    </w:r>
    <w:r>
      <w:fldChar w:fldCharType="separate"/>
    </w:r>
    <w:r>
      <w:fldChar w:fldCharType="end"/>
    </w:r>
  </w:p>
  <w:p>
    <w:pPr>
      <w:pStyle w:val="2"/>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left="-2" w:leftChars="-71" w:hanging="140" w:hangingChars="78"/>
      <w:jc w:val="left"/>
      <w:rPr>
        <w:rFonts w:hint="eastAsia" w:ascii="楷体_GB2312" w:hAnsi="宋体" w:eastAsia="楷体_GB2312"/>
      </w:rPr>
    </w:pPr>
    <w:r>
      <w:rPr>
        <w:rFonts w:hint="eastAsia" w:ascii="楷体_GB2312" w:hAnsi="宋体" w:eastAsia="楷体_GB2312"/>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5843CB9"/>
    <w:multiLevelType w:val="multilevel"/>
    <w:tmpl w:val="35843CB9"/>
    <w:lvl w:ilvl="0" w:tentative="0">
      <w:start w:val="1"/>
      <w:numFmt w:val="decimal"/>
      <w:lvlText w:val="%1"/>
      <w:lvlJc w:val="left"/>
      <w:pPr>
        <w:ind w:left="425" w:hanging="425"/>
      </w:p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C437F13"/>
    <w:rsid w:val="000E63A9"/>
    <w:rsid w:val="0018678B"/>
    <w:rsid w:val="001C0A7C"/>
    <w:rsid w:val="00332ECD"/>
    <w:rsid w:val="00441D7E"/>
    <w:rsid w:val="004A3856"/>
    <w:rsid w:val="005C1BD8"/>
    <w:rsid w:val="00794D2A"/>
    <w:rsid w:val="008C73E5"/>
    <w:rsid w:val="008F64D4"/>
    <w:rsid w:val="00A77355"/>
    <w:rsid w:val="00CB5A86"/>
    <w:rsid w:val="00D85BAF"/>
    <w:rsid w:val="04A647CA"/>
    <w:rsid w:val="051C4A8C"/>
    <w:rsid w:val="0A60541B"/>
    <w:rsid w:val="0B2616FF"/>
    <w:rsid w:val="0C437F13"/>
    <w:rsid w:val="0F0E3698"/>
    <w:rsid w:val="14A73D1D"/>
    <w:rsid w:val="15DF7B3C"/>
    <w:rsid w:val="1662251B"/>
    <w:rsid w:val="1FF37D51"/>
    <w:rsid w:val="23A91789"/>
    <w:rsid w:val="28186B84"/>
    <w:rsid w:val="35AC3565"/>
    <w:rsid w:val="41FC36BE"/>
    <w:rsid w:val="437C436D"/>
    <w:rsid w:val="443864E5"/>
    <w:rsid w:val="473A2575"/>
    <w:rsid w:val="4ACE3700"/>
    <w:rsid w:val="4D8F68DE"/>
    <w:rsid w:val="55C4407D"/>
    <w:rsid w:val="59505C28"/>
    <w:rsid w:val="59F9006D"/>
    <w:rsid w:val="60E2185B"/>
    <w:rsid w:val="64E04304"/>
    <w:rsid w:val="666B40A1"/>
    <w:rsid w:val="6B713F07"/>
    <w:rsid w:val="73D019E7"/>
    <w:rsid w:val="74820F33"/>
    <w:rsid w:val="792348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8" w:lineRule="auto"/>
    </w:pPr>
    <w:rPr>
      <w:rFonts w:ascii="Times New Roman" w:hAnsi="Times New Roman" w:eastAsia="宋体" w:cs="Times New Roman"/>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pPr>
    <w:rPr>
      <w:sz w:val="18"/>
      <w:szCs w:val="18"/>
    </w:rPr>
  </w:style>
  <w:style w:type="paragraph" w:styleId="3">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6">
    <w:name w:val="page number"/>
    <w:basedOn w:val="5"/>
    <w:qFormat/>
    <w:uiPriority w:val="0"/>
  </w:style>
  <w:style w:type="paragraph" w:customStyle="1" w:styleId="7">
    <w:name w:val="列出段落1"/>
    <w:basedOn w:val="1"/>
    <w:qFormat/>
    <w:uiPriority w:val="34"/>
    <w:pPr>
      <w:widowControl w:val="0"/>
      <w:ind w:firstLine="420" w:firstLineChars="200"/>
      <w:jc w:val="both"/>
    </w:pPr>
    <w:rPr>
      <w:kern w:val="2"/>
      <w:sz w:val="21"/>
      <w:szCs w:val="24"/>
    </w:rPr>
  </w:style>
  <w:style w:type="paragraph" w:customStyle="1" w:styleId="8">
    <w:name w:val="_Style 4"/>
    <w:basedOn w:val="1"/>
    <w:qFormat/>
    <w:uiPriority w:val="99"/>
    <w:pPr>
      <w:widowControl w:val="0"/>
      <w:adjustRightInd w:val="0"/>
      <w:snapToGrid w:val="0"/>
      <w:spacing w:line="360" w:lineRule="auto"/>
      <w:ind w:firstLine="420" w:firstLineChars="200"/>
      <w:jc w:val="both"/>
    </w:pPr>
    <w:rPr>
      <w:kern w:val="2"/>
      <w:sz w:val="28"/>
    </w:rPr>
  </w:style>
  <w:style w:type="paragraph" w:styleId="9">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电科院</Company>
  <Pages>2</Pages>
  <Words>634</Words>
  <Characters>640</Characters>
  <Lines>26</Lines>
  <Paragraphs>33</Paragraphs>
  <TotalTime>0</TotalTime>
  <ScaleCrop>false</ScaleCrop>
  <LinksUpToDate>false</LinksUpToDate>
  <CharactersWithSpaces>649</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2018-03-01T05:52:00Z</dcterms:created>
  <dc:creator>杨俊坤(兼职)</dc:creator>
  <cp:lastModifiedBy>张冀12:37:1</cp:lastModifiedBy>
  <dcterms:modified xsi:type="dcterms:W3CDTF">2025-12-02T05:51:20Z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KSOTemplateDocerSaveRecord">
    <vt:lpwstr>eyJoZGlkIjoiMzg0ZjlkMjhiMzM4YTE3YTlkMzJkYTVhMjFmYWIyMjMiLCJ1c2VySWQiOiIzMjcyNjUzODcifQ==</vt:lpwstr>
  </property>
  <property fmtid="{D5CDD505-2E9C-101B-9397-08002B2CF9AE}" pid="4" name="ICV">
    <vt:lpwstr>B0BFCB2C83CF4B21B98EE2522EB901FF_12</vt:lpwstr>
  </property>
  <property fmtid="{D5CDD505-2E9C-101B-9397-08002B2CF9AE}" pid="5" name="WondersoftTag">
    <vt:lpwstr>FDEFCD81-4383-46DF-9D5C-88E0115A3968#2#CE763402-C3894928-B49752A5-31D86BA0##0</vt:lpwstr>
  </property>
</Properties>
</file>