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低压发电车并车供电装置加工服务技术规范</w:t>
      </w:r>
    </w:p>
    <w:p>
      <w:pPr>
        <w:pStyle w:val="2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pStyle w:val="3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pStyle w:val="3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pStyle w:val="3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pStyle w:val="3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</w:p>
    <w:p>
      <w:pPr>
        <w:jc w:val="center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</w:rPr>
        <w:t>广西电网有限责任公司</w:t>
      </w:r>
      <w:r>
        <w:rPr>
          <w:rFonts w:hint="eastAsia"/>
          <w:sz w:val="28"/>
          <w:szCs w:val="28"/>
          <w:highlight w:val="none"/>
          <w:lang w:val="en-US" w:eastAsia="zh-CN"/>
        </w:rPr>
        <w:t>贵港供电局</w:t>
      </w:r>
    </w:p>
    <w:p>
      <w:pPr>
        <w:ind w:firstLine="0" w:firstLineChars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5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11</w:t>
      </w:r>
      <w:r>
        <w:rPr>
          <w:rFonts w:ascii="Times New Roman" w:hAnsi="Times New Roman" w:cs="Times New Roman"/>
          <w:sz w:val="28"/>
          <w:szCs w:val="28"/>
        </w:rPr>
        <w:t>月</w:t>
      </w:r>
    </w:p>
    <w:p>
      <w:pPr>
        <w:pStyle w:val="3"/>
        <w:jc w:val="both"/>
        <w:rPr>
          <w:rFonts w:hint="eastAsia"/>
          <w:lang w:val="en-US" w:eastAsia="zh-CN"/>
        </w:rPr>
      </w:pPr>
    </w:p>
    <w:p>
      <w:pPr>
        <w:pStyle w:val="4"/>
        <w:bidi w:val="0"/>
        <w:spacing w:before="0" w:after="0" w:line="36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Toc20446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1总则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1.1本技术规范书适用于贵港网区2025年第二</w:t>
      </w:r>
      <w:bookmarkStart w:id="13" w:name="_GoBack"/>
      <w:bookmarkEnd w:id="13"/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批职工技术创新项目“低压发电车并车供电装置”加工服务采购，提出了装置加工的技术和功能方面的要求，投标方必须认真阅读本技术条款内容，以免造成投标失败。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1.2本技术规范书提出的是最低限度的技术要求，并未对一切技术细节做出规定，也未充分引述有关标准和规范的条文，投标方应保证提供满足本技术规范书要求、满足有关国家质量标准要求、满足国家有关安全、环保等强制性标准和规范要求的完整服务和工作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1.3如果投标方没有以书面形式对本规范书的条款提出异议，则意味着投标方提供的服务和工作产品完全满足本规范书的要求。如有异议，还需以“差异表”的形式另外列出。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1.4 投标方应对本次投标所有文件保密，不得向其他单位公布或泄漏招标项目的有关信息。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1.5本技术规范书经双方确认后作为服务合同的技术附件，与合同正文具有同等的法律效力。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1.6本技术规范书未尽事宜，由招标方和投标方双方协商确定。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0" w:after="0"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1" w:name="_Toc4545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2标准和规程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除本标书特殊规定外,卖方所提供的设备均按规定的标准和规程的最新版本进行设计、制造、试验和安装。如果这些标准内容有矛盾时, 应按最高标准的条款执行或按双方商定的标准执行。如果卖方选用本标书规定以外的标准时, 则需提交这种替换标准供审查和分析。仅在卖方已证明替换标准相当或优于标书规定的标准, 并从买方处获得书面的认可才能使用。主要引用标准如下：</w:t>
      </w:r>
    </w:p>
    <w:tbl>
      <w:tblPr>
        <w:tblStyle w:val="16"/>
        <w:tblW w:w="885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79"/>
        <w:gridCol w:w="658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279" w:type="dxa"/>
            <w:noWrap w:val="0"/>
            <w:vAlign w:val="top"/>
          </w:tcPr>
          <w:p>
            <w:pPr>
              <w:snapToGrid w:val="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标准号-年份</w:t>
            </w:r>
          </w:p>
        </w:tc>
        <w:tc>
          <w:tcPr>
            <w:tcW w:w="6580" w:type="dxa"/>
            <w:noWrap w:val="0"/>
            <w:vAlign w:val="top"/>
          </w:tcPr>
          <w:p>
            <w:pPr>
              <w:snapToGrid w:val="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标准名称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279" w:type="dxa"/>
            <w:noWrap w:val="0"/>
            <w:vAlign w:val="top"/>
          </w:tcPr>
          <w:p>
            <w:pPr>
              <w:snapToGrid w:val="0"/>
              <w:spacing w:line="324" w:lineRule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GB/T 2900.55-2002</w:t>
            </w:r>
          </w:p>
        </w:tc>
        <w:tc>
          <w:tcPr>
            <w:tcW w:w="6580" w:type="dxa"/>
            <w:noWrap w:val="0"/>
            <w:vAlign w:val="top"/>
          </w:tcPr>
          <w:p>
            <w:pPr>
              <w:snapToGrid w:val="0"/>
              <w:spacing w:line="324" w:lineRule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电工术语 带电作业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279" w:type="dxa"/>
            <w:noWrap w:val="0"/>
            <w:vAlign w:val="top"/>
          </w:tcPr>
          <w:p>
            <w:pPr>
              <w:snapToGrid w:val="0"/>
              <w:spacing w:line="324" w:lineRule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GB50053-2013</w:t>
            </w:r>
          </w:p>
        </w:tc>
        <w:tc>
          <w:tcPr>
            <w:tcW w:w="6580" w:type="dxa"/>
            <w:noWrap w:val="0"/>
            <w:vAlign w:val="top"/>
          </w:tcPr>
          <w:p>
            <w:pPr>
              <w:snapToGrid w:val="0"/>
              <w:spacing w:line="324" w:lineRule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《20kV及以下变电所设计规范》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279" w:type="dxa"/>
            <w:noWrap w:val="0"/>
            <w:vAlign w:val="top"/>
          </w:tcPr>
          <w:p>
            <w:pPr>
              <w:snapToGrid w:val="0"/>
              <w:spacing w:line="324" w:lineRule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DL/T 976-2005</w:t>
            </w:r>
          </w:p>
        </w:tc>
        <w:tc>
          <w:tcPr>
            <w:tcW w:w="6580" w:type="dxa"/>
            <w:noWrap w:val="0"/>
            <w:vAlign w:val="top"/>
          </w:tcPr>
          <w:p>
            <w:pPr>
              <w:snapToGrid w:val="0"/>
              <w:spacing w:line="324" w:lineRule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带电作业工具、装置和设备预防性试验规程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</w:trPr>
        <w:tc>
          <w:tcPr>
            <w:tcW w:w="2279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Q/CSG222018-2011JA 502-2001</w:t>
            </w:r>
          </w:p>
        </w:tc>
        <w:tc>
          <w:tcPr>
            <w:tcW w:w="658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《南方电网公司有限责任公司技术标准管理规定》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279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IEC 60529</w:t>
            </w:r>
          </w:p>
        </w:tc>
        <w:tc>
          <w:tcPr>
            <w:tcW w:w="658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电气设备的外壳防护等级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2279" w:type="dxa"/>
            <w:noWrap w:val="0"/>
            <w:vAlign w:val="top"/>
          </w:tcPr>
          <w:p>
            <w:pPr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GB19517-2023</w:t>
            </w:r>
          </w:p>
        </w:tc>
        <w:tc>
          <w:tcPr>
            <w:tcW w:w="658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国家电气设备安全技术规范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2279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 xml:space="preserve">GB7251 </w:t>
            </w:r>
          </w:p>
        </w:tc>
        <w:tc>
          <w:tcPr>
            <w:tcW w:w="6580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 xml:space="preserve">      低压成套开关设备和控制设备</w:t>
            </w:r>
          </w:p>
        </w:tc>
      </w:tr>
    </w:tbl>
    <w:p>
      <w:pPr>
        <w:snapToGrid w:val="0"/>
        <w:spacing w:line="324" w:lineRule="auto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2" w:name="_Toc11768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 加工服务要求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3.1加工可进行低压发电车并车（两台发电车同时向一个用电负载）供电装置材料。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3.2可采样捕抓显示相序、相差，装置应具备完善、可靠的保护功能，具备本地RS485/Modbus通信接口，彩色触摸屏，。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3.3加工有快速接入发电车装置。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3.4加工有相序识别显示和并接同期装置，具有“恒定越前时间”全自动同期捕捉功能的材料。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3.5主要组件：带电指示灯、发电车两边相序的指示、闭锁、并接同期提示、分合闸开关。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3" w:name="_Toc31968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4加工服务指标要求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4.1加工材料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环境条件使用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指标要求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本规范书所规定的加工成品件，应能在下列环境条件使用：</w:t>
      </w:r>
    </w:p>
    <w:tbl>
      <w:tblPr>
        <w:tblStyle w:val="16"/>
        <w:tblW w:w="89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2115"/>
        <w:gridCol w:w="780"/>
        <w:gridCol w:w="987"/>
        <w:gridCol w:w="873"/>
        <w:gridCol w:w="900"/>
        <w:gridCol w:w="795"/>
        <w:gridCol w:w="1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2115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参数类型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单位</w:t>
            </w:r>
          </w:p>
        </w:tc>
        <w:tc>
          <w:tcPr>
            <w:tcW w:w="98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正常使用条件</w:t>
            </w:r>
          </w:p>
        </w:tc>
        <w:tc>
          <w:tcPr>
            <w:tcW w:w="873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特殊使用条件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项目需求值或表述</w:t>
            </w:r>
          </w:p>
        </w:tc>
        <w:tc>
          <w:tcPr>
            <w:tcW w:w="795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投标人保证值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备注（须说明本工程适用的是正常使用条件或是特殊使用条件）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8235" w:type="dxa"/>
            <w:gridSpan w:val="7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环境温度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115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最高日温度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℃</w:t>
            </w:r>
          </w:p>
        </w:tc>
        <w:tc>
          <w:tcPr>
            <w:tcW w:w="98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+40</w:t>
            </w:r>
          </w:p>
        </w:tc>
        <w:tc>
          <w:tcPr>
            <w:tcW w:w="873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85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2</w:t>
            </w:r>
          </w:p>
        </w:tc>
        <w:tc>
          <w:tcPr>
            <w:tcW w:w="2115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最低日温度</w:t>
            </w:r>
          </w:p>
        </w:tc>
        <w:tc>
          <w:tcPr>
            <w:tcW w:w="78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℃</w:t>
            </w:r>
          </w:p>
        </w:tc>
        <w:tc>
          <w:tcPr>
            <w:tcW w:w="987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-20</w:t>
            </w:r>
          </w:p>
        </w:tc>
        <w:tc>
          <w:tcPr>
            <w:tcW w:w="873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8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3</w:t>
            </w:r>
          </w:p>
        </w:tc>
        <w:tc>
          <w:tcPr>
            <w:tcW w:w="2115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最大日温差</w:t>
            </w:r>
          </w:p>
        </w:tc>
        <w:tc>
          <w:tcPr>
            <w:tcW w:w="78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℃</w:t>
            </w:r>
          </w:p>
        </w:tc>
        <w:tc>
          <w:tcPr>
            <w:tcW w:w="987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30</w:t>
            </w:r>
          </w:p>
        </w:tc>
        <w:tc>
          <w:tcPr>
            <w:tcW w:w="873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8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4</w:t>
            </w:r>
          </w:p>
        </w:tc>
        <w:tc>
          <w:tcPr>
            <w:tcW w:w="2115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年平均温度</w:t>
            </w:r>
          </w:p>
        </w:tc>
        <w:tc>
          <w:tcPr>
            <w:tcW w:w="78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℃</w:t>
            </w:r>
          </w:p>
        </w:tc>
        <w:tc>
          <w:tcPr>
            <w:tcW w:w="987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20</w:t>
            </w:r>
          </w:p>
        </w:tc>
        <w:tc>
          <w:tcPr>
            <w:tcW w:w="873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8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58" w:type="dxa"/>
            <w:noWrap w:val="0"/>
            <w:vAlign w:val="bottom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11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海拔</w:t>
            </w:r>
          </w:p>
        </w:tc>
        <w:tc>
          <w:tcPr>
            <w:tcW w:w="78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m</w:t>
            </w:r>
          </w:p>
        </w:tc>
        <w:tc>
          <w:tcPr>
            <w:tcW w:w="987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&lt;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000</w:t>
            </w:r>
          </w:p>
        </w:tc>
        <w:tc>
          <w:tcPr>
            <w:tcW w:w="873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8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58" w:type="dxa"/>
            <w:noWrap w:val="0"/>
            <w:vAlign w:val="bottom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6</w:t>
            </w:r>
          </w:p>
        </w:tc>
        <w:tc>
          <w:tcPr>
            <w:tcW w:w="211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风速</w:t>
            </w:r>
          </w:p>
        </w:tc>
        <w:tc>
          <w:tcPr>
            <w:tcW w:w="78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m/s</w:t>
            </w:r>
          </w:p>
        </w:tc>
        <w:tc>
          <w:tcPr>
            <w:tcW w:w="987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41</w:t>
            </w:r>
          </w:p>
        </w:tc>
        <w:tc>
          <w:tcPr>
            <w:tcW w:w="873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8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58" w:type="dxa"/>
            <w:noWrap w:val="0"/>
            <w:vAlign w:val="bottom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7</w:t>
            </w:r>
          </w:p>
        </w:tc>
        <w:tc>
          <w:tcPr>
            <w:tcW w:w="211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最大日相对湿度</w:t>
            </w:r>
          </w:p>
        </w:tc>
        <w:tc>
          <w:tcPr>
            <w:tcW w:w="78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%</w:t>
            </w:r>
          </w:p>
        </w:tc>
        <w:tc>
          <w:tcPr>
            <w:tcW w:w="987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95</w:t>
            </w:r>
          </w:p>
        </w:tc>
        <w:tc>
          <w:tcPr>
            <w:tcW w:w="873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8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58" w:type="dxa"/>
            <w:noWrap w:val="0"/>
            <w:vAlign w:val="bottom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211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最大月平均相对湿度</w:t>
            </w:r>
          </w:p>
        </w:tc>
        <w:tc>
          <w:tcPr>
            <w:tcW w:w="78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%</w:t>
            </w:r>
          </w:p>
        </w:tc>
        <w:tc>
          <w:tcPr>
            <w:tcW w:w="987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90</w:t>
            </w:r>
          </w:p>
        </w:tc>
        <w:tc>
          <w:tcPr>
            <w:tcW w:w="873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8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58" w:type="dxa"/>
            <w:noWrap w:val="0"/>
            <w:vAlign w:val="bottom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211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耐受地震能力（地震烈度8度/9度）</w:t>
            </w:r>
          </w:p>
        </w:tc>
        <w:tc>
          <w:tcPr>
            <w:tcW w:w="78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g</w:t>
            </w:r>
          </w:p>
        </w:tc>
        <w:tc>
          <w:tcPr>
            <w:tcW w:w="987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8</w:t>
            </w:r>
          </w:p>
        </w:tc>
        <w:tc>
          <w:tcPr>
            <w:tcW w:w="873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8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58" w:type="dxa"/>
            <w:noWrap w:val="0"/>
            <w:vAlign w:val="bottom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211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额定电压</w:t>
            </w:r>
          </w:p>
        </w:tc>
        <w:tc>
          <w:tcPr>
            <w:tcW w:w="78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kV</w:t>
            </w:r>
          </w:p>
        </w:tc>
        <w:tc>
          <w:tcPr>
            <w:tcW w:w="987" w:type="dxa"/>
            <w:noWrap w:val="0"/>
            <w:vAlign w:val="bottom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0.4</w:t>
            </w:r>
          </w:p>
        </w:tc>
        <w:tc>
          <w:tcPr>
            <w:tcW w:w="873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8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58" w:type="dxa"/>
            <w:noWrap w:val="0"/>
            <w:vAlign w:val="bottom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2115" w:type="dxa"/>
            <w:shd w:val="clear" w:color="auto" w:fill="auto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额定频率</w:t>
            </w:r>
          </w:p>
        </w:tc>
        <w:tc>
          <w:tcPr>
            <w:tcW w:w="780" w:type="dxa"/>
            <w:shd w:val="clear" w:color="auto" w:fill="auto"/>
            <w:noWrap w:val="0"/>
            <w:vAlign w:val="bottom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HZ</w:t>
            </w:r>
          </w:p>
        </w:tc>
        <w:tc>
          <w:tcPr>
            <w:tcW w:w="987" w:type="dxa"/>
            <w:shd w:val="clear" w:color="auto" w:fill="auto"/>
            <w:noWrap w:val="0"/>
            <w:vAlign w:val="bottom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50</w:t>
            </w:r>
          </w:p>
        </w:tc>
        <w:tc>
          <w:tcPr>
            <w:tcW w:w="873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85" w:type="dxa"/>
            <w:noWrap w:val="0"/>
            <w:vAlign w:val="bottom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</w:tbl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3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ind w:leftChars="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bookmarkStart w:id="4" w:name="_Toc2541"/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4.2操作杆采用主要部件材质：外机体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不锈钢（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304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）材料，</w:t>
      </w:r>
    </w:p>
    <w:p>
      <w:pPr>
        <w:pStyle w:val="3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ind w:leftChars="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4.3</w:t>
      </w:r>
      <w:bookmarkEnd w:id="4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所有导电部件为黄铜质材料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3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bookmarkStart w:id="5" w:name="_Toc2087"/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4.4移动性：采用坚固的拖车底盘或自带重型万向轮和固定支腿的箱体，具备良好的越野和公路运输能力。</w:t>
      </w:r>
    </w:p>
    <w:p>
      <w:pPr>
        <w:pStyle w:val="3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4.5箱体：全金属密封结构，防锈、防腐蚀、防雨、防尘。颜色为工程黄色或醒目的安全色。</w:t>
      </w:r>
    </w:p>
    <w:p>
      <w:pPr>
        <w:pStyle w:val="3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4.6布线：内部布线整齐规范，强弱电分离，线缆均有清晰、永久的标识。</w:t>
      </w:r>
    </w:p>
    <w:p>
      <w:pPr>
        <w:pStyle w:val="3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4.7散热：配备强制通风散热系统，确保装置在满负荷下长时间运行不过热。</w:t>
      </w:r>
    </w:p>
    <w:p>
      <w:pPr>
        <w:pStyle w:val="3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4.8接口：输入输出接口采用工业级防水快速连接器，操作简便可靠。</w:t>
      </w:r>
    </w:p>
    <w:p>
      <w:pPr>
        <w:pStyle w:val="3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ind w:leftChars="0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外机体部件整体重量不超过25kG</w:t>
      </w:r>
      <w:bookmarkEnd w:id="5"/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（不计电缆重量）；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4.6产品的重要部位（指不允许降低机械载荷的部位）不允许有缩松、气孔、砂眼、渣眼、飞边等缺陷；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4.7紧固件外观质量：紧固件表面不应有锌瘤、锌渣、锌灰存在；外螺纹、内螺纹应光整；螺杆、螺母均不应有裂痕；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6" w:name="_Toc11958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5适用范围</w:t>
      </w:r>
      <w:bookmarkEnd w:id="6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可进行多组发电车并接发电。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7" w:name="_Toc14195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6服务功能技术参数要求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中标供应商必须提供全面、及时、专业的技术服务与支持。具体包括：提供详尽的中文技术资料与图纸；在设备交付后，组织对操作与维护人员进行系统的现场实操培训，确保其能独立、安全地完成并车作业与日常维护；提供不低于两年的质保期，质保期内提供免费维修与零部件更换；建立7x24小时应急响应机制，在接到用户通知后4小时内作出有效技术响应，并根据故障级别承诺抵达现场的时间，以保障应急保供电任务的高效执行。</w:t>
      </w:r>
    </w:p>
    <w:p>
      <w:pPr>
        <w:pStyle w:val="4"/>
        <w:bidi w:val="0"/>
        <w:spacing w:before="0" w:after="0" w:line="360" w:lineRule="auto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bookmarkStart w:id="8" w:name="_Toc2617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7加工明细项目</w:t>
      </w:r>
      <w:bookmarkEnd w:id="8"/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1500"/>
        <w:gridCol w:w="4123"/>
        <w:gridCol w:w="1097"/>
        <w:gridCol w:w="8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1500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加工名称</w:t>
            </w:r>
          </w:p>
        </w:tc>
        <w:tc>
          <w:tcPr>
            <w:tcW w:w="4123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要求内容</w:t>
            </w:r>
          </w:p>
        </w:tc>
        <w:tc>
          <w:tcPr>
            <w:tcW w:w="1097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投标方应答</w:t>
            </w:r>
          </w:p>
        </w:tc>
        <w:tc>
          <w:tcPr>
            <w:tcW w:w="883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1</w:t>
            </w:r>
          </w:p>
        </w:tc>
        <w:tc>
          <w:tcPr>
            <w:tcW w:w="1500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配电箱体</w:t>
            </w:r>
          </w:p>
        </w:tc>
        <w:tc>
          <w:tcPr>
            <w:tcW w:w="4123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不锈钢（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304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）材料，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便携可移动</w:t>
            </w:r>
          </w:p>
        </w:tc>
        <w:tc>
          <w:tcPr>
            <w:tcW w:w="1097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83" w:type="dxa"/>
            <w:vAlign w:val="top"/>
          </w:tcPr>
          <w:p>
            <w:pPr>
              <w:pStyle w:val="15"/>
              <w:bidi w:val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2</w:t>
            </w:r>
          </w:p>
        </w:tc>
        <w:tc>
          <w:tcPr>
            <w:tcW w:w="1500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并网同期电路</w:t>
            </w:r>
          </w:p>
        </w:tc>
        <w:tc>
          <w:tcPr>
            <w:tcW w:w="4123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可提示同期，自动并接</w:t>
            </w:r>
          </w:p>
        </w:tc>
        <w:tc>
          <w:tcPr>
            <w:tcW w:w="1097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83" w:type="dxa"/>
            <w:vAlign w:val="top"/>
          </w:tcPr>
          <w:p>
            <w:pPr>
              <w:pStyle w:val="15"/>
              <w:bidi w:val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3</w:t>
            </w:r>
          </w:p>
        </w:tc>
        <w:tc>
          <w:tcPr>
            <w:tcW w:w="1500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指示仪</w:t>
            </w:r>
          </w:p>
        </w:tc>
        <w:tc>
          <w:tcPr>
            <w:tcW w:w="4123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A、B路电流电压</w:t>
            </w:r>
          </w:p>
        </w:tc>
        <w:tc>
          <w:tcPr>
            <w:tcW w:w="1097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83" w:type="dxa"/>
            <w:vAlign w:val="top"/>
          </w:tcPr>
          <w:p>
            <w:pPr>
              <w:pStyle w:val="15"/>
              <w:bidi w:val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4</w:t>
            </w:r>
          </w:p>
        </w:tc>
        <w:tc>
          <w:tcPr>
            <w:tcW w:w="1500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指示仪</w:t>
            </w:r>
          </w:p>
        </w:tc>
        <w:tc>
          <w:tcPr>
            <w:tcW w:w="4123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并网两电源电流电压和频率，相差、压差、频率差彩屏参数化显示</w:t>
            </w:r>
          </w:p>
        </w:tc>
        <w:tc>
          <w:tcPr>
            <w:tcW w:w="1097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83" w:type="dxa"/>
            <w:vAlign w:val="top"/>
          </w:tcPr>
          <w:p>
            <w:pPr>
              <w:pStyle w:val="15"/>
              <w:bidi w:val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bookmarkStart w:id="9" w:name="_Toc12244"/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5</w:t>
            </w:r>
          </w:p>
        </w:tc>
        <w:tc>
          <w:tcPr>
            <w:tcW w:w="1500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输入快速接头</w:t>
            </w:r>
          </w:p>
        </w:tc>
        <w:tc>
          <w:tcPr>
            <w:tcW w:w="4123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两组（120mm平方）</w:t>
            </w:r>
          </w:p>
        </w:tc>
        <w:tc>
          <w:tcPr>
            <w:tcW w:w="1097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83" w:type="dxa"/>
            <w:vAlign w:val="top"/>
          </w:tcPr>
          <w:p>
            <w:pPr>
              <w:pStyle w:val="15"/>
              <w:bidi w:val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6</w:t>
            </w:r>
          </w:p>
        </w:tc>
        <w:tc>
          <w:tcPr>
            <w:tcW w:w="1500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输入总开关（或输出功率）</w:t>
            </w:r>
          </w:p>
        </w:tc>
        <w:tc>
          <w:tcPr>
            <w:tcW w:w="4123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1250A</w:t>
            </w:r>
          </w:p>
        </w:tc>
        <w:tc>
          <w:tcPr>
            <w:tcW w:w="1097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83" w:type="dxa"/>
            <w:vAlign w:val="top"/>
          </w:tcPr>
          <w:p>
            <w:pPr>
              <w:pStyle w:val="15"/>
              <w:bidi w:val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7</w:t>
            </w:r>
          </w:p>
        </w:tc>
        <w:tc>
          <w:tcPr>
            <w:tcW w:w="1500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输出总母排（或输出功率）</w:t>
            </w:r>
          </w:p>
        </w:tc>
        <w:tc>
          <w:tcPr>
            <w:tcW w:w="4123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1250A</w:t>
            </w:r>
          </w:p>
        </w:tc>
        <w:tc>
          <w:tcPr>
            <w:tcW w:w="1097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83" w:type="dxa"/>
            <w:vAlign w:val="top"/>
          </w:tcPr>
          <w:p>
            <w:pPr>
              <w:pStyle w:val="15"/>
              <w:bidi w:val="0"/>
              <w:ind w:left="420" w:leftChars="200" w:firstLine="56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8</w:t>
            </w:r>
          </w:p>
        </w:tc>
        <w:tc>
          <w:tcPr>
            <w:tcW w:w="1500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加工过程图纸</w:t>
            </w:r>
          </w:p>
        </w:tc>
        <w:tc>
          <w:tcPr>
            <w:tcW w:w="4123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电子版</w:t>
            </w:r>
          </w:p>
        </w:tc>
        <w:tc>
          <w:tcPr>
            <w:tcW w:w="1097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83" w:type="dxa"/>
            <w:vAlign w:val="top"/>
          </w:tcPr>
          <w:p>
            <w:pPr>
              <w:pStyle w:val="15"/>
              <w:bidi w:val="0"/>
              <w:ind w:left="420" w:leftChars="200" w:firstLine="56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9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9</w:t>
            </w:r>
          </w:p>
        </w:tc>
        <w:tc>
          <w:tcPr>
            <w:tcW w:w="1500" w:type="dxa"/>
            <w:vAlign w:val="center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项目合同签订后</w:t>
            </w:r>
          </w:p>
        </w:tc>
        <w:tc>
          <w:tcPr>
            <w:tcW w:w="4123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中期结算前两个月，提供加工过程进度材料</w:t>
            </w:r>
          </w:p>
        </w:tc>
        <w:tc>
          <w:tcPr>
            <w:tcW w:w="1097" w:type="dxa"/>
            <w:vAlign w:val="top"/>
          </w:tcPr>
          <w:p>
            <w:pPr>
              <w:pStyle w:val="15"/>
              <w:bidi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83" w:type="dxa"/>
            <w:vAlign w:val="top"/>
          </w:tcPr>
          <w:p>
            <w:pPr>
              <w:pStyle w:val="15"/>
              <w:bidi w:val="0"/>
              <w:ind w:left="420" w:leftChars="200" w:firstLine="56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</w:tbl>
    <w:p>
      <w:pPr>
        <w:pStyle w:val="4"/>
        <w:bidi w:val="0"/>
        <w:spacing w:before="0" w:after="0" w:line="36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8服务范围</w:t>
      </w:r>
      <w:bookmarkEnd w:id="9"/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服务</w:t>
      </w:r>
      <w:r>
        <w:rPr>
          <w:rFonts w:hint="eastAsia" w:ascii="宋体" w:hAnsi="宋体" w:eastAsia="宋体" w:cs="宋体"/>
          <w:sz w:val="28"/>
          <w:szCs w:val="28"/>
        </w:rPr>
        <w:t>范围一览表</w:t>
      </w:r>
    </w:p>
    <w:tbl>
      <w:tblPr>
        <w:tblStyle w:val="1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2775"/>
        <w:gridCol w:w="675"/>
        <w:gridCol w:w="3555"/>
        <w:gridCol w:w="7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8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27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名称</w:t>
            </w:r>
          </w:p>
        </w:tc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单位</w:t>
            </w:r>
          </w:p>
        </w:tc>
        <w:tc>
          <w:tcPr>
            <w:tcW w:w="355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形式、规格</w:t>
            </w:r>
          </w:p>
        </w:tc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</w:t>
            </w:r>
          </w:p>
        </w:tc>
        <w:tc>
          <w:tcPr>
            <w:tcW w:w="27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  <w:t>低压发电车并车供电装置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加工服务</w:t>
            </w:r>
          </w:p>
        </w:tc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项</w:t>
            </w:r>
          </w:p>
        </w:tc>
        <w:tc>
          <w:tcPr>
            <w:tcW w:w="3555" w:type="dxa"/>
            <w:vAlign w:val="center"/>
          </w:tcPr>
          <w:p>
            <w:pPr>
              <w:pStyle w:val="4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60" w:lineRule="auto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满足本技术规范书要求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6服务功能技术参数要求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7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77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第三方检验报告</w:t>
            </w:r>
          </w:p>
        </w:tc>
        <w:tc>
          <w:tcPr>
            <w:tcW w:w="67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份</w:t>
            </w:r>
          </w:p>
        </w:tc>
        <w:tc>
          <w:tcPr>
            <w:tcW w:w="3555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第三方检测报告，委托方为招标方，CNAS或CMA资质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资质</w:t>
            </w:r>
          </w:p>
        </w:tc>
        <w:tc>
          <w:tcPr>
            <w:tcW w:w="728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10" w:name="_Toc25192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9包装、运输及质量保证</w:t>
      </w:r>
      <w:bookmarkEnd w:id="1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9.1产品在运输应有防护措施，以免散失损交货时厂家坏或丢失、变形、受潮和腐蚀，应按电压等级分类。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9.2储存、运输中应该注意通风、防潮,同时不得与有腐蚀性的物品堆放在一起。还应注意避开有腐蚀性气体环境。运输工程中应避免野蛮装卸。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9.3投标方应对产品在到货后验收签字之日计起，提供一年“三包”质量保证，质保期后如发生损坏，投标方应及时提供维修、更换服务，并按最近的投标价提供。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11" w:name="_Toc20783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10其他约定</w:t>
      </w:r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bookmarkStart w:id="12" w:name="_Toc24386"/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10.1在项目加工过程中及完成后，投标方不能对项目的图纸、资料、部件、交付物等进行专利申请或形成论文，项目实施过程中形成的专利及论文由招标方独有。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</w:t>
      </w:r>
      <w:bookmarkEnd w:id="1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1.差异表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序号招标文件投标文件条目</w:t>
      </w:r>
    </w:p>
    <w:tbl>
      <w:tblPr>
        <w:tblStyle w:val="1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3408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招标文件</w:t>
            </w:r>
          </w:p>
        </w:tc>
        <w:tc>
          <w:tcPr>
            <w:tcW w:w="3410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投标文件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条目</w:t>
            </w:r>
          </w:p>
        </w:tc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简要内容</w:t>
            </w:r>
          </w:p>
        </w:tc>
        <w:tc>
          <w:tcPr>
            <w:tcW w:w="17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条目</w:t>
            </w:r>
          </w:p>
        </w:tc>
        <w:tc>
          <w:tcPr>
            <w:tcW w:w="17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简要内容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17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  <w:tc>
          <w:tcPr>
            <w:tcW w:w="170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0" w:firstLineChars="1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2、投标方需要说明的其它问题：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8"/>
    <w:multiLevelType w:val="multilevel"/>
    <w:tmpl w:val="00000018"/>
    <w:lvl w:ilvl="0" w:tentative="0">
      <w:start w:val="1"/>
      <w:numFmt w:val="none"/>
      <w:suff w:val="nothing"/>
      <w:lvlText w:val="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31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">
    <w:nsid w:val="4B9D0E39"/>
    <w:multiLevelType w:val="multilevel"/>
    <w:tmpl w:val="4B9D0E39"/>
    <w:lvl w:ilvl="0" w:tentative="0">
      <w:start w:val="1"/>
      <w:numFmt w:val="decimal"/>
      <w:lvlText w:val="%1)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pStyle w:val="27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lNjNlYzBjMDJlNDM5NDFhMzk4OWM4N2U5OWI3MWEifQ=="/>
  </w:docVars>
  <w:rsids>
    <w:rsidRoot w:val="003B32BA"/>
    <w:rsid w:val="0000347D"/>
    <w:rsid w:val="00097A1D"/>
    <w:rsid w:val="000C6D20"/>
    <w:rsid w:val="000E5E5B"/>
    <w:rsid w:val="00132F0B"/>
    <w:rsid w:val="00192F60"/>
    <w:rsid w:val="001A29E4"/>
    <w:rsid w:val="001B5C1B"/>
    <w:rsid w:val="00237B17"/>
    <w:rsid w:val="002F34D6"/>
    <w:rsid w:val="003B32BA"/>
    <w:rsid w:val="00555852"/>
    <w:rsid w:val="005649F5"/>
    <w:rsid w:val="005E4095"/>
    <w:rsid w:val="00660D42"/>
    <w:rsid w:val="00671434"/>
    <w:rsid w:val="006737E9"/>
    <w:rsid w:val="00674768"/>
    <w:rsid w:val="006E0B10"/>
    <w:rsid w:val="00730762"/>
    <w:rsid w:val="009A5C63"/>
    <w:rsid w:val="00B170DD"/>
    <w:rsid w:val="00B618A5"/>
    <w:rsid w:val="00B917D5"/>
    <w:rsid w:val="00C12DD9"/>
    <w:rsid w:val="00CD7AC5"/>
    <w:rsid w:val="00EF68A3"/>
    <w:rsid w:val="00F524B0"/>
    <w:rsid w:val="00F82C64"/>
    <w:rsid w:val="00FF2E87"/>
    <w:rsid w:val="012E2D22"/>
    <w:rsid w:val="01656029"/>
    <w:rsid w:val="01C0331C"/>
    <w:rsid w:val="01FC7E4D"/>
    <w:rsid w:val="023A693E"/>
    <w:rsid w:val="03135CD3"/>
    <w:rsid w:val="0325649A"/>
    <w:rsid w:val="038B6E38"/>
    <w:rsid w:val="03D14550"/>
    <w:rsid w:val="041A5C49"/>
    <w:rsid w:val="043E4DDB"/>
    <w:rsid w:val="0443358A"/>
    <w:rsid w:val="04940E0D"/>
    <w:rsid w:val="05126C4D"/>
    <w:rsid w:val="055C1AD8"/>
    <w:rsid w:val="06847503"/>
    <w:rsid w:val="06F17A67"/>
    <w:rsid w:val="06FD74A5"/>
    <w:rsid w:val="073669CC"/>
    <w:rsid w:val="07610F29"/>
    <w:rsid w:val="07995420"/>
    <w:rsid w:val="08321601"/>
    <w:rsid w:val="091F7F85"/>
    <w:rsid w:val="095F4F6E"/>
    <w:rsid w:val="0A011659"/>
    <w:rsid w:val="0A922065"/>
    <w:rsid w:val="0ABD0ABF"/>
    <w:rsid w:val="0B216451"/>
    <w:rsid w:val="0B85559E"/>
    <w:rsid w:val="0BB44383"/>
    <w:rsid w:val="0BB721C8"/>
    <w:rsid w:val="0BBD2AC2"/>
    <w:rsid w:val="0C5641FE"/>
    <w:rsid w:val="0CB32D82"/>
    <w:rsid w:val="0CC9374C"/>
    <w:rsid w:val="0CD619C5"/>
    <w:rsid w:val="0CEC47C3"/>
    <w:rsid w:val="0D16652A"/>
    <w:rsid w:val="0D500C64"/>
    <w:rsid w:val="0D8A1FAC"/>
    <w:rsid w:val="0DAF7C62"/>
    <w:rsid w:val="0E4214F1"/>
    <w:rsid w:val="0E811E04"/>
    <w:rsid w:val="0F0A5C29"/>
    <w:rsid w:val="0F1B11D4"/>
    <w:rsid w:val="0F5E2F43"/>
    <w:rsid w:val="0FE4411B"/>
    <w:rsid w:val="100476BF"/>
    <w:rsid w:val="106018D4"/>
    <w:rsid w:val="10B87DB9"/>
    <w:rsid w:val="114C3B81"/>
    <w:rsid w:val="115717C0"/>
    <w:rsid w:val="115A7505"/>
    <w:rsid w:val="118029A2"/>
    <w:rsid w:val="128D1D33"/>
    <w:rsid w:val="137B00DC"/>
    <w:rsid w:val="13B740BC"/>
    <w:rsid w:val="14D76614"/>
    <w:rsid w:val="14E33191"/>
    <w:rsid w:val="15067F8B"/>
    <w:rsid w:val="15A77B14"/>
    <w:rsid w:val="16F874BF"/>
    <w:rsid w:val="17A36655"/>
    <w:rsid w:val="17B905C5"/>
    <w:rsid w:val="17C03A07"/>
    <w:rsid w:val="17D65BAB"/>
    <w:rsid w:val="18636CD7"/>
    <w:rsid w:val="18CA3EB9"/>
    <w:rsid w:val="18EE7016"/>
    <w:rsid w:val="18F86F87"/>
    <w:rsid w:val="1910462E"/>
    <w:rsid w:val="19A02C18"/>
    <w:rsid w:val="1A41499F"/>
    <w:rsid w:val="1A4A782D"/>
    <w:rsid w:val="1B043BA1"/>
    <w:rsid w:val="1BBA37D5"/>
    <w:rsid w:val="1C6D045B"/>
    <w:rsid w:val="1D0E163B"/>
    <w:rsid w:val="1D685609"/>
    <w:rsid w:val="1D68774B"/>
    <w:rsid w:val="1F165BE1"/>
    <w:rsid w:val="21640645"/>
    <w:rsid w:val="219A172E"/>
    <w:rsid w:val="221413F8"/>
    <w:rsid w:val="22E4044C"/>
    <w:rsid w:val="23C47ABA"/>
    <w:rsid w:val="23FF4D39"/>
    <w:rsid w:val="24797AB8"/>
    <w:rsid w:val="250D45D9"/>
    <w:rsid w:val="254033B6"/>
    <w:rsid w:val="255911D5"/>
    <w:rsid w:val="259547E4"/>
    <w:rsid w:val="26931E56"/>
    <w:rsid w:val="277C7BD6"/>
    <w:rsid w:val="27DF7CDF"/>
    <w:rsid w:val="280706E1"/>
    <w:rsid w:val="2807180C"/>
    <w:rsid w:val="2809169B"/>
    <w:rsid w:val="283755B5"/>
    <w:rsid w:val="288C4594"/>
    <w:rsid w:val="29365CAD"/>
    <w:rsid w:val="29C06D1F"/>
    <w:rsid w:val="2A35454B"/>
    <w:rsid w:val="2ACC15C7"/>
    <w:rsid w:val="2AE15CE9"/>
    <w:rsid w:val="2B1F337E"/>
    <w:rsid w:val="2B6B53D2"/>
    <w:rsid w:val="2BDC1404"/>
    <w:rsid w:val="2C2B1183"/>
    <w:rsid w:val="2C695E47"/>
    <w:rsid w:val="2D61478E"/>
    <w:rsid w:val="2D6A09E1"/>
    <w:rsid w:val="2DA27975"/>
    <w:rsid w:val="2E6220A7"/>
    <w:rsid w:val="2F15573F"/>
    <w:rsid w:val="2F90669E"/>
    <w:rsid w:val="300922B3"/>
    <w:rsid w:val="300B6371"/>
    <w:rsid w:val="306308F3"/>
    <w:rsid w:val="308F0D9F"/>
    <w:rsid w:val="31491CF0"/>
    <w:rsid w:val="328C72C2"/>
    <w:rsid w:val="329A5F94"/>
    <w:rsid w:val="331B1D66"/>
    <w:rsid w:val="3351443E"/>
    <w:rsid w:val="33DC5E8C"/>
    <w:rsid w:val="33FA2153"/>
    <w:rsid w:val="349F1B61"/>
    <w:rsid w:val="34B05A3D"/>
    <w:rsid w:val="34C279FF"/>
    <w:rsid w:val="34D67F04"/>
    <w:rsid w:val="353B1CA7"/>
    <w:rsid w:val="358878E1"/>
    <w:rsid w:val="358B177F"/>
    <w:rsid w:val="3596345D"/>
    <w:rsid w:val="35C651C7"/>
    <w:rsid w:val="35DF02EF"/>
    <w:rsid w:val="360311CD"/>
    <w:rsid w:val="370A1FDB"/>
    <w:rsid w:val="37321E9B"/>
    <w:rsid w:val="374E4BD9"/>
    <w:rsid w:val="37502C3F"/>
    <w:rsid w:val="38487464"/>
    <w:rsid w:val="38D96215"/>
    <w:rsid w:val="3908621E"/>
    <w:rsid w:val="3961212F"/>
    <w:rsid w:val="39A35ADB"/>
    <w:rsid w:val="3A017ABA"/>
    <w:rsid w:val="3A137F14"/>
    <w:rsid w:val="3A4614A9"/>
    <w:rsid w:val="3A8123AB"/>
    <w:rsid w:val="3B0C31C6"/>
    <w:rsid w:val="3B445B48"/>
    <w:rsid w:val="3C6616E6"/>
    <w:rsid w:val="3C69252A"/>
    <w:rsid w:val="3CBC7B65"/>
    <w:rsid w:val="3CC42B41"/>
    <w:rsid w:val="3CCD5927"/>
    <w:rsid w:val="3D083053"/>
    <w:rsid w:val="3F472605"/>
    <w:rsid w:val="3F631B80"/>
    <w:rsid w:val="402569CB"/>
    <w:rsid w:val="403D39A3"/>
    <w:rsid w:val="40B717BD"/>
    <w:rsid w:val="4106153C"/>
    <w:rsid w:val="41D06DF6"/>
    <w:rsid w:val="42860734"/>
    <w:rsid w:val="42E460CD"/>
    <w:rsid w:val="44524527"/>
    <w:rsid w:val="448D78AA"/>
    <w:rsid w:val="454B34E4"/>
    <w:rsid w:val="454C5AE8"/>
    <w:rsid w:val="45EC3A2B"/>
    <w:rsid w:val="46283B86"/>
    <w:rsid w:val="463E28E0"/>
    <w:rsid w:val="46D0155D"/>
    <w:rsid w:val="46EC4B17"/>
    <w:rsid w:val="47AB7407"/>
    <w:rsid w:val="48D439A4"/>
    <w:rsid w:val="499B5A60"/>
    <w:rsid w:val="49BE293C"/>
    <w:rsid w:val="49BE5E87"/>
    <w:rsid w:val="4A9F427C"/>
    <w:rsid w:val="4AE46278"/>
    <w:rsid w:val="4B3C1B7C"/>
    <w:rsid w:val="4C04527D"/>
    <w:rsid w:val="4C1827E3"/>
    <w:rsid w:val="4C8E4DD0"/>
    <w:rsid w:val="4D1C7E93"/>
    <w:rsid w:val="4E6A35B6"/>
    <w:rsid w:val="4F2E069C"/>
    <w:rsid w:val="505C5D66"/>
    <w:rsid w:val="508A77AF"/>
    <w:rsid w:val="50984C0A"/>
    <w:rsid w:val="509A5EB4"/>
    <w:rsid w:val="51082102"/>
    <w:rsid w:val="51FA4F3B"/>
    <w:rsid w:val="533C7A3F"/>
    <w:rsid w:val="53886058"/>
    <w:rsid w:val="53EE77E7"/>
    <w:rsid w:val="55053894"/>
    <w:rsid w:val="55494BFA"/>
    <w:rsid w:val="55552C0B"/>
    <w:rsid w:val="556A141A"/>
    <w:rsid w:val="55B22FA5"/>
    <w:rsid w:val="57B75E24"/>
    <w:rsid w:val="57FF66C3"/>
    <w:rsid w:val="58031A24"/>
    <w:rsid w:val="582A31B0"/>
    <w:rsid w:val="58550FBC"/>
    <w:rsid w:val="591D2FC1"/>
    <w:rsid w:val="59700306"/>
    <w:rsid w:val="59E35D98"/>
    <w:rsid w:val="59F94B18"/>
    <w:rsid w:val="5A185411"/>
    <w:rsid w:val="5A6A0A65"/>
    <w:rsid w:val="5A7B00B2"/>
    <w:rsid w:val="5ADF64A5"/>
    <w:rsid w:val="5B220213"/>
    <w:rsid w:val="5B856C33"/>
    <w:rsid w:val="5C0D5892"/>
    <w:rsid w:val="5C473E4D"/>
    <w:rsid w:val="5D373C15"/>
    <w:rsid w:val="5DC63AE5"/>
    <w:rsid w:val="5E265732"/>
    <w:rsid w:val="5EDA252D"/>
    <w:rsid w:val="5F0F2A23"/>
    <w:rsid w:val="5F0F7504"/>
    <w:rsid w:val="5F1C79AB"/>
    <w:rsid w:val="5F6E34BB"/>
    <w:rsid w:val="5F9C37B1"/>
    <w:rsid w:val="602420AA"/>
    <w:rsid w:val="60923DFD"/>
    <w:rsid w:val="60A7051F"/>
    <w:rsid w:val="610C2366"/>
    <w:rsid w:val="61894395"/>
    <w:rsid w:val="62052515"/>
    <w:rsid w:val="6312641A"/>
    <w:rsid w:val="63D83520"/>
    <w:rsid w:val="640354EB"/>
    <w:rsid w:val="65DD432F"/>
    <w:rsid w:val="65E64B6A"/>
    <w:rsid w:val="65EF3811"/>
    <w:rsid w:val="66525B08"/>
    <w:rsid w:val="673A6468"/>
    <w:rsid w:val="681E04E7"/>
    <w:rsid w:val="68D11CBC"/>
    <w:rsid w:val="69382A2C"/>
    <w:rsid w:val="699E3A55"/>
    <w:rsid w:val="69AB7148"/>
    <w:rsid w:val="69DA0037"/>
    <w:rsid w:val="69F51EE6"/>
    <w:rsid w:val="6A0F23F8"/>
    <w:rsid w:val="6A464C09"/>
    <w:rsid w:val="6BBB054D"/>
    <w:rsid w:val="6C8752A0"/>
    <w:rsid w:val="6CBF2C13"/>
    <w:rsid w:val="6D000BE4"/>
    <w:rsid w:val="6DA35E6F"/>
    <w:rsid w:val="6DB30687"/>
    <w:rsid w:val="6DC4234C"/>
    <w:rsid w:val="6DD66850"/>
    <w:rsid w:val="6E7C6460"/>
    <w:rsid w:val="6EAD55EB"/>
    <w:rsid w:val="6EF23B8D"/>
    <w:rsid w:val="6F982D60"/>
    <w:rsid w:val="70175EF9"/>
    <w:rsid w:val="702C7A97"/>
    <w:rsid w:val="70510EFD"/>
    <w:rsid w:val="70734988"/>
    <w:rsid w:val="70C25205"/>
    <w:rsid w:val="70D44E26"/>
    <w:rsid w:val="713E0BD9"/>
    <w:rsid w:val="718D3325"/>
    <w:rsid w:val="718D41DB"/>
    <w:rsid w:val="71AC120D"/>
    <w:rsid w:val="71F14CEC"/>
    <w:rsid w:val="720915A6"/>
    <w:rsid w:val="72FD1476"/>
    <w:rsid w:val="73067776"/>
    <w:rsid w:val="747A00A6"/>
    <w:rsid w:val="74842F20"/>
    <w:rsid w:val="75CC41D0"/>
    <w:rsid w:val="765D6215"/>
    <w:rsid w:val="76ED2F83"/>
    <w:rsid w:val="772D6395"/>
    <w:rsid w:val="77747523"/>
    <w:rsid w:val="78C90283"/>
    <w:rsid w:val="79343267"/>
    <w:rsid w:val="79A3738C"/>
    <w:rsid w:val="79B771FC"/>
    <w:rsid w:val="7A024BBA"/>
    <w:rsid w:val="7A1F7224"/>
    <w:rsid w:val="7A8F4851"/>
    <w:rsid w:val="7B685AF2"/>
    <w:rsid w:val="7BF22912"/>
    <w:rsid w:val="7C510871"/>
    <w:rsid w:val="7CFF6CB1"/>
    <w:rsid w:val="7D420F4A"/>
    <w:rsid w:val="7D5671AF"/>
    <w:rsid w:val="7DC974EE"/>
    <w:rsid w:val="7E235C52"/>
    <w:rsid w:val="7E765088"/>
    <w:rsid w:val="7E98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23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8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9">
    <w:name w:val="Balloon Text"/>
    <w:basedOn w:val="1"/>
    <w:link w:val="26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semiHidden/>
    <w:unhideWhenUsed/>
    <w:qFormat/>
    <w:uiPriority w:val="39"/>
  </w:style>
  <w:style w:type="paragraph" w:styleId="13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Body Text First Indent 2"/>
    <w:basedOn w:val="6"/>
    <w:qFormat/>
    <w:uiPriority w:val="0"/>
    <w:pPr>
      <w:ind w:firstLine="420" w:firstLineChars="200"/>
    </w:pPr>
  </w:style>
  <w:style w:type="table" w:styleId="17">
    <w:name w:val="Table Grid"/>
    <w:basedOn w:val="1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Strong"/>
    <w:basedOn w:val="18"/>
    <w:qFormat/>
    <w:uiPriority w:val="22"/>
    <w:rPr>
      <w:b/>
    </w:rPr>
  </w:style>
  <w:style w:type="character" w:styleId="20">
    <w:name w:val="Hyperlink"/>
    <w:basedOn w:val="1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21">
    <w:name w:val="页眉 Char"/>
    <w:basedOn w:val="18"/>
    <w:link w:val="11"/>
    <w:qFormat/>
    <w:uiPriority w:val="99"/>
    <w:rPr>
      <w:sz w:val="18"/>
      <w:szCs w:val="18"/>
    </w:rPr>
  </w:style>
  <w:style w:type="character" w:customStyle="1" w:styleId="22">
    <w:name w:val="页脚 Char"/>
    <w:basedOn w:val="18"/>
    <w:link w:val="10"/>
    <w:qFormat/>
    <w:uiPriority w:val="99"/>
    <w:rPr>
      <w:sz w:val="18"/>
      <w:szCs w:val="18"/>
    </w:rPr>
  </w:style>
  <w:style w:type="character" w:customStyle="1" w:styleId="23">
    <w:name w:val="标题 2 Char"/>
    <w:basedOn w:val="18"/>
    <w:link w:val="5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4">
    <w:name w:val="标题 1 Char"/>
    <w:basedOn w:val="18"/>
    <w:link w:val="4"/>
    <w:qFormat/>
    <w:uiPriority w:val="9"/>
    <w:rPr>
      <w:b/>
      <w:bCs/>
      <w:kern w:val="44"/>
      <w:sz w:val="44"/>
      <w:szCs w:val="44"/>
    </w:rPr>
  </w:style>
  <w:style w:type="paragraph" w:customStyle="1" w:styleId="25">
    <w:name w:val="TOC Heading"/>
    <w:basedOn w:val="4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26">
    <w:name w:val="批注框文本 Char"/>
    <w:basedOn w:val="18"/>
    <w:link w:val="9"/>
    <w:semiHidden/>
    <w:qFormat/>
    <w:uiPriority w:val="99"/>
    <w:rPr>
      <w:sz w:val="18"/>
      <w:szCs w:val="18"/>
    </w:rPr>
  </w:style>
  <w:style w:type="paragraph" w:customStyle="1" w:styleId="27">
    <w:name w:val="三级条标题"/>
    <w:basedOn w:val="28"/>
    <w:next w:val="29"/>
    <w:qFormat/>
    <w:uiPriority w:val="0"/>
    <w:pPr>
      <w:numPr>
        <w:ilvl w:val="5"/>
        <w:numId w:val="1"/>
      </w:numPr>
      <w:outlineLvl w:val="4"/>
    </w:pPr>
  </w:style>
  <w:style w:type="paragraph" w:customStyle="1" w:styleId="28">
    <w:name w:val="二级条标题"/>
    <w:basedOn w:val="1"/>
    <w:next w:val="29"/>
    <w:qFormat/>
    <w:uiPriority w:val="0"/>
    <w:pPr>
      <w:widowControl/>
      <w:outlineLvl w:val="3"/>
    </w:pPr>
    <w:rPr>
      <w:rFonts w:ascii="黑体" w:eastAsia="黑体"/>
      <w:kern w:val="0"/>
      <w:szCs w:val="20"/>
    </w:rPr>
  </w:style>
  <w:style w:type="paragraph" w:customStyle="1" w:styleId="29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0">
    <w:name w:val="首行缩进"/>
    <w:basedOn w:val="1"/>
    <w:qFormat/>
    <w:uiPriority w:val="0"/>
    <w:pPr>
      <w:spacing w:line="300" w:lineRule="auto"/>
      <w:ind w:firstLine="420" w:firstLineChars="200"/>
    </w:pPr>
    <w:rPr>
      <w:rFonts w:eastAsia="方正书宋简体" w:cs="宋体"/>
      <w:szCs w:val="20"/>
    </w:rPr>
  </w:style>
  <w:style w:type="paragraph" w:customStyle="1" w:styleId="31">
    <w:name w:val="三级无标题条"/>
    <w:basedOn w:val="1"/>
    <w:qFormat/>
    <w:uiPriority w:val="0"/>
    <w:pPr>
      <w:numPr>
        <w:ilvl w:val="4"/>
        <w:numId w:val="2"/>
      </w:numPr>
    </w:pPr>
  </w:style>
  <w:style w:type="paragraph" w:customStyle="1" w:styleId="32">
    <w:name w:val="样式 标题 2"/>
    <w:basedOn w:val="5"/>
    <w:qFormat/>
    <w:uiPriority w:val="0"/>
    <w:rPr>
      <w:b w:val="0"/>
      <w:bCs w:val="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0C916-548B-454A-B2EF-C800392536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4864</Words>
  <Characters>5396</Characters>
  <Lines>24</Lines>
  <Paragraphs>6</Paragraphs>
  <TotalTime>0</TotalTime>
  <ScaleCrop>false</ScaleCrop>
  <LinksUpToDate>false</LinksUpToDate>
  <CharactersWithSpaces>5541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2023-10-07T15:28:00Z</dcterms:created>
  <dc:creator>admin</dc:creator>
  <cp:lastModifiedBy>黎蓓</cp:lastModifiedBy>
  <dcterms:modified xsi:type="dcterms:W3CDTF">2025-11-22T09:09:47Z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B4547BB2C2FC40C2B8D1591DA70D09B6</vt:lpwstr>
  </property>
  <property fmtid="{D5CDD505-2E9C-101B-9397-08002B2CF9AE}" pid="4" name="KSOTemplateDocerSaveRecord">
    <vt:lpwstr>eyJoZGlkIjoiYjgxODVkYjYwN2VhZWZmMjg1Mjk5OTRiOWIzZjJhNDEiLCJ1c2VySWQiOiI0MzE5NjYxMjQifQ==</vt:lpwstr>
  </property>
</Properties>
</file>