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rPr>
        <w:t>2025年南网数研院技术研发中心第四季度研发试验耗材采购服务委托单</w:t>
      </w:r>
    </w:p>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eastAsia" w:ascii="宋体" w:hAnsi="宋体" w:eastAsia="仿宋" w:cs="宋体"/>
                <w:bCs/>
                <w:color w:val="000000"/>
                <w:kern w:val="0"/>
                <w:sz w:val="24"/>
                <w:lang w:eastAsia="zh-CN"/>
              </w:rPr>
            </w:pPr>
            <w:r>
              <w:rPr>
                <w:rFonts w:ascii="宋体" w:hAnsi="宋体" w:cs="宋体"/>
                <w:bCs/>
                <w:color w:val="000000"/>
                <w:kern w:val="0"/>
                <w:sz w:val="24"/>
              </w:rPr>
              <w:t>202</w:t>
            </w:r>
            <w:r>
              <w:rPr>
                <w:rFonts w:hint="eastAsia" w:ascii="宋体" w:hAnsi="宋体" w:cs="宋体"/>
                <w:bCs/>
                <w:color w:val="000000"/>
                <w:kern w:val="0"/>
                <w:sz w:val="24"/>
              </w:rPr>
              <w:t>5</w:t>
            </w:r>
            <w:r>
              <w:rPr>
                <w:rFonts w:ascii="宋体" w:hAnsi="宋体" w:cs="宋体"/>
                <w:bCs/>
                <w:color w:val="000000"/>
                <w:kern w:val="0"/>
                <w:sz w:val="24"/>
              </w:rPr>
              <w:t>/</w:t>
            </w:r>
            <w:r>
              <w:rPr>
                <w:rFonts w:hint="eastAsia" w:ascii="宋体" w:hAnsi="宋体" w:cs="宋体"/>
                <w:bCs/>
                <w:color w:val="000000"/>
                <w:kern w:val="0"/>
                <w:sz w:val="24"/>
              </w:rPr>
              <w:t>12</w:t>
            </w:r>
            <w:r>
              <w:rPr>
                <w:rFonts w:ascii="宋体" w:hAnsi="宋体" w:cs="宋体"/>
                <w:bCs/>
                <w:color w:val="000000"/>
                <w:kern w:val="0"/>
                <w:sz w:val="24"/>
              </w:rPr>
              <w:t>/</w:t>
            </w:r>
            <w:r>
              <w:rPr>
                <w:rFonts w:hint="eastAsia" w:ascii="宋体" w:hAnsi="宋体" w:cs="宋体"/>
                <w:bCs/>
                <w:color w:val="000000"/>
                <w:kern w:val="0"/>
                <w:sz w:val="24"/>
                <w:lang w:val="en-US" w:eastAsia="zh-CN"/>
              </w:rPr>
              <w:t>3</w:t>
            </w:r>
            <w:bookmarkStart w:id="2" w:name="_GoBack"/>
            <w:bookmarkEnd w:id="2"/>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spacing w:line="560" w:lineRule="exact"/>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560" w:lineRule="exact"/>
              <w:jc w:val="center"/>
              <w:rPr>
                <w:rFonts w:hint="eastAsia" w:ascii="仿宋_GB2312" w:hAnsi="仿宋_GB2312" w:eastAsia="仿宋_GB2312" w:cs="仿宋_GB2312"/>
                <w:bCs/>
                <w:color w:val="000000"/>
                <w:kern w:val="0"/>
                <w:sz w:val="24"/>
              </w:rPr>
            </w:pPr>
            <w:r>
              <w:rPr>
                <w:rFonts w:hint="eastAsia" w:ascii="宋体" w:hAnsi="宋体" w:cs="宋体"/>
                <w:bCs/>
                <w:color w:val="000000"/>
                <w:kern w:val="0"/>
                <w:sz w:val="24"/>
              </w:rPr>
              <w:t>广州市黄埔区光谱中路11号云升科技园C栋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采购限价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rPr>
            </w:pPr>
            <w:r>
              <w:rPr>
                <w:rFonts w:hint="eastAsia" w:ascii="宋体" w:hAnsi="宋体" w:cs="宋体"/>
                <w:bCs/>
                <w:color w:val="000000"/>
                <w:kern w:val="0"/>
                <w:sz w:val="24"/>
              </w:rPr>
              <w:t>小写：</w:t>
            </w:r>
            <w:r>
              <w:rPr>
                <w:rFonts w:hint="eastAsia" w:ascii="宋体" w:hAnsi="宋体" w:eastAsia="宋体" w:cs="宋体"/>
                <w:color w:val="000000"/>
                <w:sz w:val="28"/>
                <w:szCs w:val="28"/>
              </w:rPr>
              <w:t>6140</w:t>
            </w:r>
            <w:r>
              <w:rPr>
                <w:rFonts w:hint="eastAsia" w:ascii="宋体" w:hAnsi="宋体" w:cs="宋体"/>
                <w:bCs/>
                <w:color w:val="000000"/>
                <w:kern w:val="0"/>
                <w:sz w:val="24"/>
              </w:rPr>
              <w:t>元      大写：陆仟壹佰肆拾元整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3、不接受联合体参与。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具体数量及参数要求详见《附件1：研发试验耗材需求清单》。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采购合同签订后15个工作日内，交付需求清单要求的所有物资。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hint="eastAsia" w:ascii="仿宋_GB2312" w:hAnsi="仿宋_GB2312" w:eastAsia="仿宋_GB2312" w:cs="仿宋_GB2312"/>
          <w:b/>
          <w:bCs/>
          <w:szCs w:val="32"/>
        </w:rPr>
      </w:pPr>
    </w:p>
    <w:p>
      <w:pPr>
        <w:rPr>
          <w:rFonts w:hint="eastAsia" w:ascii="宋体" w:hAnsi="宋体" w:cs="宋体"/>
          <w:bCs/>
          <w:color w:val="000000"/>
          <w:kern w:val="0"/>
          <w:sz w:val="24"/>
        </w:rPr>
      </w:pPr>
      <w:r>
        <w:rPr>
          <w:rFonts w:hint="eastAsia" w:ascii="宋体" w:hAnsi="宋体" w:cs="宋体"/>
          <w:bCs/>
          <w:color w:val="000000"/>
          <w:kern w:val="0"/>
          <w:sz w:val="24"/>
        </w:rPr>
        <w:t>附件1：研发试验耗材需求清单：</w:t>
      </w:r>
    </w:p>
    <w:p>
      <w:pPr>
        <w:rPr>
          <w:rFonts w:hint="eastAsia" w:ascii="宋体" w:hAnsi="宋体" w:cs="宋体"/>
          <w:bCs/>
          <w:color w:val="000000"/>
          <w:kern w:val="0"/>
          <w:sz w:val="24"/>
        </w:rPr>
      </w:pPr>
      <w:r>
        <w:rPr>
          <w:rFonts w:hint="eastAsia" w:ascii="宋体" w:hAnsi="宋体" w:cs="宋体"/>
          <w:bCs/>
          <w:color w:val="000000"/>
          <w:kern w:val="0"/>
          <w:sz w:val="24"/>
        </w:rPr>
        <w:br w:type="page"/>
      </w:r>
    </w:p>
    <w:p>
      <w:pPr>
        <w:rPr>
          <w:rFonts w:hint="eastAsia" w:ascii="宋体" w:hAnsi="宋体" w:cs="宋体"/>
          <w:bCs/>
          <w:color w:val="000000"/>
          <w:kern w:val="0"/>
          <w:sz w:val="24"/>
        </w:rPr>
        <w:sectPr>
          <w:pgSz w:w="11906" w:h="16838"/>
          <w:pgMar w:top="1440" w:right="1800" w:bottom="1440" w:left="1800" w:header="851" w:footer="992" w:gutter="0"/>
          <w:cols w:space="425" w:num="1"/>
          <w:docGrid w:type="lines" w:linePitch="312" w:charSpace="0"/>
        </w:sectPr>
      </w:pPr>
    </w:p>
    <w:tbl>
      <w:tblPr>
        <w:tblStyle w:val="7"/>
        <w:tblW w:w="13459" w:type="dxa"/>
        <w:tblInd w:w="97" w:type="dxa"/>
        <w:tblLayout w:type="autofit"/>
        <w:tblCellMar>
          <w:top w:w="0" w:type="dxa"/>
          <w:left w:w="108" w:type="dxa"/>
          <w:bottom w:w="0" w:type="dxa"/>
          <w:right w:w="108" w:type="dxa"/>
        </w:tblCellMar>
      </w:tblPr>
      <w:tblGrid>
        <w:gridCol w:w="796"/>
        <w:gridCol w:w="1041"/>
        <w:gridCol w:w="1418"/>
        <w:gridCol w:w="7067"/>
        <w:gridCol w:w="1329"/>
        <w:gridCol w:w="1808"/>
      </w:tblGrid>
      <w:tr>
        <w:tblPrEx>
          <w:tblCellMar>
            <w:top w:w="0" w:type="dxa"/>
            <w:left w:w="108" w:type="dxa"/>
            <w:bottom w:w="0" w:type="dxa"/>
            <w:right w:w="108" w:type="dxa"/>
          </w:tblCellMar>
        </w:tblPrEx>
        <w:trPr>
          <w:tblHeader/>
        </w:trPr>
        <w:tc>
          <w:tcPr>
            <w:tcW w:w="796"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41"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类别</w:t>
            </w:r>
          </w:p>
        </w:tc>
        <w:tc>
          <w:tcPr>
            <w:tcW w:w="141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耗材名称</w:t>
            </w:r>
          </w:p>
        </w:tc>
        <w:tc>
          <w:tcPr>
            <w:tcW w:w="706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规格</w:t>
            </w:r>
          </w:p>
        </w:tc>
        <w:tc>
          <w:tcPr>
            <w:tcW w:w="1329"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需求数量</w:t>
            </w:r>
          </w:p>
        </w:tc>
        <w:tc>
          <w:tcPr>
            <w:tcW w:w="180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总价报价（元）</w:t>
            </w:r>
          </w:p>
        </w:tc>
      </w:tr>
      <w:tr>
        <w:tblPrEx>
          <w:tblCellMar>
            <w:top w:w="0" w:type="dxa"/>
            <w:left w:w="108" w:type="dxa"/>
            <w:bottom w:w="0" w:type="dxa"/>
            <w:right w:w="108" w:type="dxa"/>
          </w:tblCellMar>
        </w:tblPrEx>
        <w:tc>
          <w:tcPr>
            <w:tcW w:w="79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1 </w:t>
            </w:r>
          </w:p>
        </w:tc>
        <w:tc>
          <w:tcPr>
            <w:tcW w:w="1041" w:type="dxa"/>
            <w:tcBorders>
              <w:top w:val="nil"/>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bookmarkStart w:id="0" w:name="OLE_LINK7"/>
            <w:r>
              <w:rPr>
                <w:rFonts w:hint="eastAsia" w:ascii="宋体" w:hAnsi="宋体" w:eastAsia="宋体" w:cs="宋体"/>
                <w:color w:val="000000"/>
                <w:kern w:val="0"/>
                <w:sz w:val="22"/>
                <w:szCs w:val="22"/>
                <w:lang w:bidi="ar"/>
              </w:rPr>
              <w:t>雷电转PCIe扩展坞</w:t>
            </w:r>
            <w:bookmarkEnd w:id="0"/>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引眸科技或信威尔科技品牌产品；支持USB4/雷电5/4/3接口，PCIe3.0 x4输出，兼容PCIe x1 x4 x8 x16，支持DMA，接口速率：≥25Gbps</w:t>
            </w:r>
            <w:r>
              <w:rPr>
                <w:rFonts w:hint="eastAsia" w:ascii="宋体" w:hAnsi="宋体" w:eastAsia="宋体" w:cs="宋体"/>
                <w:color w:val="000000"/>
                <w:sz w:val="21"/>
                <w:szCs w:val="21"/>
              </w:rPr>
              <w:t xml:space="preserve"> </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Xlinx仿真器</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正点原子或野火品牌产品；fpga调试Cable USB下载器仿真器</w:t>
            </w:r>
            <w:bookmarkStart w:id="1" w:name="OLE_LINK3"/>
            <w:r>
              <w:rPr>
                <w:rFonts w:hint="eastAsia" w:ascii="宋体" w:hAnsi="宋体" w:eastAsia="宋体" w:cs="宋体"/>
                <w:color w:val="000000"/>
                <w:kern w:val="0"/>
                <w:sz w:val="21"/>
                <w:szCs w:val="21"/>
                <w:lang w:bidi="ar"/>
              </w:rPr>
              <w:t xml:space="preserve"> </w:t>
            </w:r>
            <w:bookmarkEnd w:id="1"/>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3</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逻辑分析仪</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Kingst、野火或正点原子品牌；支持USB2.0(Type-C,支持正反插)，最高采样率1GHz(8ch)或者500MHz(16ch),最小可采集脉宽2ns,最高可采集频率200MHz,最大硬件存储深度3.5G（bit）,供电电压5V±0.2V，2.54mm杜邦接口（标准20pin牛角座），型号DL16 plus </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4</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PCIE延长线</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波菲科技或者ADT品牌：PCIE3.0延长线 </w:t>
            </w:r>
            <w:r>
              <w:rPr>
                <w:rFonts w:ascii="宋体" w:hAnsi="宋体" w:eastAsia="宋体" w:cs="宋体"/>
                <w:color w:val="000000"/>
                <w:kern w:val="0"/>
                <w:sz w:val="21"/>
                <w:szCs w:val="21"/>
                <w:lang w:bidi="ar"/>
              </w:rPr>
              <w:t>4X 公对公 20cm 交叉信号（TX连RX）</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5</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大功率恒温电烙铁及其组件</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德力西电气或者宝工品牌：气泵式热风枪焊台双数显台式电烙铁二合一，气泵式热风枪支持AC220V/50Hz供电，旋钮调节风枪温度，功率650W，最大气流量12升/分；电烙铁支持旋钮调节温度，温度范围200℃-480℃，功率≤50W；包含电子剪*1，静电带*1，零件盒*1，风枪嘴*4，松香*1，镊子*3，吸锡器*1，焊锡膏*1；焊油*1；清洁球*1；无铅焊锡丝*1，烙铁头可配尖头、刀型头、马蹄头。型号952D</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辅助材料</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剥线钳</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规格1：德力西、宝工或者得力品牌：支持剥线范围0.2-0.8mm,剥线规格20/23/24/26/29/32，型号DL383028; 2个</w:t>
            </w:r>
          </w:p>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规格2：德力西、宝工或者得力品牌：支持剥线范围0.8-2.6mm,剥线规格10/12/14/16/18/20/22，型号DL2607; 2个</w:t>
            </w:r>
          </w:p>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规格3：德力西、绿林或者得力品牌：</w:t>
            </w:r>
            <w:r>
              <w:rPr>
                <w:rFonts w:ascii="宋体" w:hAnsi="宋体" w:eastAsia="宋体" w:cs="宋体"/>
                <w:color w:val="000000"/>
                <w:kern w:val="0"/>
                <w:sz w:val="21"/>
                <w:szCs w:val="21"/>
                <w:lang w:bidi="ar"/>
              </w:rPr>
              <w:t>水口钳</w:t>
            </w:r>
            <w:r>
              <w:rPr>
                <w:rFonts w:hint="eastAsia" w:ascii="宋体" w:hAnsi="宋体" w:eastAsia="宋体" w:cs="宋体"/>
                <w:color w:val="000000"/>
                <w:kern w:val="0"/>
                <w:sz w:val="21"/>
                <w:szCs w:val="21"/>
                <w:lang w:bidi="ar"/>
              </w:rPr>
              <w:t>，</w:t>
            </w:r>
            <w:r>
              <w:rPr>
                <w:rFonts w:ascii="宋体" w:hAnsi="宋体" w:eastAsia="宋体" w:cs="宋体"/>
                <w:color w:val="000000"/>
                <w:kern w:val="0"/>
                <w:sz w:val="21"/>
                <w:szCs w:val="21"/>
                <w:lang w:bidi="ar"/>
              </w:rPr>
              <w:t>高碳钢</w:t>
            </w:r>
            <w:r>
              <w:rPr>
                <w:rFonts w:hint="eastAsia" w:ascii="宋体" w:hAnsi="宋体" w:eastAsia="宋体" w:cs="宋体"/>
                <w:color w:val="000000"/>
                <w:kern w:val="0"/>
                <w:sz w:val="21"/>
                <w:szCs w:val="21"/>
                <w:lang w:bidi="ar"/>
              </w:rPr>
              <w:t xml:space="preserve">材质，常规款6英寸，型号 </w:t>
            </w:r>
            <w:r>
              <w:rPr>
                <w:rFonts w:ascii="宋体" w:hAnsi="宋体" w:eastAsia="宋体" w:cs="宋体"/>
                <w:color w:val="000000"/>
                <w:kern w:val="0"/>
                <w:sz w:val="21"/>
                <w:szCs w:val="21"/>
                <w:lang w:bidi="ar"/>
              </w:rPr>
              <w:t>DL2706</w:t>
            </w:r>
            <w:r>
              <w:rPr>
                <w:rFonts w:hint="eastAsia" w:ascii="宋体" w:hAnsi="宋体" w:eastAsia="宋体" w:cs="宋体"/>
                <w:color w:val="000000"/>
                <w:kern w:val="0"/>
                <w:sz w:val="21"/>
                <w:szCs w:val="21"/>
                <w:lang w:bidi="ar"/>
              </w:rPr>
              <w:t>；2个</w:t>
            </w:r>
          </w:p>
          <w:p>
            <w:pPr>
              <w:widowControl/>
              <w:jc w:val="left"/>
              <w:textAlignment w:val="center"/>
              <w:rPr>
                <w:rFonts w:hint="eastAsia" w:ascii="宋体" w:hAnsi="宋体" w:eastAsia="宋体" w:cs="宋体"/>
                <w:color w:val="000000"/>
                <w:kern w:val="0"/>
                <w:sz w:val="21"/>
                <w:szCs w:val="21"/>
                <w:lang w:bidi="ar"/>
              </w:rPr>
            </w:pP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每种规格各1份</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1041" w:type="dxa"/>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元器件</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串口线</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规格1：ZTEK、摩可灵或者多普瑞品牌产品；usb转232串口线工头DB9针工业级com转换器模块，免装驱动，型号ZE697</w:t>
            </w:r>
            <w:r>
              <w:rPr>
                <w:rFonts w:hint="eastAsia" w:ascii="宋体" w:hAnsi="宋体" w:eastAsia="宋体" w:cs="宋体"/>
                <w:color w:val="000000"/>
                <w:sz w:val="21"/>
                <w:szCs w:val="21"/>
              </w:rPr>
              <w:t xml:space="preserve"> 5个</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规格2：Risym、野火或者telesky品牌：USB转TTL （CH430G模块）支持3.3/5V选择，防高压、过流、反接、倒灌保护，含有电源灯，TXD和RXD指示灯 5个</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规格3：Risym、野火或者telesky品牌：杜邦线21cm母对母2.54mm 40P 5个</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规格4：Risym、野火或者telesky品牌：杜邦线21cm公对母2.54mm 40P</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5个 </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规格5：Risym、野火或者telesky品牌：杜邦线21cm公对公2.54mm 40P</w:t>
            </w:r>
          </w:p>
          <w:p>
            <w:pPr>
              <w:widowControl/>
              <w:jc w:val="left"/>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5个</w:t>
            </w:r>
          </w:p>
          <w:p>
            <w:pPr>
              <w:widowControl/>
              <w:jc w:val="left"/>
              <w:textAlignment w:val="center"/>
              <w:rPr>
                <w:rFonts w:hint="eastAsia" w:ascii="宋体" w:hAnsi="宋体" w:eastAsia="宋体" w:cs="宋体"/>
                <w:color w:val="000000"/>
                <w:sz w:val="21"/>
                <w:szCs w:val="21"/>
              </w:rPr>
            </w:pP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每种规格各1份</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1837" w:type="dxa"/>
            <w:gridSpan w:val="2"/>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合计总计（元）</w:t>
            </w:r>
          </w:p>
        </w:tc>
        <w:tc>
          <w:tcPr>
            <w:tcW w:w="11622"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000000"/>
                <w:sz w:val="28"/>
                <w:szCs w:val="28"/>
              </w:rPr>
            </w:pPr>
          </w:p>
        </w:tc>
      </w:tr>
      <w:tr>
        <w:tblPrEx>
          <w:tblCellMar>
            <w:top w:w="0" w:type="dxa"/>
            <w:left w:w="108" w:type="dxa"/>
            <w:bottom w:w="0" w:type="dxa"/>
            <w:right w:w="108" w:type="dxa"/>
          </w:tblCellMar>
        </w:tblPrEx>
        <w:tc>
          <w:tcPr>
            <w:tcW w:w="13459" w:type="dxa"/>
            <w:gridSpan w:val="6"/>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 xml:space="preserve">报价单位（盖公章）：        </w:t>
            </w:r>
            <w:r>
              <w:rPr>
                <w:rFonts w:hint="eastAsia" w:ascii="宋体" w:hAnsi="宋体" w:eastAsia="宋体" w:cs="宋体"/>
                <w:b/>
                <w:bCs/>
                <w:color w:val="000000"/>
                <w:kern w:val="0"/>
                <w:sz w:val="28"/>
                <w:szCs w:val="28"/>
                <w:lang w:bidi="ar"/>
              </w:rPr>
              <w:br w:type="textWrapping"/>
            </w:r>
            <w:r>
              <w:rPr>
                <w:rFonts w:hint="eastAsia" w:ascii="宋体" w:hAnsi="宋体" w:eastAsia="宋体" w:cs="宋体"/>
                <w:b/>
                <w:bCs/>
                <w:color w:val="000000"/>
                <w:kern w:val="0"/>
                <w:sz w:val="28"/>
                <w:szCs w:val="28"/>
                <w:lang w:bidi="ar"/>
              </w:rPr>
              <w:t xml:space="preserve">日期：                </w:t>
            </w:r>
          </w:p>
        </w:tc>
      </w:tr>
      <w:tr>
        <w:tblPrEx>
          <w:tblCellMar>
            <w:top w:w="0" w:type="dxa"/>
            <w:left w:w="108" w:type="dxa"/>
            <w:bottom w:w="0" w:type="dxa"/>
            <w:right w:w="108" w:type="dxa"/>
          </w:tblCellMar>
        </w:tblPrEx>
        <w:tc>
          <w:tcPr>
            <w:tcW w:w="796" w:type="dxa"/>
            <w:tcBorders>
              <w:top w:val="nil"/>
              <w:left w:val="nil"/>
              <w:bottom w:val="nil"/>
              <w:right w:val="nil"/>
            </w:tcBorders>
          </w:tcPr>
          <w:p>
            <w:pPr>
              <w:jc w:val="center"/>
              <w:rPr>
                <w:rFonts w:hint="eastAsia" w:ascii="宋体" w:hAnsi="宋体" w:eastAsia="宋体" w:cs="宋体"/>
                <w:color w:val="000000"/>
                <w:sz w:val="22"/>
                <w:szCs w:val="22"/>
              </w:rPr>
            </w:pPr>
          </w:p>
        </w:tc>
        <w:tc>
          <w:tcPr>
            <w:tcW w:w="1041" w:type="dxa"/>
            <w:tcBorders>
              <w:top w:val="nil"/>
              <w:left w:val="nil"/>
              <w:bottom w:val="nil"/>
              <w:right w:val="nil"/>
            </w:tcBorders>
          </w:tcPr>
          <w:p>
            <w:pPr>
              <w:jc w:val="center"/>
              <w:rPr>
                <w:rFonts w:hint="eastAsia" w:ascii="宋体" w:hAnsi="宋体" w:eastAsia="宋体" w:cs="宋体"/>
                <w:color w:val="000000"/>
                <w:sz w:val="22"/>
                <w:szCs w:val="22"/>
              </w:rPr>
            </w:pPr>
          </w:p>
        </w:tc>
        <w:tc>
          <w:tcPr>
            <w:tcW w:w="1418" w:type="dxa"/>
            <w:tcBorders>
              <w:top w:val="nil"/>
              <w:left w:val="nil"/>
              <w:bottom w:val="nil"/>
              <w:right w:val="nil"/>
            </w:tcBorders>
          </w:tcPr>
          <w:p>
            <w:pPr>
              <w:jc w:val="center"/>
              <w:rPr>
                <w:rFonts w:hint="eastAsia" w:ascii="宋体" w:hAnsi="宋体" w:eastAsia="宋体" w:cs="宋体"/>
                <w:color w:val="000000"/>
                <w:sz w:val="22"/>
                <w:szCs w:val="22"/>
              </w:rPr>
            </w:pPr>
          </w:p>
        </w:tc>
        <w:tc>
          <w:tcPr>
            <w:tcW w:w="7067" w:type="dxa"/>
            <w:tcBorders>
              <w:top w:val="nil"/>
              <w:left w:val="nil"/>
              <w:bottom w:val="nil"/>
              <w:right w:val="nil"/>
            </w:tcBorders>
          </w:tcPr>
          <w:p>
            <w:pPr>
              <w:jc w:val="left"/>
              <w:rPr>
                <w:rFonts w:hint="eastAsia" w:ascii="宋体" w:hAnsi="宋体" w:eastAsia="宋体" w:cs="宋体"/>
                <w:color w:val="000000"/>
                <w:sz w:val="22"/>
                <w:szCs w:val="22"/>
              </w:rPr>
            </w:pPr>
          </w:p>
        </w:tc>
        <w:tc>
          <w:tcPr>
            <w:tcW w:w="3137" w:type="dxa"/>
            <w:gridSpan w:val="2"/>
            <w:tcBorders>
              <w:top w:val="nil"/>
              <w:left w:val="nil"/>
              <w:bottom w:val="nil"/>
              <w:right w:val="nil"/>
            </w:tcBorders>
          </w:tcPr>
          <w:p>
            <w:pPr>
              <w:widowControl/>
              <w:jc w:val="right"/>
              <w:textAlignment w:val="top"/>
              <w:rPr>
                <w:rFonts w:hint="eastAsia" w:ascii="宋体" w:hAnsi="宋体" w:eastAsia="宋体" w:cs="宋体"/>
                <w:color w:val="FF0000"/>
                <w:sz w:val="22"/>
                <w:szCs w:val="22"/>
              </w:rPr>
            </w:pPr>
            <w:r>
              <w:rPr>
                <w:rFonts w:hint="eastAsia" w:ascii="宋体" w:hAnsi="宋体" w:eastAsia="宋体" w:cs="宋体"/>
                <w:color w:val="FF0000"/>
                <w:kern w:val="0"/>
                <w:sz w:val="22"/>
                <w:szCs w:val="22"/>
                <w:lang w:bidi="ar"/>
              </w:rPr>
              <w:t>备注：以上报价含运费、含税。</w:t>
            </w:r>
          </w:p>
        </w:tc>
      </w:tr>
    </w:tbl>
    <w:p>
      <w:pPr>
        <w:rPr>
          <w:rFonts w:hint="eastAsia" w:ascii="宋体" w:hAnsi="宋体" w:cs="宋体"/>
          <w:bCs/>
          <w:color w:val="000000"/>
          <w:kern w:val="0"/>
          <w:sz w:val="24"/>
        </w:rPr>
      </w:pPr>
    </w:p>
    <w:p>
      <w:pPr>
        <w:rPr>
          <w:rFonts w:hint="eastAsia" w:ascii="宋体" w:hAnsi="宋体" w:cs="宋体"/>
          <w:bCs/>
          <w:color w:val="000000"/>
          <w:kern w:val="0"/>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1D5E20B5-BA4C-4E24-AC1C-50F7CB9A9DA3}"/>
  </w:font>
  <w:font w:name="Arial">
    <w:panose1 w:val="020B0604020202020204"/>
    <w:charset w:val="00"/>
    <w:family w:val="swiss"/>
    <w:pitch w:val="default"/>
    <w:sig w:usb0="E0002EFF" w:usb1="C000785B" w:usb2="00000009" w:usb3="00000000" w:csb0="400001FF" w:csb1="FFFF0000"/>
  </w:font>
  <w:font w:name="Arial Unicode MS">
    <w:altName w:val="Malgun Gothic Semilight"/>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0000000000000000000"/>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embedRegular r:id="rId2" w:fontKey="{FA5F9892-3287-4989-BBC1-82B424BFE279}"/>
  </w:font>
  <w:font w:name="仿宋_GB2312">
    <w:panose1 w:val="02010609030101010101"/>
    <w:charset w:val="86"/>
    <w:family w:val="modern"/>
    <w:pitch w:val="default"/>
    <w:sig w:usb0="00000001" w:usb1="080E0000" w:usb2="00000000" w:usb3="00000000" w:csb0="00040000" w:csb1="00000000"/>
    <w:embedRegular r:id="rId3" w:fontKey="{13DA9113-DB17-4757-AA01-9E2F53620A26}"/>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B4A54"/>
    <w:multiLevelType w:val="singleLevel"/>
    <w:tmpl w:val="5AAB4A5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oNotDisplayPageBoundaries w:val="1"/>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42C17"/>
    <w:rsid w:val="0006463A"/>
    <w:rsid w:val="00064F3A"/>
    <w:rsid w:val="000B3141"/>
    <w:rsid w:val="000B4AD8"/>
    <w:rsid w:val="000C2C24"/>
    <w:rsid w:val="00197EC1"/>
    <w:rsid w:val="001A1359"/>
    <w:rsid w:val="001C436B"/>
    <w:rsid w:val="001F18CF"/>
    <w:rsid w:val="00202426"/>
    <w:rsid w:val="00254E57"/>
    <w:rsid w:val="00271761"/>
    <w:rsid w:val="002B5E2B"/>
    <w:rsid w:val="003B3579"/>
    <w:rsid w:val="003E0A85"/>
    <w:rsid w:val="00416FA1"/>
    <w:rsid w:val="004702AF"/>
    <w:rsid w:val="004752EE"/>
    <w:rsid w:val="004A5055"/>
    <w:rsid w:val="004F351D"/>
    <w:rsid w:val="00517A4D"/>
    <w:rsid w:val="0052260E"/>
    <w:rsid w:val="00527475"/>
    <w:rsid w:val="00563027"/>
    <w:rsid w:val="00590307"/>
    <w:rsid w:val="005910C2"/>
    <w:rsid w:val="005B08BA"/>
    <w:rsid w:val="005D41E4"/>
    <w:rsid w:val="005D5F2D"/>
    <w:rsid w:val="00643D96"/>
    <w:rsid w:val="0069441A"/>
    <w:rsid w:val="006C6C20"/>
    <w:rsid w:val="006F1727"/>
    <w:rsid w:val="007209A8"/>
    <w:rsid w:val="007609C5"/>
    <w:rsid w:val="007939F9"/>
    <w:rsid w:val="007C117C"/>
    <w:rsid w:val="008308DE"/>
    <w:rsid w:val="00834004"/>
    <w:rsid w:val="00834BCB"/>
    <w:rsid w:val="00872F27"/>
    <w:rsid w:val="008935FA"/>
    <w:rsid w:val="008B5C20"/>
    <w:rsid w:val="008C113B"/>
    <w:rsid w:val="008E234A"/>
    <w:rsid w:val="0090221B"/>
    <w:rsid w:val="0093160A"/>
    <w:rsid w:val="00944A8E"/>
    <w:rsid w:val="009517A9"/>
    <w:rsid w:val="00976A13"/>
    <w:rsid w:val="009C3763"/>
    <w:rsid w:val="00A3323D"/>
    <w:rsid w:val="00A710A8"/>
    <w:rsid w:val="00AB15D9"/>
    <w:rsid w:val="00B60F26"/>
    <w:rsid w:val="00BA222A"/>
    <w:rsid w:val="00C31468"/>
    <w:rsid w:val="00C71272"/>
    <w:rsid w:val="00C7386E"/>
    <w:rsid w:val="00C86C15"/>
    <w:rsid w:val="00C94EEE"/>
    <w:rsid w:val="00CA3A33"/>
    <w:rsid w:val="00CC1B97"/>
    <w:rsid w:val="00CF5D12"/>
    <w:rsid w:val="00DB796C"/>
    <w:rsid w:val="00DD6FC1"/>
    <w:rsid w:val="00E92142"/>
    <w:rsid w:val="00EB2D2B"/>
    <w:rsid w:val="00FB3065"/>
    <w:rsid w:val="01786972"/>
    <w:rsid w:val="02F77A54"/>
    <w:rsid w:val="039629FA"/>
    <w:rsid w:val="03D31D81"/>
    <w:rsid w:val="03E41F47"/>
    <w:rsid w:val="044668E8"/>
    <w:rsid w:val="0453297C"/>
    <w:rsid w:val="049469BD"/>
    <w:rsid w:val="05716D2E"/>
    <w:rsid w:val="09E064D9"/>
    <w:rsid w:val="09F771B4"/>
    <w:rsid w:val="0B2C01C1"/>
    <w:rsid w:val="0C79714F"/>
    <w:rsid w:val="0FF34501"/>
    <w:rsid w:val="121865DB"/>
    <w:rsid w:val="122D7651"/>
    <w:rsid w:val="1230056E"/>
    <w:rsid w:val="12C4249A"/>
    <w:rsid w:val="14760BCF"/>
    <w:rsid w:val="152516E2"/>
    <w:rsid w:val="15B912F9"/>
    <w:rsid w:val="15D41D2A"/>
    <w:rsid w:val="163561B7"/>
    <w:rsid w:val="183B1EFF"/>
    <w:rsid w:val="18544E0A"/>
    <w:rsid w:val="192D7FB2"/>
    <w:rsid w:val="19E7079D"/>
    <w:rsid w:val="1B3904C6"/>
    <w:rsid w:val="1D755A40"/>
    <w:rsid w:val="20383E44"/>
    <w:rsid w:val="20C80BEE"/>
    <w:rsid w:val="23A54CBD"/>
    <w:rsid w:val="24F9706B"/>
    <w:rsid w:val="28B1694E"/>
    <w:rsid w:val="29264597"/>
    <w:rsid w:val="294A647B"/>
    <w:rsid w:val="29A65F61"/>
    <w:rsid w:val="2B2039A8"/>
    <w:rsid w:val="2D780364"/>
    <w:rsid w:val="2DC53B5B"/>
    <w:rsid w:val="2E02784C"/>
    <w:rsid w:val="2EAA73D1"/>
    <w:rsid w:val="2F4D1608"/>
    <w:rsid w:val="2F8512FC"/>
    <w:rsid w:val="319A0963"/>
    <w:rsid w:val="31D2210F"/>
    <w:rsid w:val="323C6630"/>
    <w:rsid w:val="34025142"/>
    <w:rsid w:val="343206CD"/>
    <w:rsid w:val="34E00513"/>
    <w:rsid w:val="37801DF5"/>
    <w:rsid w:val="37BF107B"/>
    <w:rsid w:val="387233BC"/>
    <w:rsid w:val="39E14BE9"/>
    <w:rsid w:val="3A37677D"/>
    <w:rsid w:val="3ABF6520"/>
    <w:rsid w:val="3CF0459A"/>
    <w:rsid w:val="3D664A6E"/>
    <w:rsid w:val="3E801EFA"/>
    <w:rsid w:val="3EC01071"/>
    <w:rsid w:val="3F1274D4"/>
    <w:rsid w:val="3F2C205E"/>
    <w:rsid w:val="3FDB2310"/>
    <w:rsid w:val="407D603A"/>
    <w:rsid w:val="4209139F"/>
    <w:rsid w:val="42895730"/>
    <w:rsid w:val="448859A8"/>
    <w:rsid w:val="44C157DB"/>
    <w:rsid w:val="44FF7D2B"/>
    <w:rsid w:val="457F13D0"/>
    <w:rsid w:val="45E46FE6"/>
    <w:rsid w:val="464B047B"/>
    <w:rsid w:val="465678CD"/>
    <w:rsid w:val="468D4044"/>
    <w:rsid w:val="48520195"/>
    <w:rsid w:val="4866151D"/>
    <w:rsid w:val="4884791C"/>
    <w:rsid w:val="4B5764E3"/>
    <w:rsid w:val="4B6575A8"/>
    <w:rsid w:val="4DAC5AD3"/>
    <w:rsid w:val="4E1B68CB"/>
    <w:rsid w:val="4E602391"/>
    <w:rsid w:val="53596514"/>
    <w:rsid w:val="54AB2E5B"/>
    <w:rsid w:val="55563938"/>
    <w:rsid w:val="559E4683"/>
    <w:rsid w:val="55F9510E"/>
    <w:rsid w:val="5695511C"/>
    <w:rsid w:val="56C3025D"/>
    <w:rsid w:val="57CD685E"/>
    <w:rsid w:val="588A5CAA"/>
    <w:rsid w:val="58A22133"/>
    <w:rsid w:val="58D465D2"/>
    <w:rsid w:val="592C3B84"/>
    <w:rsid w:val="59FE40EB"/>
    <w:rsid w:val="5A7964B4"/>
    <w:rsid w:val="5B473456"/>
    <w:rsid w:val="5D0016A0"/>
    <w:rsid w:val="5DB56D93"/>
    <w:rsid w:val="5E2F3ED8"/>
    <w:rsid w:val="5E6A4565"/>
    <w:rsid w:val="5EC52081"/>
    <w:rsid w:val="5EEA1EDB"/>
    <w:rsid w:val="5F6A425E"/>
    <w:rsid w:val="60C63177"/>
    <w:rsid w:val="62011D99"/>
    <w:rsid w:val="62B0589E"/>
    <w:rsid w:val="63B86D89"/>
    <w:rsid w:val="63C94418"/>
    <w:rsid w:val="64291E80"/>
    <w:rsid w:val="65473841"/>
    <w:rsid w:val="666C4584"/>
    <w:rsid w:val="675833DC"/>
    <w:rsid w:val="675C2DDE"/>
    <w:rsid w:val="690516AC"/>
    <w:rsid w:val="698F5C56"/>
    <w:rsid w:val="6A963457"/>
    <w:rsid w:val="6B573EC0"/>
    <w:rsid w:val="6C3F37FE"/>
    <w:rsid w:val="6D3F73E7"/>
    <w:rsid w:val="6E601250"/>
    <w:rsid w:val="6F5A6783"/>
    <w:rsid w:val="71DB24B1"/>
    <w:rsid w:val="723D5B6F"/>
    <w:rsid w:val="74A7141D"/>
    <w:rsid w:val="74D32FFF"/>
    <w:rsid w:val="754662CB"/>
    <w:rsid w:val="756B7FA8"/>
    <w:rsid w:val="76C02894"/>
    <w:rsid w:val="78BB10DB"/>
    <w:rsid w:val="7AF4019D"/>
    <w:rsid w:val="7BFC1E52"/>
    <w:rsid w:val="7C2C2423"/>
    <w:rsid w:val="7D774D6B"/>
    <w:rsid w:val="7E1D1746"/>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customStyle="1" w:styleId="10">
    <w:name w:val="页眉 字符"/>
    <w:basedOn w:val="8"/>
    <w:link w:val="6"/>
    <w:qFormat/>
    <w:uiPriority w:val="0"/>
    <w:rPr>
      <w:rFonts w:ascii="Calibri" w:hAnsi="Calibri" w:eastAsia="仿宋" w:cs="Times New Roman"/>
      <w:kern w:val="2"/>
      <w:sz w:val="18"/>
      <w:szCs w:val="18"/>
    </w:rPr>
  </w:style>
  <w:style w:type="character" w:customStyle="1" w:styleId="11">
    <w:name w:val="页脚 字符"/>
    <w:basedOn w:val="8"/>
    <w:link w:val="5"/>
    <w:qFormat/>
    <w:uiPriority w:val="0"/>
    <w:rPr>
      <w:rFonts w:ascii="Calibri" w:hAnsi="Calibri" w:eastAsia="仿宋" w:cs="Times New Roman"/>
      <w:kern w:val="2"/>
      <w:sz w:val="18"/>
      <w:szCs w:val="18"/>
    </w:rPr>
  </w:style>
  <w:style w:type="paragraph" w:customStyle="1" w:styleId="12">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3">
    <w:name w:val="List Paragraph"/>
    <w:basedOn w:val="1"/>
    <w:qFormat/>
    <w:uiPriority w:val="99"/>
    <w:pPr>
      <w:ind w:firstLine="420" w:firstLineChars="200"/>
    </w:pPr>
  </w:style>
  <w:style w:type="character" w:customStyle="1" w:styleId="14">
    <w:name w:val="font11"/>
    <w:basedOn w:val="8"/>
    <w:qFormat/>
    <w:uiPriority w:val="0"/>
    <w:rPr>
      <w:rFonts w:hint="default" w:ascii="Times New Roman" w:hAnsi="Times New Roman" w:cs="Times New Roman"/>
      <w:b/>
      <w:bCs/>
      <w:color w:val="000000"/>
      <w:sz w:val="42"/>
      <w:szCs w:val="42"/>
      <w:u w:val="none"/>
    </w:rPr>
  </w:style>
  <w:style w:type="character" w:customStyle="1" w:styleId="15">
    <w:name w:val="font21"/>
    <w:basedOn w:val="8"/>
    <w:qFormat/>
    <w:uiPriority w:val="0"/>
    <w:rPr>
      <w:rFonts w:hint="eastAsia" w:ascii="仿宋" w:hAnsi="仿宋" w:eastAsia="仿宋" w:cs="仿宋"/>
      <w:b/>
      <w:bCs/>
      <w:color w:val="000000"/>
      <w:sz w:val="42"/>
      <w:szCs w:val="42"/>
      <w:u w:val="none"/>
    </w:rPr>
  </w:style>
  <w:style w:type="character" w:customStyle="1" w:styleId="16">
    <w:name w:val="font91"/>
    <w:basedOn w:val="8"/>
    <w:qFormat/>
    <w:uiPriority w:val="0"/>
    <w:rPr>
      <w:rFonts w:hint="default" w:ascii="Times New Roman" w:hAnsi="Times New Roman" w:cs="Times New Roman"/>
      <w:color w:val="000000"/>
      <w:sz w:val="22"/>
      <w:szCs w:val="22"/>
      <w:u w:val="none"/>
    </w:rPr>
  </w:style>
  <w:style w:type="character" w:customStyle="1" w:styleId="17">
    <w:name w:val="font81"/>
    <w:basedOn w:val="8"/>
    <w:qFormat/>
    <w:uiPriority w:val="0"/>
    <w:rPr>
      <w:rFonts w:hint="eastAsia" w:ascii="宋体" w:hAnsi="宋体" w:eastAsia="宋体" w:cs="宋体"/>
      <w:color w:val="000000"/>
      <w:sz w:val="22"/>
      <w:szCs w:val="22"/>
      <w:u w:val="none"/>
    </w:rPr>
  </w:style>
  <w:style w:type="character" w:customStyle="1" w:styleId="18">
    <w:name w:val="font101"/>
    <w:basedOn w:val="8"/>
    <w:qFormat/>
    <w:uiPriority w:val="0"/>
    <w:rPr>
      <w:rFonts w:hint="default" w:ascii="方正书宋_GBK" w:hAnsi="方正书宋_GBK" w:eastAsia="方正书宋_GBK" w:cs="方正书宋_GBK"/>
      <w:color w:val="000000"/>
      <w:sz w:val="22"/>
      <w:szCs w:val="22"/>
      <w:u w:val="none"/>
    </w:rPr>
  </w:style>
  <w:style w:type="character" w:customStyle="1" w:styleId="19">
    <w:name w:val="font112"/>
    <w:basedOn w:val="8"/>
    <w:qFormat/>
    <w:uiPriority w:val="0"/>
    <w:rPr>
      <w:rFonts w:hint="default" w:ascii="Times New Roman" w:hAnsi="Times New Roman" w:cs="Times New Roman"/>
      <w:b/>
      <w:bCs/>
      <w:color w:val="000000"/>
      <w:sz w:val="22"/>
      <w:szCs w:val="22"/>
      <w:u w:val="none"/>
    </w:rPr>
  </w:style>
  <w:style w:type="character" w:customStyle="1" w:styleId="20">
    <w:name w:val="font161"/>
    <w:basedOn w:val="8"/>
    <w:qFormat/>
    <w:uiPriority w:val="0"/>
    <w:rPr>
      <w:rFonts w:hint="default" w:ascii="方正书宋_GBK" w:hAnsi="方正书宋_GBK" w:eastAsia="方正书宋_GBK" w:cs="方正书宋_GBK"/>
      <w:b/>
      <w:bCs/>
      <w:color w:val="000000"/>
      <w:sz w:val="22"/>
      <w:szCs w:val="22"/>
      <w:u w:val="none"/>
    </w:rPr>
  </w:style>
  <w:style w:type="character" w:customStyle="1" w:styleId="21">
    <w:name w:val="font121"/>
    <w:basedOn w:val="8"/>
    <w:qFormat/>
    <w:uiPriority w:val="0"/>
    <w:rPr>
      <w:rFonts w:hint="default" w:ascii="Times New Roman" w:hAnsi="Times New Roman" w:cs="Times New Roman"/>
      <w:color w:val="000000"/>
      <w:sz w:val="22"/>
      <w:szCs w:val="22"/>
      <w:u w:val="none"/>
    </w:rPr>
  </w:style>
  <w:style w:type="character" w:customStyle="1" w:styleId="22">
    <w:name w:val="font13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296</Words>
  <Characters>1688</Characters>
  <Lines>14</Lines>
  <Paragraphs>3</Paragraphs>
  <TotalTime>231</TotalTime>
  <ScaleCrop>false</ScaleCrop>
  <LinksUpToDate>false</LinksUpToDate>
  <CharactersWithSpaces>1981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2025-11-24T07:37:00Z</dcterms:created>
  <dc:creator>吴丽蓉</dc:creator>
  <cp:lastModifiedBy>B73D9BA834874A58A47F2CA62B94BC46</cp:lastModifiedBy>
  <dcterms:modified xsi:type="dcterms:W3CDTF">2025-12-03T06:13:40Z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62ED5CEC635D4918BA05784EC426F2BF</vt:lpwstr>
  </property>
</Properties>
</file>