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bookmarkStart w:id="72" w:name="_GoBack"/>
      <w:bookmarkEnd w:id="72"/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7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一种</w:t>
      </w:r>
      <w:bookmarkStart w:id="0" w:name="_Toc2675"/>
      <w:r>
        <w:rPr>
          <w:rFonts w:hint="eastAsia"/>
          <w:b/>
          <w:sz w:val="44"/>
          <w:szCs w:val="44"/>
          <w:lang w:val="en-US" w:eastAsia="zh-CN"/>
        </w:rPr>
        <w:t>高压发电车用户无感知接入和退出装置</w:t>
      </w:r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2EF6F66E">
      <w:pPr>
        <w:jc w:val="center"/>
      </w:pPr>
    </w:p>
    <w:p w14:paraId="349ABE4A">
      <w:pPr>
        <w:jc w:val="center"/>
      </w:pPr>
    </w:p>
    <w:p w14:paraId="51EB6DCA">
      <w:pPr>
        <w:jc w:val="center"/>
      </w:pPr>
    </w:p>
    <w:p w14:paraId="08CB6830">
      <w:pPr>
        <w:jc w:val="center"/>
      </w:pPr>
    </w:p>
    <w:p w14:paraId="253630D3">
      <w:pPr>
        <w:jc w:val="center"/>
      </w:pPr>
    </w:p>
    <w:p w14:paraId="5FDED851">
      <w:pPr>
        <w:jc w:val="center"/>
      </w:pPr>
    </w:p>
    <w:p w14:paraId="79144CE1">
      <w:pPr>
        <w:jc w:val="center"/>
      </w:pPr>
    </w:p>
    <w:p w14:paraId="516C0E1D">
      <w:pPr>
        <w:jc w:val="center"/>
      </w:pPr>
    </w:p>
    <w:p w14:paraId="68633891">
      <w:pPr>
        <w:jc w:val="center"/>
      </w:pPr>
    </w:p>
    <w:p w14:paraId="5001A0E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</w:p>
    <w:p w14:paraId="721AB329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42B7B167">
      <w:pPr>
        <w:jc w:val="center"/>
      </w:pPr>
      <w:r>
        <w:br w:type="page"/>
      </w:r>
    </w:p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147458049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="Times New Roman"/>
          <w:kern w:val="2"/>
          <w:sz w:val="24"/>
          <w:szCs w:val="30"/>
          <w:lang w:val="en-US" w:eastAsia="zh-CN" w:bidi="ar-SA"/>
        </w:rPr>
      </w:sdtEndPr>
      <w:sdtContent>
        <w:p w14:paraId="6B62C3E4">
          <w:pPr>
            <w:pStyle w:val="10"/>
            <w:tabs>
              <w:tab w:val="left" w:pos="420"/>
              <w:tab w:val="right" w:leader="dot" w:pos="8296"/>
            </w:tabs>
            <w:jc w:val="center"/>
            <w:rPr>
              <w:rFonts w:ascii="Times New Roman" w:hAnsi="Times New Roman" w:eastAsia="宋体" w:cs="Times New Roman"/>
              <w:b/>
              <w:kern w:val="2"/>
              <w:sz w:val="30"/>
              <w:szCs w:val="30"/>
              <w:lang w:val="en-US" w:eastAsia="zh-CN" w:bidi="ar-SA"/>
            </w:rPr>
          </w:pPr>
          <w:r>
            <w:rPr>
              <w:b/>
              <w:sz w:val="30"/>
              <w:szCs w:val="30"/>
              <w:lang w:val="en-US" w:eastAsia="zh-CN"/>
            </w:rPr>
            <w:t>目</w:t>
          </w:r>
          <w:r>
            <w:rPr>
              <w:rFonts w:hint="eastAsia"/>
              <w:b/>
              <w:sz w:val="30"/>
              <w:szCs w:val="30"/>
              <w:lang w:val="en-US" w:eastAsia="zh-CN"/>
            </w:rPr>
            <w:t xml:space="preserve">  </w:t>
          </w:r>
          <w:r>
            <w:rPr>
              <w:b/>
              <w:sz w:val="30"/>
              <w:szCs w:val="30"/>
              <w:lang w:val="en-US" w:eastAsia="zh-CN"/>
            </w:rPr>
            <w:t>录</w:t>
          </w:r>
        </w:p>
        <w:p w14:paraId="2F69D776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</w:rPr>
            <w:instrText xml:space="preserve">TOC \o "1-3" \h \u </w:instrText>
          </w:r>
          <w:r>
            <w:rPr>
              <w:rFonts w:ascii="Times New Roman" w:hAnsi="Times New Roman"/>
              <w:kern w:val="2"/>
              <w:sz w:val="24"/>
              <w:szCs w:val="30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_Toc21373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1.总则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_Toc21373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1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1EFB148E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_Toc4921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2.项目目标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_Toc4921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1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495916A5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_Toc31052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3.服务界限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_Toc31052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1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579FF7F6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_Toc19819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4.项目总体要求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_Toc19819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2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72C96F54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_Toc7028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5.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 xml:space="preserve"> </w:t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技术要求与指标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_Toc7028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2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5AE20544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 w:firstLine="480" w:firstLine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_Toc31192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5.1功能说明及技术参数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_Toc31192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2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57BF31F8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 w:firstLine="480" w:firstLine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_Toc20005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5.2 所需专用材料使用条件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_Toc20005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4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3FBA52BA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_Toc26631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6.项目管理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_Toc26631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4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0418F62A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 w:firstLine="480" w:firstLine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_Toc26228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6.1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项目管理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_Toc26228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4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443C7151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 w:firstLine="480" w:firstLine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_Toc5537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6.2质量保证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_Toc5537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5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66C27084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 w:firstLine="480" w:firstLine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_Toc7342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6.3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项目进度管理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_Toc7342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5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46C614B7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_Toc19964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7.技术服务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_Toc19964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6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3C09EE90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_Toc6689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8.验收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_Toc6689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6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3FCC4BBD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</w:rPr>
          </w:pP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HYPERLINK \l _Toc15160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hint="eastAsia" w:ascii="Times New Roman" w:hAnsi="Times New Roman"/>
              <w:kern w:val="2"/>
              <w:sz w:val="24"/>
              <w:szCs w:val="30"/>
              <w:lang w:val="en-US" w:eastAsia="zh-CN"/>
            </w:rPr>
            <w:t>9.预期成果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ab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begin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instrText xml:space="preserve"> PAGEREF _Toc15160 \h </w:instrTex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separate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t>6</w:t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  <w:r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  <w:fldChar w:fldCharType="end"/>
          </w:r>
        </w:p>
        <w:p w14:paraId="0C0770DB">
          <w:pPr>
            <w:pStyle w:val="11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/>
              <w:kern w:val="2"/>
              <w:sz w:val="24"/>
              <w:szCs w:val="30"/>
              <w:lang w:val="en-US" w:eastAsia="zh-CN"/>
            </w:rPr>
          </w:pPr>
          <w:r>
            <w:rPr>
              <w:rFonts w:ascii="Times New Roman" w:hAnsi="Times New Roman"/>
              <w:kern w:val="2"/>
              <w:sz w:val="24"/>
              <w:szCs w:val="30"/>
            </w:rPr>
            <w:fldChar w:fldCharType="end"/>
          </w:r>
        </w:p>
      </w:sdtContent>
    </w:sdt>
    <w:p w14:paraId="2843639E">
      <w:pPr>
        <w:jc w:val="center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 w14:paraId="73F91607">
      <w:pPr>
        <w:jc w:val="center"/>
      </w:pPr>
    </w:p>
    <w:p w14:paraId="5D269965"/>
    <w:p w14:paraId="3D812507"/>
    <w:p w14:paraId="2B00EA53"/>
    <w:p w14:paraId="3A3E3DD7"/>
    <w:p w14:paraId="49D62BA3"/>
    <w:p w14:paraId="603976AD"/>
    <w:p w14:paraId="03870896"/>
    <w:p w14:paraId="22ECCD34"/>
    <w:p w14:paraId="1D203CA2"/>
    <w:p w14:paraId="76D4E415"/>
    <w:p w14:paraId="327620AC"/>
    <w:p w14:paraId="6E0E934E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CB830AF">
      <w:pPr>
        <w:pStyle w:val="4"/>
        <w:outlineLvl w:val="0"/>
        <w:rPr>
          <w:rFonts w:ascii="Times New Roman" w:hAnsi="Times New Roman"/>
          <w:szCs w:val="30"/>
        </w:rPr>
      </w:pPr>
      <w:bookmarkStart w:id="1" w:name="_Toc21373"/>
      <w:bookmarkStart w:id="2" w:name="_Toc291690053"/>
      <w:bookmarkStart w:id="3" w:name="_Toc351722588"/>
      <w:bookmarkStart w:id="4" w:name="_Toc32676"/>
      <w:bookmarkStart w:id="5" w:name="_Toc10800"/>
      <w:bookmarkStart w:id="6" w:name="_Toc10814"/>
      <w:bookmarkStart w:id="7" w:name="_Toc25851"/>
      <w:r>
        <w:rPr>
          <w:rFonts w:hint="eastAsia" w:ascii="Times New Roman" w:hAnsi="Times New Roman"/>
          <w:szCs w:val="30"/>
        </w:rPr>
        <w:t>1.总则</w:t>
      </w:r>
      <w:bookmarkEnd w:id="1"/>
      <w:bookmarkEnd w:id="2"/>
      <w:bookmarkEnd w:id="3"/>
      <w:bookmarkEnd w:id="4"/>
      <w:bookmarkEnd w:id="5"/>
      <w:bookmarkEnd w:id="6"/>
      <w:bookmarkEnd w:id="7"/>
    </w:p>
    <w:p w14:paraId="1F96786C">
      <w:pPr>
        <w:ind w:firstLine="480" w:firstLineChars="200"/>
        <w:rPr>
          <w:rFonts w:hint="eastAsia"/>
        </w:rPr>
      </w:pPr>
      <w:r>
        <w:rPr>
          <w:rFonts w:hint="eastAsia"/>
        </w:rPr>
        <w:t>本技术规范仅针对“</w:t>
      </w:r>
      <w:r>
        <w:rPr>
          <w:rFonts w:hint="eastAsia"/>
          <w:lang w:eastAsia="zh-CN"/>
        </w:rPr>
        <w:t>高压发电车用户无感知接入和退出装置</w:t>
      </w:r>
      <w:r>
        <w:rPr>
          <w:rFonts w:hint="eastAsia"/>
        </w:rPr>
        <w:t>”项目（以下简称项目）。</w:t>
      </w:r>
    </w:p>
    <w:p w14:paraId="1F2C2E10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1）</w:t>
      </w:r>
      <w:r>
        <w:rPr>
          <w:rFonts w:hint="eastAsia"/>
        </w:rPr>
        <w:t>本技术规范提出的是该项目最低限度的技术要求，如有与计划任务单研究要求有差异，投标人的响应应满足两者的最高研究要求。</w:t>
      </w:r>
    </w:p>
    <w:p w14:paraId="7EF7A00C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2）</w:t>
      </w:r>
      <w:r>
        <w:rPr>
          <w:rFonts w:hint="eastAsia"/>
        </w:rPr>
        <w:t>如果投标人以书面形式对本技术规范的条文提出异议，则招标人、投标人双方应达成一致意见后，方可修改研究方向。</w:t>
      </w:r>
    </w:p>
    <w:p w14:paraId="2258D348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3）</w:t>
      </w:r>
      <w:r>
        <w:rPr>
          <w:rFonts w:hint="eastAsia"/>
        </w:rPr>
        <w:t>投标人所执行的内容如与本技术规范书要求的项目研究内容有差异，投标人应按招标人认可的更高研究标准执行。</w:t>
      </w:r>
    </w:p>
    <w:p w14:paraId="13B0CACC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4）</w:t>
      </w:r>
      <w:r>
        <w:rPr>
          <w:rFonts w:hint="eastAsia"/>
        </w:rPr>
        <w:t>本技术规范未尽事宜，由招标人、投标人双方协商确定。</w:t>
      </w:r>
    </w:p>
    <w:p w14:paraId="6D8617A1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5）</w:t>
      </w: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6）</w:t>
      </w:r>
      <w:r>
        <w:rPr>
          <w:rFonts w:hint="eastAsia"/>
        </w:rPr>
        <w:t>★投标方应在投标文件中给出项目实施具体方案，需满足技术要求和功能要求。</w:t>
      </w:r>
    </w:p>
    <w:p w14:paraId="4F0C282E">
      <w:pPr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7）</w:t>
      </w:r>
      <w:r>
        <w:rPr>
          <w:rFonts w:hint="eastAsia"/>
        </w:rPr>
        <w:t>★投标方</w:t>
      </w:r>
      <w:r>
        <w:rPr>
          <w:rFonts w:hint="eastAsia"/>
          <w:lang w:val="en-US" w:eastAsia="zh-CN"/>
        </w:rPr>
        <w:t>需要确保不得侵犯他人知识产权，否则将承担相应的法律责任。</w:t>
      </w:r>
    </w:p>
    <w:p w14:paraId="3863CED7">
      <w:pPr>
        <w:pStyle w:val="4"/>
        <w:outlineLvl w:val="0"/>
        <w:rPr>
          <w:rFonts w:ascii="Times New Roman" w:hAnsi="Times New Roman"/>
          <w:szCs w:val="30"/>
        </w:rPr>
      </w:pPr>
      <w:bookmarkStart w:id="8" w:name="_Toc13136"/>
      <w:bookmarkStart w:id="9" w:name="_Toc10585"/>
      <w:bookmarkStart w:id="10" w:name="_Toc28325"/>
      <w:bookmarkStart w:id="11" w:name="_Toc1374"/>
      <w:bookmarkStart w:id="12" w:name="_Toc4921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5D231E2B">
      <w:pPr>
        <w:adjustRightInd w:val="0"/>
        <w:snapToGrid w:val="0"/>
        <w:ind w:firstLine="480" w:firstLineChars="200"/>
        <w:rPr>
          <w:rFonts w:hint="eastAsia"/>
          <w:lang w:val="en-US" w:eastAsia="zh-CN"/>
        </w:rPr>
      </w:pPr>
      <w:bookmarkStart w:id="13" w:name="OLE_LINK2"/>
      <w:bookmarkStart w:id="14" w:name="OLE_LINK1"/>
      <w:r>
        <w:rPr>
          <w:rFonts w:hint="eastAsia"/>
          <w:lang w:eastAsia="zh-CN"/>
        </w:rPr>
        <w:t>本项目</w:t>
      </w:r>
      <w:r>
        <w:rPr>
          <w:rFonts w:hint="eastAsia"/>
          <w:lang w:val="en-US" w:eastAsia="zh-CN"/>
        </w:rPr>
        <w:t>在高压发电车进行检修作业任务过程中，全程使用户供电连续无感知，提升用户用电体验感，提高供电可靠性指标。</w:t>
      </w:r>
    </w:p>
    <w:bookmarkEnd w:id="13"/>
    <w:bookmarkEnd w:id="14"/>
    <w:p w14:paraId="07293CA5">
      <w:pPr>
        <w:pStyle w:val="4"/>
        <w:outlineLvl w:val="0"/>
        <w:rPr>
          <w:rFonts w:ascii="Times New Roman" w:hAnsi="Times New Roman"/>
          <w:szCs w:val="30"/>
        </w:rPr>
      </w:pPr>
      <w:bookmarkStart w:id="15" w:name="_Toc5893"/>
      <w:bookmarkStart w:id="16" w:name="_Toc30712"/>
      <w:bookmarkStart w:id="17" w:name="_Toc8705"/>
      <w:bookmarkStart w:id="18" w:name="_Toc31052"/>
      <w:bookmarkStart w:id="19" w:name="_Toc11329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</w:p>
    <w:p w14:paraId="509B70AE">
      <w:pPr>
        <w:adjustRightInd w:val="0"/>
        <w:snapToGrid w:val="0"/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1）</w:t>
      </w:r>
      <w:r>
        <w:rPr>
          <w:rFonts w:hint="eastAsia"/>
          <w:lang w:eastAsia="zh-CN"/>
        </w:rPr>
        <w:t>投标方需完成本技术规范书规定的研究内容，包含但不限于功能</w:t>
      </w:r>
      <w:r>
        <w:rPr>
          <w:rFonts w:hint="eastAsia"/>
          <w:lang w:val="en-US" w:eastAsia="zh-CN"/>
        </w:rPr>
        <w:tab/>
      </w:r>
      <w:r>
        <w:rPr>
          <w:rFonts w:hint="eastAsia"/>
          <w:lang w:eastAsia="zh-CN"/>
        </w:rPr>
        <w:t>发及其他成果的集成。</w:t>
      </w:r>
    </w:p>
    <w:p w14:paraId="0ECA50DC">
      <w:pPr>
        <w:adjustRightInd w:val="0"/>
        <w:snapToGrid w:val="0"/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2）</w:t>
      </w:r>
      <w:r>
        <w:rPr>
          <w:rFonts w:hint="eastAsia"/>
          <w:lang w:eastAsia="zh-CN"/>
        </w:rPr>
        <w:t>投标人配合招标人做好项目专利申请，视频制作等工作。</w:t>
      </w:r>
    </w:p>
    <w:p w14:paraId="778E8FBE">
      <w:pPr>
        <w:adjustRightInd w:val="0"/>
        <w:snapToGrid w:val="0"/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3）</w:t>
      </w:r>
      <w:r>
        <w:rPr>
          <w:rFonts w:hint="eastAsia"/>
          <w:lang w:eastAsia="zh-CN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adjustRightInd w:val="0"/>
        <w:snapToGrid w:val="0"/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4）</w:t>
      </w:r>
      <w:r>
        <w:rPr>
          <w:rFonts w:hint="eastAsia"/>
          <w:lang w:eastAsia="zh-CN"/>
        </w:rPr>
        <w:t>投标人定期向建设单位汇报项目进展，并根据需求在项目实施现场开展相应的研发工作。</w:t>
      </w:r>
    </w:p>
    <w:p w14:paraId="084B3790">
      <w:pPr>
        <w:adjustRightInd w:val="0"/>
        <w:snapToGrid w:val="0"/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5）</w:t>
      </w:r>
      <w:r>
        <w:rPr>
          <w:rFonts w:hint="eastAsia"/>
          <w:lang w:eastAsia="zh-CN"/>
        </w:rPr>
        <w:t>投标人应按项目计划进度，协助召开项目的检查、评审、验收等会议。</w:t>
      </w:r>
    </w:p>
    <w:p w14:paraId="29672834">
      <w:pPr>
        <w:adjustRightInd w:val="0"/>
        <w:snapToGrid w:val="0"/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6）</w:t>
      </w:r>
      <w:r>
        <w:rPr>
          <w:rFonts w:hint="eastAsia"/>
          <w:lang w:eastAsia="zh-CN"/>
        </w:rPr>
        <w:t>投标人必须配合做好项目研究开发费的税前加计扣除工作，具体要求见《财政部关于企业加强研发费用财务管理的若干意见》和《企业研究开发费</w:t>
      </w:r>
      <w:r>
        <w:rPr>
          <w:rFonts w:hint="eastAsia"/>
        </w:rPr>
        <w:t>用税前扣</w:t>
      </w:r>
      <w:r>
        <w:rPr>
          <w:rFonts w:hint="eastAsia"/>
          <w:lang w:eastAsia="zh-CN"/>
        </w:rPr>
        <w:t>除管理办法（试行）》。</w:t>
      </w:r>
    </w:p>
    <w:p w14:paraId="55B3CFB8">
      <w:pPr>
        <w:pStyle w:val="4"/>
        <w:outlineLvl w:val="0"/>
        <w:rPr>
          <w:rFonts w:ascii="Times New Roman" w:hAnsi="Times New Roman"/>
          <w:szCs w:val="30"/>
        </w:rPr>
      </w:pPr>
      <w:bookmarkStart w:id="20" w:name="_Toc4307"/>
      <w:bookmarkStart w:id="21" w:name="_Toc25678"/>
      <w:bookmarkStart w:id="22" w:name="_Toc17978"/>
      <w:bookmarkStart w:id="23" w:name="_Toc19819"/>
      <w:bookmarkStart w:id="24" w:name="_Toc4126"/>
      <w:r>
        <w:rPr>
          <w:rFonts w:hint="eastAsia" w:ascii="Times New Roman" w:hAnsi="Times New Roman"/>
          <w:szCs w:val="30"/>
        </w:rPr>
        <w:t>4.项目总体要求</w:t>
      </w:r>
      <w:bookmarkEnd w:id="20"/>
      <w:bookmarkEnd w:id="21"/>
      <w:bookmarkEnd w:id="22"/>
      <w:bookmarkEnd w:id="23"/>
      <w:bookmarkEnd w:id="24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4"/>
        <w:outlineLvl w:val="0"/>
        <w:rPr>
          <w:rFonts w:ascii="Times New Roman" w:hAnsi="Times New Roman"/>
          <w:szCs w:val="30"/>
        </w:rPr>
      </w:pPr>
      <w:bookmarkStart w:id="25" w:name="_Toc7028"/>
      <w:bookmarkStart w:id="26" w:name="_Toc4890"/>
      <w:bookmarkStart w:id="27" w:name="_Toc24568"/>
      <w:bookmarkStart w:id="28" w:name="_Toc25694"/>
      <w:bookmarkStart w:id="29" w:name="_Toc17086"/>
      <w:r>
        <w:rPr>
          <w:rFonts w:hint="eastAsia" w:ascii="Times New Roman" w:hAnsi="Times New Roman"/>
          <w:szCs w:val="30"/>
        </w:rPr>
        <w:t>5.</w:t>
      </w:r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bookmarkEnd w:id="25"/>
      <w:bookmarkEnd w:id="26"/>
      <w:bookmarkEnd w:id="27"/>
      <w:bookmarkEnd w:id="28"/>
      <w:bookmarkEnd w:id="29"/>
    </w:p>
    <w:p w14:paraId="0F73F21F">
      <w:pPr>
        <w:pStyle w:val="6"/>
        <w:outlineLvl w:val="1"/>
        <w:rPr>
          <w:rFonts w:hint="eastAsia"/>
          <w:szCs w:val="28"/>
          <w:highlight w:val="none"/>
        </w:rPr>
      </w:pPr>
      <w:bookmarkStart w:id="30" w:name="_Toc2363"/>
      <w:bookmarkStart w:id="31" w:name="_Toc31192"/>
      <w:r>
        <w:rPr>
          <w:rFonts w:hint="eastAsia"/>
          <w:szCs w:val="28"/>
          <w:highlight w:val="none"/>
        </w:rPr>
        <w:t>5.1功能说明及技术参数</w:t>
      </w:r>
      <w:bookmarkEnd w:id="30"/>
      <w:bookmarkEnd w:id="31"/>
    </w:p>
    <w:p w14:paraId="26B752FE">
      <w:pPr>
        <w:jc w:val="center"/>
        <w:rPr>
          <w:rFonts w:hint="eastAsia" w:ascii="Bodoni MT" w:hAnsi="Bodoni MT" w:eastAsia="宋体" w:cs="Bodoni MT"/>
          <w:color w:val="auto"/>
          <w:kern w:val="2"/>
          <w:sz w:val="21"/>
          <w:szCs w:val="24"/>
          <w:lang w:val="en-US" w:eastAsia="zh-CN" w:bidi="ar-SA"/>
        </w:rPr>
      </w:pPr>
      <w:r>
        <w:rPr>
          <w:rFonts w:hint="eastAsia" w:ascii="Bodoni MT" w:hAnsi="Bodoni MT" w:eastAsia="宋体" w:cs="Bodoni MT"/>
          <w:color w:val="auto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3670300" cy="3071495"/>
            <wp:effectExtent l="0" t="0" r="0" b="19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307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C1426">
      <w:pPr>
        <w:pStyle w:val="2"/>
        <w:jc w:val="center"/>
        <w:rPr>
          <w:rFonts w:hint="eastAsia"/>
        </w:rPr>
      </w:pPr>
      <w:r>
        <w:rPr>
          <w:rFonts w:hint="eastAsia"/>
          <w:color w:val="auto"/>
          <w:lang w:val="en-US" w:eastAsia="zh-CN"/>
        </w:rPr>
        <w:t>高压发电车用户无感知接入和退出装置的工作原理</w:t>
      </w:r>
    </w:p>
    <w:p w14:paraId="71C61C24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</w:rPr>
        <w:t>★5.1.1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>隔离开关箱体与连锁要求​</w:t>
      </w:r>
    </w:p>
    <w:p w14:paraId="358423DB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隔离开关需具备明显可视化分断点，分闸状态下断口间隙需符合对应高压等级（如 10kV 等级断口间隙≥125mm）要求，确保带电状态可直观辨识。​</w:t>
      </w:r>
    </w:p>
    <w:p w14:paraId="21F4FFF9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隔离开关与接地刀闸需设计机械强制连锁，满足 “接地刀闸合闸时隔离开关无法合闸、隔离开关合闸时接地刀闸无法合闸” 的互锁逻辑，连锁机构动作可靠性≥99.9%，无卡滞或误动风险。​</w:t>
      </w:r>
    </w:p>
    <w:p w14:paraId="0D39A1BF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隔离开关箱体需适配高压快速电缆接头，接头插拔寿命≥500 次，插拔操作力≤50N，且接头处绝缘等级与电网电压等级匹配（如 10kV 等级绝缘水平需满足 1min 工频耐压≥42kV）。​</w:t>
      </w:r>
    </w:p>
    <w:p w14:paraId="5AD84DFA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</w:rPr>
        <w:t>★5.1.2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>接地刀闸操作要求：接地刀闸合闸时，接地回路电阻≤10Ω；拉开接地刀闸前，需通过电压检测模块确认隔离开关进线端无电压（电压检测误差≤±5%），避免带地刀合闸风险。</w:t>
      </w:r>
    </w:p>
    <w:p w14:paraId="7384A7E3">
      <w:pPr>
        <w:spacing w:line="50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/>
        </w:rPr>
        <w:t xml:space="preserve">★5.1.3 </w:t>
      </w: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同期信号对点与控制要求：配电线路开关二次侧控制器与发电车控制器需支持无线通信对点，通信协议采用工业级标准协议（如 IEC 61850 或 Modbus - RTU），通信距离≥1000m（空旷环境），信号传输时延≤100ms，通信误码率≤10</w:t>
      </w:r>
      <w:r>
        <w:rPr>
          <w:rFonts w:hint="eastAsia" w:asciiTheme="minorEastAsia" w:hAnsiTheme="minorEastAsia" w:eastAsiaTheme="minorEastAsia" w:cstheme="minorEastAsia"/>
          <w:color w:val="auto"/>
          <w:vertAlign w:val="superscript"/>
          <w:lang w:val="en-US" w:eastAsia="zh-CN"/>
        </w:rPr>
        <w:t>-6</w:t>
      </w: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。​</w:t>
      </w:r>
    </w:p>
    <w:p w14:paraId="102A98A7">
      <w:pPr>
        <w:spacing w:line="50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同期检测参数需涵盖电压幅值、频率、相位，准同期合闸条件需满足：电压差≤±5% 额定电压、频率差≤±0.2Hz、相位差≤±5°，控制器需实时监测并判断参数是否达标，达标后发出合闸指令的响应时间≤200ms。</w:t>
      </w:r>
    </w:p>
    <w:p w14:paraId="63EEFAEB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 xml:space="preserve">4 </w:t>
      </w:r>
      <w:r>
        <w:rPr>
          <w:rFonts w:hint="eastAsia"/>
          <w:color w:val="auto"/>
          <w:lang w:val="en-US" w:eastAsia="zh-CN"/>
        </w:rPr>
        <w:t>并网开关操作要求：发电机并网开关需具备电动操作功能，合闸时间偏差≤50ms，合闸成功率≥99.5%；开关分合闸状态需具备位置反馈功能，反馈信号与实际状态一致性≥99.9%。</w:t>
      </w:r>
    </w:p>
    <w:p w14:paraId="19E13ECD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 xml:space="preserve">5 </w:t>
      </w:r>
      <w:r>
        <w:rPr>
          <w:rFonts w:hint="eastAsia"/>
          <w:color w:val="auto"/>
          <w:lang w:val="en-US" w:eastAsia="zh-CN"/>
        </w:rPr>
        <w:t>功率设置与监测要求​</w:t>
      </w:r>
    </w:p>
    <w:p w14:paraId="01E7E0CB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发电车控制器需支持手动功率设定功能，功率设定范围需覆盖发电车额定功率的 20% - 100%，设定精度≤±5% 额定功率。​</w:t>
      </w:r>
    </w:p>
    <w:p w14:paraId="5752BBC8">
      <w:pPr>
        <w:spacing w:line="500" w:lineRule="exact"/>
        <w:ind w:firstLine="480" w:firstLineChars="20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需实时监测发电机实际出力与设定功率的偏差，当偏差≤±10% 设定功率时，控制器需发出偏差达标信号，信号输出响应时间≤100ms。</w:t>
      </w:r>
    </w:p>
    <w:p w14:paraId="067A76C5">
      <w:pPr>
        <w:spacing w:line="500" w:lineRule="exact"/>
        <w:ind w:firstLine="480" w:firstLineChars="200"/>
        <w:rPr>
          <w:rFonts w:hint="default"/>
          <w:lang w:val="en-US" w:eastAsia="zh-CN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 xml:space="preserve">6 </w:t>
      </w:r>
      <w:r>
        <w:rPr>
          <w:rFonts w:hint="default"/>
          <w:lang w:val="en-US" w:eastAsia="zh-CN"/>
        </w:rPr>
        <w:t>线路开关分闸与负荷转移要求​</w:t>
      </w:r>
    </w:p>
    <w:p w14:paraId="0FA6B639">
      <w:pPr>
        <w:spacing w:line="500" w:lineRule="exact"/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调度遥控分闸或现场手动分闸线路开关时，分闸时间≤100ms，分闸后需确认线路开关可靠分断（辅助触点反馈时间≤50ms）。​</w:t>
      </w:r>
    </w:p>
    <w:p w14:paraId="0D7E85AB">
      <w:pPr>
        <w:spacing w:line="500" w:lineRule="exact"/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负荷转移过程中，用户侧电压波动≤±10% 额定电压，电压中断时间≤200ms，确保用户设备无停机、无异常报警（如电机类负载无堵转，敏感电子设备无复位），实现 “无感知” 切换。</w:t>
      </w:r>
    </w:p>
    <w:p w14:paraId="47DE98C5">
      <w:pPr>
        <w:spacing w:line="500" w:lineRule="exact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 xml:space="preserve">7 </w:t>
      </w:r>
      <w:r>
        <w:rPr>
          <w:rFonts w:hint="default"/>
          <w:color w:val="auto"/>
          <w:lang w:val="en-US" w:eastAsia="zh-CN"/>
        </w:rPr>
        <w:t>线路开关备用与二次同期要求​</w:t>
      </w:r>
    </w:p>
    <w:p w14:paraId="73B61C84">
      <w:pPr>
        <w:spacing w:line="500" w:lineRule="exact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配电线路开关转为热备用前，需确认开关本体无故障（如绝缘电阻≥1000MΩ，操作机构储能正常），备用状态设置完成时间≤30s。​</w:t>
      </w:r>
    </w:p>
    <w:p w14:paraId="3CBC8DEC">
      <w:pPr>
        <w:spacing w:line="500" w:lineRule="exact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第二次同期（线路开关合闸前）的准同期条件与首次并网一致（电压差≤±5%、频率差≤±0.2Hz、相位差≤±5°），控制器对点与指令下发流程同并网阶段，确保同期精度。​</w:t>
      </w:r>
    </w:p>
    <w:p w14:paraId="6FD08C70">
      <w:pPr>
        <w:spacing w:line="500" w:lineRule="exact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 xml:space="preserve">8 </w:t>
      </w:r>
      <w:r>
        <w:rPr>
          <w:rFonts w:hint="default"/>
          <w:color w:val="auto"/>
          <w:lang w:val="en-US" w:eastAsia="zh-CN"/>
        </w:rPr>
        <w:t>发电车退出操作要求​</w:t>
      </w:r>
    </w:p>
    <w:p w14:paraId="273DCA56">
      <w:pPr>
        <w:spacing w:line="500" w:lineRule="exact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线路开关合闸后，需监测负荷转移情况，确认负荷从发电车完全转移至线路（发电车输出功率降至额定功率的 5% 以下）后，方可断开发电车开关，负荷转移监测时间≤500ms。​</w:t>
      </w:r>
    </w:p>
    <w:p w14:paraId="28F1D21B">
      <w:pPr>
        <w:spacing w:line="500" w:lineRule="exact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发电车开关分闸后，需断开隔离开关并合上接地刀闸，操作顺序需符合安全规程。</w:t>
      </w:r>
    </w:p>
    <w:p w14:paraId="66052374">
      <w:pPr>
        <w:pStyle w:val="6"/>
        <w:outlineLvl w:val="1"/>
        <w:rPr>
          <w:rFonts w:hint="eastAsia"/>
          <w:szCs w:val="28"/>
          <w:highlight w:val="none"/>
        </w:rPr>
      </w:pPr>
      <w:bookmarkStart w:id="32" w:name="_Toc18732"/>
      <w:bookmarkStart w:id="33" w:name="_Toc20005"/>
      <w:r>
        <w:rPr>
          <w:rFonts w:hint="eastAsia"/>
          <w:szCs w:val="28"/>
          <w:highlight w:val="none"/>
        </w:rPr>
        <w:t>5.2 所需专用材料使用条件</w:t>
      </w:r>
      <w:bookmarkEnd w:id="32"/>
      <w:bookmarkEnd w:id="33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5.2.1使用温度范围：-20℃～+</w:t>
      </w:r>
      <w:r>
        <w:rPr>
          <w:rFonts w:hint="eastAsia"/>
          <w:lang w:val="en-US" w:eastAsia="zh-CN"/>
        </w:rPr>
        <w:t>55</w:t>
      </w:r>
      <w:r>
        <w:rPr>
          <w:rFonts w:hint="eastAsia"/>
        </w:rPr>
        <w:t>℃。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5.2.2湿度：日相对湿度平均值≤95%，月相对湿度平均值≤90%海拔：≤1000m。</w:t>
      </w:r>
    </w:p>
    <w:p w14:paraId="48D871EE">
      <w:pPr>
        <w:pStyle w:val="4"/>
        <w:outlineLvl w:val="0"/>
        <w:rPr>
          <w:rFonts w:hint="eastAsia" w:ascii="Times New Roman" w:hAnsi="Times New Roman"/>
          <w:szCs w:val="30"/>
        </w:rPr>
      </w:pPr>
      <w:bookmarkStart w:id="34" w:name="_Toc26631"/>
      <w:bookmarkStart w:id="35" w:name="_Toc5841"/>
      <w:r>
        <w:rPr>
          <w:rFonts w:hint="eastAsia" w:ascii="Times New Roman" w:hAnsi="Times New Roman"/>
          <w:szCs w:val="30"/>
        </w:rPr>
        <w:t>6.项目管理</w:t>
      </w:r>
      <w:bookmarkEnd w:id="34"/>
      <w:bookmarkEnd w:id="35"/>
    </w:p>
    <w:p w14:paraId="655D1ABA">
      <w:pPr>
        <w:pStyle w:val="6"/>
        <w:outlineLvl w:val="1"/>
        <w:rPr>
          <w:szCs w:val="28"/>
        </w:rPr>
      </w:pPr>
      <w:bookmarkStart w:id="36" w:name="_Toc26228"/>
      <w:bookmarkStart w:id="37" w:name="_Toc28583"/>
      <w:bookmarkStart w:id="38" w:name="_Toc350950913"/>
      <w:bookmarkStart w:id="39" w:name="_Toc329878717"/>
      <w:bookmarkStart w:id="40" w:name="_Toc26663"/>
      <w:bookmarkStart w:id="41" w:name="_Toc20047"/>
      <w:bookmarkStart w:id="42" w:name="_Toc350852856"/>
      <w:bookmarkStart w:id="43" w:name="_Toc19642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1F73B837">
      <w:pPr>
        <w:ind w:firstLine="480" w:firstLineChars="200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有关的全部事务，包括：</w:t>
      </w:r>
    </w:p>
    <w:p w14:paraId="37A43991">
      <w:pPr>
        <w:ind w:firstLine="480" w:firstLineChars="200"/>
        <w:rPr>
          <w:rFonts w:hint="eastAsia"/>
        </w:rPr>
      </w:pPr>
      <w:r>
        <w:rPr>
          <w:rFonts w:hint="eastAsia"/>
        </w:rPr>
        <w:t>（1）负责项目的流程设计、过程控制及综合成果。</w:t>
      </w:r>
    </w:p>
    <w:p w14:paraId="3E085B20">
      <w:pPr>
        <w:ind w:firstLine="480" w:firstLineChars="200"/>
        <w:rPr>
          <w:rFonts w:hint="eastAsia"/>
        </w:rPr>
      </w:pPr>
      <w:r>
        <w:rPr>
          <w:rFonts w:hint="eastAsia"/>
        </w:rPr>
        <w:t>（2）负责项目实施进度安排等事务协调。</w:t>
      </w:r>
    </w:p>
    <w:p w14:paraId="15D4F2CC">
      <w:pPr>
        <w:ind w:firstLine="480" w:firstLineChars="200"/>
        <w:rPr>
          <w:rFonts w:hint="eastAsia"/>
        </w:rPr>
      </w:pPr>
      <w:r>
        <w:rPr>
          <w:rFonts w:hint="eastAsia"/>
        </w:rPr>
        <w:t>（3）作为与双方联络的全权代表，负责各种联系，研究协调和项目验收等事务的安排与协调。</w:t>
      </w:r>
    </w:p>
    <w:p w14:paraId="41E1287B">
      <w:pPr>
        <w:ind w:firstLine="480" w:firstLineChars="200"/>
        <w:rPr>
          <w:rFonts w:hint="eastAsia"/>
        </w:rPr>
      </w:pPr>
      <w:r>
        <w:rPr>
          <w:rFonts w:hint="eastAsia"/>
        </w:rPr>
        <w:t>（4）按季度提交项目进度报告，并接受阶段性检查。</w:t>
      </w:r>
    </w:p>
    <w:p w14:paraId="2B7DC7FF">
      <w:pPr>
        <w:ind w:firstLine="480" w:firstLineChars="200"/>
        <w:rPr>
          <w:rFonts w:hint="eastAsia"/>
        </w:rPr>
      </w:pPr>
      <w:r>
        <w:rPr>
          <w:rFonts w:hint="eastAsia"/>
        </w:rPr>
        <w:t>投标方应配备足够的项目组技术人员，技术人员将完成项目负责人交办的项目相关任务，包括：</w:t>
      </w:r>
    </w:p>
    <w:p w14:paraId="6DF28DC2">
      <w:pPr>
        <w:ind w:firstLine="480" w:firstLineChars="200"/>
        <w:rPr>
          <w:rFonts w:hint="eastAsia"/>
        </w:rPr>
      </w:pPr>
      <w:r>
        <w:rPr>
          <w:rFonts w:hint="eastAsia"/>
        </w:rPr>
        <w:t>（1）在项目负责人安排下，完成各阶段任务的实施。</w:t>
      </w:r>
    </w:p>
    <w:p w14:paraId="16461ED6">
      <w:pPr>
        <w:ind w:firstLine="480" w:firstLineChars="200"/>
        <w:rPr>
          <w:rFonts w:hint="eastAsia"/>
        </w:rPr>
      </w:pPr>
      <w:r>
        <w:rPr>
          <w:rFonts w:hint="eastAsia"/>
        </w:rPr>
        <w:t>（2）在项目实施过程中，按时向项目负责人反馈实施进度。</w:t>
      </w:r>
    </w:p>
    <w:p w14:paraId="0FABB1FC">
      <w:pPr>
        <w:ind w:firstLine="480" w:firstLineChars="200"/>
        <w:rPr>
          <w:rFonts w:hint="eastAsia"/>
        </w:rPr>
      </w:pPr>
      <w:r>
        <w:rPr>
          <w:rFonts w:hint="eastAsia"/>
        </w:rPr>
        <w:t>（3）遇有困难或项目执行与计划有偏差，及时向项目负责人汇报并主动提出解决方案。</w:t>
      </w:r>
    </w:p>
    <w:p w14:paraId="27239B7D">
      <w:pPr>
        <w:ind w:firstLine="480" w:firstLineChars="200"/>
        <w:rPr>
          <w:rFonts w:hint="eastAsia"/>
        </w:rPr>
      </w:pPr>
      <w:r>
        <w:rPr>
          <w:rFonts w:hint="eastAsia"/>
        </w:rPr>
        <w:t>（4）及时向项目负责人提交项目执行情况和阶段性研究小结。</w:t>
      </w:r>
    </w:p>
    <w:p w14:paraId="512F1D0D">
      <w:pPr>
        <w:pStyle w:val="6"/>
        <w:outlineLvl w:val="1"/>
        <w:rPr>
          <w:szCs w:val="28"/>
        </w:rPr>
      </w:pPr>
      <w:bookmarkStart w:id="44" w:name="_Toc23876"/>
      <w:bookmarkStart w:id="45" w:name="_Toc1149"/>
      <w:bookmarkStart w:id="46" w:name="_Toc5537"/>
      <w:bookmarkStart w:id="47" w:name="_Toc350852857"/>
      <w:bookmarkStart w:id="48" w:name="_Toc23534"/>
      <w:bookmarkStart w:id="49" w:name="_Toc12829"/>
      <w:bookmarkStart w:id="50" w:name="_Toc350950914"/>
      <w:bookmarkStart w:id="51" w:name="_Toc329878718"/>
      <w:r>
        <w:rPr>
          <w:rFonts w:hint="eastAsia"/>
          <w:szCs w:val="28"/>
        </w:rPr>
        <w:t>6.2质量保证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14:paraId="28353D49">
      <w:pPr>
        <w:ind w:firstLine="480" w:firstLineChars="200"/>
        <w:rPr>
          <w:rFonts w:hint="eastAsia"/>
        </w:rPr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ind w:firstLine="480" w:firstLineChars="200"/>
        <w:rPr>
          <w:rFonts w:hint="eastAsia"/>
        </w:rPr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ind w:firstLine="480" w:firstLineChars="200"/>
        <w:rPr>
          <w:rFonts w:hint="eastAsia"/>
        </w:rPr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ind w:firstLine="480" w:firstLineChars="200"/>
        <w:rPr>
          <w:rFonts w:hint="eastAsia"/>
        </w:rPr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ind w:firstLine="480" w:firstLineChars="200"/>
        <w:rPr>
          <w:rFonts w:hint="eastAsia"/>
        </w:rPr>
      </w:pPr>
      <w:r>
        <w:rPr>
          <w:rFonts w:hint="eastAsia"/>
        </w:rPr>
        <w:t>（5）项目应按照预算使用经费，符合财务和审计要求。</w:t>
      </w:r>
    </w:p>
    <w:p w14:paraId="6B24E13E">
      <w:pPr>
        <w:pStyle w:val="6"/>
      </w:pPr>
      <w:bookmarkStart w:id="52" w:name="_Toc15036"/>
      <w:bookmarkStart w:id="53" w:name="_Toc7342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2"/>
      <w:bookmarkEnd w:id="53"/>
    </w:p>
    <w:tbl>
      <w:tblPr>
        <w:tblStyle w:val="12"/>
        <w:tblW w:w="10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350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350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高压发电车用户无感知接入和退出装置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350" w:type="dxa"/>
            <w:noWrap w:val="0"/>
            <w:vAlign w:val="center"/>
          </w:tcPr>
          <w:p w14:paraId="24150513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高压发电车用户无感知接入和退出装置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设计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方案研究。</w:t>
            </w:r>
          </w:p>
          <w:p w14:paraId="4D01743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需求规格说明书1份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完成高压发电车用户无感知接入和退出装置研发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2EE8C4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一种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高压发电车用户无感知接入和退出装置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1套并投入。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开展项目验收相关工作。</w:t>
            </w:r>
          </w:p>
          <w:p w14:paraId="58BC07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项目验收资料。</w:t>
            </w:r>
          </w:p>
        </w:tc>
      </w:tr>
    </w:tbl>
    <w:p w14:paraId="0A9132C5">
      <w:pPr>
        <w:pStyle w:val="4"/>
        <w:rPr>
          <w:rFonts w:ascii="Times New Roman" w:hAnsi="Times New Roman"/>
          <w:szCs w:val="30"/>
        </w:rPr>
      </w:pPr>
      <w:bookmarkStart w:id="54" w:name="_Toc351566769"/>
      <w:bookmarkStart w:id="55" w:name="_Toc20268"/>
      <w:bookmarkStart w:id="56" w:name="_Toc28524"/>
      <w:bookmarkStart w:id="57" w:name="_Toc351722594"/>
      <w:bookmarkStart w:id="58" w:name="_Toc19742"/>
      <w:bookmarkStart w:id="59" w:name="_Toc17241"/>
      <w:bookmarkStart w:id="60" w:name="_Toc19964"/>
      <w:r>
        <w:rPr>
          <w:rFonts w:hint="eastAsia" w:ascii="Times New Roman" w:hAnsi="Times New Roman"/>
          <w:szCs w:val="30"/>
        </w:rPr>
        <w:t>7.技术服务</w:t>
      </w:r>
      <w:bookmarkEnd w:id="54"/>
      <w:bookmarkEnd w:id="55"/>
      <w:bookmarkEnd w:id="56"/>
      <w:bookmarkEnd w:id="57"/>
      <w:bookmarkEnd w:id="58"/>
      <w:bookmarkEnd w:id="59"/>
      <w:bookmarkEnd w:id="60"/>
    </w:p>
    <w:p w14:paraId="37532691">
      <w:pPr>
        <w:ind w:firstLine="480" w:firstLineChars="200"/>
        <w:rPr>
          <w:rFonts w:hint="eastAsia"/>
        </w:rPr>
      </w:pPr>
      <w:r>
        <w:rPr>
          <w:rFonts w:hint="eastAsia"/>
        </w:rPr>
        <w:t>（1）投标人配合开展</w:t>
      </w:r>
      <w:r>
        <w:rPr>
          <w:rFonts w:hint="eastAsia"/>
          <w:lang w:eastAsia="zh-CN"/>
        </w:rPr>
        <w:t>一种</w:t>
      </w:r>
      <w:r>
        <w:rPr>
          <w:rFonts w:hint="eastAsia" w:ascii="宋体" w:hAnsi="宋体" w:cs="宋体"/>
          <w:szCs w:val="21"/>
          <w:lang w:eastAsia="zh-CN"/>
        </w:rPr>
        <w:t>高压发电车用户无感知接入和退出装置</w:t>
      </w:r>
      <w:r>
        <w:rPr>
          <w:rFonts w:hint="eastAsia"/>
        </w:rPr>
        <w:t>功能的研发设计与建设工作；</w:t>
      </w:r>
    </w:p>
    <w:p w14:paraId="1F347412">
      <w:pPr>
        <w:ind w:firstLine="480" w:firstLineChars="200"/>
        <w:rPr>
          <w:rFonts w:hint="eastAsia"/>
        </w:rPr>
      </w:pPr>
      <w:r>
        <w:rPr>
          <w:rFonts w:hint="eastAsia"/>
        </w:rPr>
        <w:t>（2）投标人向招标人提供</w:t>
      </w:r>
      <w:r>
        <w:rPr>
          <w:rFonts w:hint="eastAsia"/>
          <w:lang w:eastAsia="zh-CN"/>
        </w:rPr>
        <w:t>一种</w:t>
      </w:r>
      <w:r>
        <w:rPr>
          <w:rFonts w:hint="eastAsia" w:ascii="宋体" w:hAnsi="宋体" w:cs="宋体"/>
          <w:szCs w:val="21"/>
          <w:lang w:eastAsia="zh-CN"/>
        </w:rPr>
        <w:t>高压发电车用户无感知接入和退出装置</w:t>
      </w:r>
      <w:r>
        <w:rPr>
          <w:rFonts w:hint="eastAsia"/>
        </w:rPr>
        <w:t>研发相符的交付件、文档资料及明细表。提供的交付件主要包括：验收材料等。</w:t>
      </w:r>
    </w:p>
    <w:p w14:paraId="3673A9F4">
      <w:pPr>
        <w:ind w:firstLine="48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）投标人负责完成部署及关键技术的交底工作，并开展的维护和培训工作；</w:t>
      </w:r>
    </w:p>
    <w:p w14:paraId="47221B64">
      <w:pPr>
        <w:ind w:firstLine="48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）投标人须配合项目结算工作并承担相关费用。</w:t>
      </w:r>
    </w:p>
    <w:p w14:paraId="68A258C5">
      <w:pPr>
        <w:pStyle w:val="4"/>
        <w:rPr>
          <w:rFonts w:ascii="Times New Roman" w:hAnsi="Times New Roman"/>
          <w:szCs w:val="30"/>
        </w:rPr>
      </w:pPr>
      <w:bookmarkStart w:id="61" w:name="_Toc6858"/>
      <w:bookmarkStart w:id="62" w:name="_Toc6689"/>
      <w:bookmarkStart w:id="63" w:name="_Toc7678"/>
      <w:bookmarkStart w:id="64" w:name="_Toc41"/>
      <w:bookmarkStart w:id="65" w:name="_Toc20458"/>
      <w:r>
        <w:rPr>
          <w:rFonts w:hint="eastAsia" w:ascii="Times New Roman" w:hAnsi="Times New Roman"/>
          <w:szCs w:val="30"/>
        </w:rPr>
        <w:t>8.验收</w:t>
      </w:r>
      <w:bookmarkEnd w:id="61"/>
      <w:bookmarkEnd w:id="62"/>
      <w:bookmarkEnd w:id="63"/>
      <w:bookmarkEnd w:id="64"/>
      <w:bookmarkEnd w:id="65"/>
    </w:p>
    <w:p w14:paraId="646D7777">
      <w:pPr>
        <w:snapToGrid w:val="0"/>
        <w:ind w:firstLine="480" w:firstLineChars="200"/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4"/>
        <w:rPr>
          <w:rFonts w:hint="eastAsia" w:ascii="Times New Roman" w:hAnsi="Times New Roman"/>
          <w:szCs w:val="30"/>
        </w:rPr>
      </w:pPr>
      <w:bookmarkStart w:id="66" w:name="_Toc15160"/>
      <w:bookmarkStart w:id="67" w:name="_Toc1431"/>
      <w:bookmarkStart w:id="68" w:name="_Toc22704"/>
      <w:bookmarkStart w:id="69" w:name="_Toc11201"/>
      <w:bookmarkStart w:id="70" w:name="_Toc1728"/>
      <w:r>
        <w:rPr>
          <w:rFonts w:hint="eastAsia" w:ascii="Times New Roman" w:hAnsi="Times New Roman"/>
          <w:szCs w:val="30"/>
        </w:rPr>
        <w:t>9.预期成果</w:t>
      </w:r>
      <w:bookmarkEnd w:id="66"/>
      <w:bookmarkEnd w:id="67"/>
      <w:bookmarkEnd w:id="68"/>
      <w:bookmarkEnd w:id="69"/>
      <w:bookmarkEnd w:id="70"/>
    </w:p>
    <w:p w14:paraId="2A31C935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bookmarkStart w:id="71" w:name="_Toc17119_WPSOffice_Level1"/>
      <w:r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  <w:t>研制完成高压发电车用户无感知接入和退出装置样机</w:t>
      </w:r>
      <w:r>
        <w:rPr>
          <w:rFonts w:hint="default" w:ascii="Times New Roman" w:hAnsi="Times New Roman" w:cs="Times New Roman" w:eastAsiaTheme="minorEastAsia"/>
        </w:rPr>
        <w:t>1</w:t>
      </w:r>
      <w:r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  <w:t>套，并完成现场试验验证。</w:t>
      </w:r>
    </w:p>
    <w:bookmarkEnd w:id="71"/>
    <w:p w14:paraId="14B09D49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</w:pPr>
      <w:r>
        <w:rPr>
          <w:rFonts w:hint="default" w:ascii="Times New Roman" w:hAnsi="Times New Roman" w:cs="Times New Roman" w:eastAsiaTheme="minorEastAsia"/>
        </w:rPr>
        <w:t>完成相关的知识产权申报，获得发明专利1项</w:t>
      </w:r>
      <w:r>
        <w:rPr>
          <w:rFonts w:hint="eastAsia" w:cs="Times New Roman" w:eastAsiaTheme="minorEastAsia"/>
          <w:lang w:eastAsia="zh-CN"/>
        </w:rPr>
        <w:t>。</w:t>
      </w:r>
    </w:p>
    <w:p w14:paraId="6001F227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</w:pPr>
      <w:r>
        <w:rPr>
          <w:rFonts w:hint="default" w:ascii="Times New Roman" w:hAnsi="Times New Roman" w:cs="Times New Roman" w:eastAsiaTheme="minorEastAsia"/>
          <w:lang w:val="en-US" w:eastAsia="zh-CN"/>
        </w:rPr>
        <w:t>编制完成该装置的产品标准和现场应用技术规范书各1份。</w:t>
      </w:r>
    </w:p>
    <w:p w14:paraId="0CE3D72D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</w:pPr>
      <w:r>
        <w:rPr>
          <w:rFonts w:hint="eastAsia"/>
          <w:lang w:val="en-US" w:eastAsia="zh-CN"/>
        </w:rPr>
        <w:t>项目宣传视频1套。</w:t>
      </w:r>
    </w:p>
    <w:p w14:paraId="05C649E1"/>
    <w:p w14:paraId="3E196FCA"/>
    <w:p w14:paraId="4368D518"/>
    <w:p w14:paraId="513A0A05"/>
    <w:p w14:paraId="75553628"/>
    <w:p w14:paraId="3F68AE39"/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F4EAD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9939EE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9939EE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763FC4"/>
    <w:multiLevelType w:val="multilevel"/>
    <w:tmpl w:val="92763FC4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 w:ascii="Times New Roman" w:hAnsi="Times New Roman" w:cs="Times New Roman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 w:ascii="Times New Roman" w:hAnsi="Times New Roman" w:cs="Times New Roman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 w:ascii="Times New Roman" w:hAnsi="Times New Roman" w:cs="Times New Roman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B0FBD"/>
    <w:rsid w:val="13372EB5"/>
    <w:rsid w:val="30BB0FBD"/>
    <w:rsid w:val="6188125F"/>
    <w:rsid w:val="6EB46094"/>
    <w:rsid w:val="77EC5AC5"/>
    <w:rsid w:val="7FF2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2"/>
    <w:basedOn w:val="1"/>
    <w:next w:val="5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toc 2"/>
    <w:basedOn w:val="1"/>
    <w:next w:val="1"/>
    <w:qFormat/>
    <w:uiPriority w:val="0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3126</Words>
  <Characters>3344</Characters>
  <Lines>0</Lines>
  <Paragraphs>0</Paragraphs>
  <TotalTime>6</TotalTime>
  <ScaleCrop>false</ScaleCrop>
  <LinksUpToDate>false</LinksUpToDate>
  <CharactersWithSpaces>3428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2025-11-24T01:25:00Z</dcterms:created>
  <dc:creator>阿宗</dc:creator>
  <cp:lastModifiedBy>阿宗</cp:lastModifiedBy>
  <dcterms:modified xsi:type="dcterms:W3CDTF">2025-11-24T13:28:41Z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E8E446B199BF4E268F97EEC8E8BC650F_11</vt:lpwstr>
  </property>
  <property fmtid="{D5CDD505-2E9C-101B-9397-08002B2CF9AE}" pid="4" name="KSOTemplateDocerSaveRecord">
    <vt:lpwstr>eyJoZGlkIjoiMjk1MjM4ZTk0MDlmOTI3ODMxYWE0YTU4NzRiZmY5NjEiLCJ1c2VySWQiOiIyOTE0NjUyNjkifQ==</vt:lpwstr>
  </property>
</Properties>
</file>