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0234B1">
      <w:pPr>
        <w:spacing w:before="156" w:beforeLines="50"/>
        <w:jc w:val="center"/>
        <w:rPr>
          <w:rFonts w:hint="eastAsia" w:ascii="宋体" w:hAnsi="宋体" w:cs="宋体"/>
          <w:b/>
          <w:sz w:val="36"/>
          <w:szCs w:val="36"/>
          <w:u w:val="single"/>
        </w:rPr>
      </w:pPr>
      <w:r>
        <w:rPr>
          <w:rFonts w:hint="eastAsia" w:eastAsia="黑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2C54E1C1">
      <w:pPr>
        <w:spacing w:before="156" w:beforeLines="50"/>
        <w:jc w:val="center"/>
        <w:rPr>
          <w:rFonts w:hint="eastAsia" w:ascii="宋体" w:hAnsi="宋体" w:cs="宋体"/>
          <w:b/>
          <w:bCs/>
          <w:sz w:val="36"/>
          <w:szCs w:val="36"/>
          <w:u w:val="single"/>
        </w:rPr>
      </w:pPr>
      <w:r>
        <w:rPr>
          <w:rFonts w:hint="eastAsia" w:ascii="宋体" w:hAnsi="宋体" w:cs="宋体"/>
          <w:b/>
          <w:bCs/>
          <w:sz w:val="36"/>
          <w:szCs w:val="36"/>
          <w:u w:val="single"/>
        </w:rPr>
        <w:t>《变电站直流系统充电屏一体化检测装置</w:t>
      </w:r>
    </w:p>
    <w:p w14:paraId="0FAC1DB5">
      <w:pPr>
        <w:spacing w:before="156" w:beforeLines="50"/>
        <w:jc w:val="center"/>
        <w:rPr>
          <w:rFonts w:hint="eastAsia" w:ascii="宋体" w:hAnsi="宋体" w:cs="宋体"/>
          <w:b/>
          <w:sz w:val="36"/>
          <w:szCs w:val="36"/>
        </w:rPr>
      </w:pPr>
      <w:r>
        <w:rPr>
          <w:rFonts w:hint="eastAsia" w:ascii="宋体" w:hAnsi="宋体" w:cs="宋体"/>
          <w:b/>
          <w:sz w:val="36"/>
          <w:szCs w:val="36"/>
        </w:rPr>
        <w:t>职工创新项目</w:t>
      </w:r>
    </w:p>
    <w:p w14:paraId="58FC6897">
      <w:pPr>
        <w:spacing w:before="156" w:beforeLines="50"/>
        <w:jc w:val="center"/>
        <w:rPr>
          <w:rFonts w:hint="eastAsia" w:ascii="宋体" w:hAnsi="宋体"/>
          <w:sz w:val="36"/>
          <w:szCs w:val="36"/>
        </w:rPr>
      </w:pPr>
    </w:p>
    <w:p w14:paraId="66455FC4">
      <w:pPr>
        <w:spacing w:before="156" w:beforeLines="50"/>
        <w:jc w:val="center"/>
        <w:rPr>
          <w:rFonts w:hint="eastAsia" w:ascii="宋体" w:hAnsi="宋体"/>
          <w:sz w:val="36"/>
          <w:szCs w:val="36"/>
        </w:rPr>
      </w:pPr>
    </w:p>
    <w:p w14:paraId="0E77C629">
      <w:pPr>
        <w:spacing w:before="156" w:beforeLines="50"/>
        <w:jc w:val="center"/>
        <w:rPr>
          <w:rFonts w:hint="eastAsia" w:ascii="宋体" w:hAnsi="宋体" w:cs="楷体"/>
          <w:b/>
          <w:bCs/>
          <w:sz w:val="36"/>
          <w:szCs w:val="36"/>
        </w:rPr>
      </w:pPr>
      <w:r>
        <w:rPr>
          <w:rFonts w:hint="eastAsia" w:ascii="宋体" w:hAnsi="宋体" w:cs="楷体"/>
          <w:b/>
          <w:bCs/>
          <w:sz w:val="36"/>
          <w:szCs w:val="36"/>
        </w:rPr>
        <w:t>技术服务条件书</w:t>
      </w:r>
    </w:p>
    <w:p w14:paraId="23F9D236">
      <w:pPr>
        <w:spacing w:before="156" w:beforeLines="50"/>
        <w:jc w:val="center"/>
        <w:rPr>
          <w:rFonts w:hint="eastAsia" w:ascii="宋体" w:hAnsi="宋体" w:cs="宋体"/>
          <w:sz w:val="36"/>
          <w:szCs w:val="36"/>
        </w:rPr>
      </w:pPr>
    </w:p>
    <w:p w14:paraId="1CB83B2F">
      <w:pPr>
        <w:spacing w:before="156" w:beforeLines="50"/>
        <w:jc w:val="center"/>
        <w:rPr>
          <w:rFonts w:hint="eastAsia" w:ascii="宋体" w:hAnsi="宋体" w:cs="楷体"/>
          <w:sz w:val="36"/>
          <w:szCs w:val="36"/>
        </w:rPr>
      </w:pPr>
    </w:p>
    <w:p w14:paraId="74D12ABA">
      <w:pPr>
        <w:spacing w:before="156" w:beforeLines="50"/>
        <w:jc w:val="center"/>
        <w:rPr>
          <w:rFonts w:hint="eastAsia" w:ascii="宋体" w:hAnsi="宋体" w:cs="楷体"/>
          <w:sz w:val="36"/>
          <w:szCs w:val="36"/>
        </w:rPr>
      </w:pPr>
    </w:p>
    <w:p w14:paraId="0479192F">
      <w:pPr>
        <w:spacing w:before="156" w:beforeLines="50"/>
        <w:jc w:val="center"/>
        <w:rPr>
          <w:rFonts w:hint="eastAsia" w:ascii="宋体" w:hAnsi="宋体" w:cs="楷体"/>
          <w:sz w:val="36"/>
          <w:szCs w:val="36"/>
        </w:rPr>
      </w:pPr>
    </w:p>
    <w:p w14:paraId="6FEF06B2">
      <w:pPr>
        <w:spacing w:before="156" w:beforeLines="50"/>
        <w:jc w:val="center"/>
        <w:rPr>
          <w:rFonts w:hint="eastAsia" w:ascii="宋体" w:hAnsi="宋体" w:cs="楷体"/>
          <w:b/>
          <w:bCs/>
          <w:sz w:val="36"/>
          <w:szCs w:val="36"/>
          <w:u w:val="single"/>
        </w:rPr>
      </w:pPr>
      <w:r>
        <w:rPr>
          <w:rFonts w:hint="eastAsia" w:ascii="宋体" w:hAnsi="宋体" w:cs="楷体"/>
          <w:b/>
          <w:bCs/>
          <w:sz w:val="36"/>
          <w:szCs w:val="36"/>
          <w:u w:val="single"/>
        </w:rPr>
        <w:t>广东电网有限责任公司河源供电局</w:t>
      </w:r>
    </w:p>
    <w:p w14:paraId="667EA376">
      <w:pPr>
        <w:spacing w:before="156" w:beforeLines="50"/>
        <w:jc w:val="center"/>
        <w:rPr>
          <w:rFonts w:hint="eastAsia"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5年11月</w:t>
      </w:r>
      <w:r>
        <w:rPr>
          <w:rFonts w:hint="eastAsia" w:ascii="宋体" w:hAnsi="宋体" w:cs="楷体"/>
          <w:b/>
          <w:bCs/>
          <w:sz w:val="36"/>
          <w:szCs w:val="36"/>
          <w:u w:val="single"/>
          <w:lang w:val="en-US" w:eastAsia="zh-CN"/>
        </w:rPr>
        <w:t>24</w:t>
      </w:r>
      <w:r>
        <w:rPr>
          <w:rFonts w:hint="eastAsia" w:ascii="宋体" w:hAnsi="宋体" w:cs="楷体"/>
          <w:b/>
          <w:bCs/>
          <w:sz w:val="36"/>
          <w:szCs w:val="36"/>
          <w:u w:val="single"/>
        </w:rPr>
        <w:t>日</w:t>
      </w:r>
    </w:p>
    <w:p w14:paraId="2A6ED37F">
      <w:pPr>
        <w:widowControl/>
        <w:jc w:val="left"/>
        <w:rPr>
          <w:rFonts w:hint="eastAsia" w:ascii="宋体" w:hAnsi="宋体"/>
          <w:sz w:val="36"/>
          <w:szCs w:val="36"/>
        </w:rPr>
      </w:pPr>
      <w:r>
        <w:rPr>
          <w:rFonts w:ascii="宋体" w:hAnsi="宋体"/>
          <w:sz w:val="36"/>
          <w:szCs w:val="36"/>
        </w:rPr>
        <w:br w:type="page"/>
      </w:r>
    </w:p>
    <w:p w14:paraId="78B4678E">
      <w:pPr>
        <w:spacing w:before="624" w:beforeLines="200" w:line="360" w:lineRule="auto"/>
        <w:jc w:val="center"/>
      </w:pPr>
      <w:r>
        <w:rPr>
          <w:rFonts w:hint="eastAsia" w:ascii="黑体" w:eastAsia="黑体"/>
          <w:sz w:val="36"/>
        </w:rPr>
        <w:t>目  录</w:t>
      </w:r>
    </w:p>
    <w:p w14:paraId="3A15E0EF">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instrText xml:space="preserve"> HYPERLINK \l "_Toc211610015" </w:instrText>
      </w:r>
      <w:r>
        <w:fldChar w:fldCharType="separate"/>
      </w:r>
      <w:r>
        <w:rPr>
          <w:rStyle w:val="95"/>
          <w:b/>
        </w:rPr>
        <w:t>1 技术服务内容</w:t>
      </w:r>
      <w:r>
        <w:tab/>
      </w:r>
      <w:r>
        <w:fldChar w:fldCharType="begin"/>
      </w:r>
      <w:r>
        <w:instrText xml:space="preserve"> PAGEREF _Toc211610015 \h </w:instrText>
      </w:r>
      <w:r>
        <w:fldChar w:fldCharType="separate"/>
      </w:r>
      <w:r>
        <w:t>1</w:t>
      </w:r>
      <w:r>
        <w:fldChar w:fldCharType="end"/>
      </w:r>
      <w:r>
        <w:fldChar w:fldCharType="end"/>
      </w:r>
    </w:p>
    <w:p w14:paraId="74630ACF">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"_Toc211610016" </w:instrText>
      </w:r>
      <w:r>
        <w:fldChar w:fldCharType="separate"/>
      </w:r>
      <w:r>
        <w:rPr>
          <w:rStyle w:val="95"/>
          <w:rFonts w:ascii="黑体" w:hAnsi="黑体" w:eastAsia="黑体"/>
          <w:b/>
        </w:rPr>
        <w:t>2 使用条件</w:t>
      </w:r>
      <w:r>
        <w:tab/>
      </w:r>
      <w:r>
        <w:fldChar w:fldCharType="begin"/>
      </w:r>
      <w:r>
        <w:instrText xml:space="preserve"> PAGEREF _Toc211610016 \h </w:instrText>
      </w:r>
      <w:r>
        <w:fldChar w:fldCharType="separate"/>
      </w:r>
      <w:r>
        <w:t>2</w:t>
      </w:r>
      <w:r>
        <w:fldChar w:fldCharType="end"/>
      </w:r>
      <w:r>
        <w:fldChar w:fldCharType="end"/>
      </w:r>
    </w:p>
    <w:p w14:paraId="16A2AD2D">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"_Toc211610017" </w:instrText>
      </w:r>
      <w:r>
        <w:fldChar w:fldCharType="separate"/>
      </w:r>
      <w:r>
        <w:rPr>
          <w:rStyle w:val="95"/>
          <w:rFonts w:ascii="黑体" w:hAnsi="黑体" w:eastAsia="黑体"/>
          <w:b/>
        </w:rPr>
        <w:t>3 试验要求</w:t>
      </w:r>
      <w:r>
        <w:tab/>
      </w:r>
      <w:r>
        <w:fldChar w:fldCharType="begin"/>
      </w:r>
      <w:r>
        <w:instrText xml:space="preserve"> PAGEREF _Toc211610017 \h </w:instrText>
      </w:r>
      <w:r>
        <w:fldChar w:fldCharType="separate"/>
      </w:r>
      <w:r>
        <w:t>2</w:t>
      </w:r>
      <w:r>
        <w:fldChar w:fldCharType="end"/>
      </w:r>
      <w:r>
        <w:fldChar w:fldCharType="end"/>
      </w:r>
    </w:p>
    <w:p w14:paraId="79DA4221">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"_Toc211610018" </w:instrText>
      </w:r>
      <w:r>
        <w:fldChar w:fldCharType="separate"/>
      </w:r>
      <w:r>
        <w:rPr>
          <w:rStyle w:val="95"/>
          <w:rFonts w:ascii="黑体" w:hAnsi="黑体" w:eastAsia="黑体"/>
          <w:b/>
        </w:rPr>
        <w:t>4 包装运输安装和质量保证</w:t>
      </w:r>
      <w:r>
        <w:tab/>
      </w:r>
      <w:r>
        <w:fldChar w:fldCharType="begin"/>
      </w:r>
      <w:r>
        <w:instrText xml:space="preserve"> PAGEREF _Toc211610018 \h </w:instrText>
      </w:r>
      <w:r>
        <w:fldChar w:fldCharType="separate"/>
      </w:r>
      <w:r>
        <w:t>3</w:t>
      </w:r>
      <w:r>
        <w:fldChar w:fldCharType="end"/>
      </w:r>
      <w:r>
        <w:fldChar w:fldCharType="end"/>
      </w:r>
    </w:p>
    <w:p w14:paraId="4527E153">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"_Toc211610019" </w:instrText>
      </w:r>
      <w:r>
        <w:fldChar w:fldCharType="separate"/>
      </w:r>
      <w:r>
        <w:rPr>
          <w:rStyle w:val="95"/>
        </w:rPr>
        <w:t>4.1 包装</w:t>
      </w:r>
      <w:r>
        <w:tab/>
      </w:r>
      <w:r>
        <w:fldChar w:fldCharType="begin"/>
      </w:r>
      <w:r>
        <w:instrText xml:space="preserve"> PAGEREF _Toc211610019 \h </w:instrText>
      </w:r>
      <w:r>
        <w:fldChar w:fldCharType="separate"/>
      </w:r>
      <w:r>
        <w:t>3</w:t>
      </w:r>
      <w:r>
        <w:fldChar w:fldCharType="end"/>
      </w:r>
      <w:r>
        <w:fldChar w:fldCharType="end"/>
      </w:r>
    </w:p>
    <w:p w14:paraId="25FC183A">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"_Toc211610020" </w:instrText>
      </w:r>
      <w:r>
        <w:fldChar w:fldCharType="separate"/>
      </w:r>
      <w:r>
        <w:rPr>
          <w:rStyle w:val="95"/>
        </w:rPr>
        <w:t>4.2 运输</w:t>
      </w:r>
      <w:r>
        <w:tab/>
      </w:r>
      <w:r>
        <w:fldChar w:fldCharType="begin"/>
      </w:r>
      <w:r>
        <w:instrText xml:space="preserve"> PAGEREF _Toc211610020 \h </w:instrText>
      </w:r>
      <w:r>
        <w:fldChar w:fldCharType="separate"/>
      </w:r>
      <w:r>
        <w:t>3</w:t>
      </w:r>
      <w:r>
        <w:fldChar w:fldCharType="end"/>
      </w:r>
      <w:r>
        <w:fldChar w:fldCharType="end"/>
      </w:r>
    </w:p>
    <w:p w14:paraId="533A3233">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"_Toc211610021" </w:instrText>
      </w:r>
      <w:r>
        <w:fldChar w:fldCharType="separate"/>
      </w:r>
      <w:r>
        <w:rPr>
          <w:rStyle w:val="95"/>
        </w:rPr>
        <w:t>4.3 质量保证</w:t>
      </w:r>
      <w:r>
        <w:tab/>
      </w:r>
      <w:r>
        <w:fldChar w:fldCharType="begin"/>
      </w:r>
      <w:r>
        <w:instrText xml:space="preserve"> PAGEREF _Toc211610021 \h </w:instrText>
      </w:r>
      <w:r>
        <w:fldChar w:fldCharType="separate"/>
      </w:r>
      <w:r>
        <w:t>3</w:t>
      </w:r>
      <w:r>
        <w:fldChar w:fldCharType="end"/>
      </w:r>
      <w:r>
        <w:fldChar w:fldCharType="end"/>
      </w:r>
    </w:p>
    <w:p w14:paraId="7AA4B327">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"_Toc211610022" </w:instrText>
      </w:r>
      <w:r>
        <w:fldChar w:fldCharType="separate"/>
      </w:r>
      <w:r>
        <w:rPr>
          <w:rStyle w:val="95"/>
          <w:rFonts w:ascii="黑体" w:hAnsi="黑体" w:eastAsia="黑体"/>
          <w:b/>
        </w:rPr>
        <w:t>5 时间进度要求</w:t>
      </w:r>
      <w:r>
        <w:tab/>
      </w:r>
      <w:r>
        <w:fldChar w:fldCharType="begin"/>
      </w:r>
      <w:r>
        <w:instrText xml:space="preserve"> PAGEREF _Toc211610022 \h </w:instrText>
      </w:r>
      <w:r>
        <w:fldChar w:fldCharType="separate"/>
      </w:r>
      <w:r>
        <w:t>3</w:t>
      </w:r>
      <w:r>
        <w:fldChar w:fldCharType="end"/>
      </w:r>
      <w:r>
        <w:fldChar w:fldCharType="end"/>
      </w:r>
    </w:p>
    <w:p w14:paraId="1B79DD33">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"_Toc211610023" </w:instrText>
      </w:r>
      <w:r>
        <w:fldChar w:fldCharType="separate"/>
      </w:r>
      <w:r>
        <w:rPr>
          <w:rStyle w:val="95"/>
          <w:rFonts w:ascii="黑体" w:hAnsi="黑体" w:eastAsia="黑体"/>
          <w:b/>
        </w:rPr>
        <w:t>6 交付与验收</w:t>
      </w:r>
      <w:r>
        <w:tab/>
      </w:r>
      <w:r>
        <w:fldChar w:fldCharType="begin"/>
      </w:r>
      <w:r>
        <w:instrText xml:space="preserve"> PAGEREF _Toc211610023 \h </w:instrText>
      </w:r>
      <w:r>
        <w:fldChar w:fldCharType="separate"/>
      </w:r>
      <w:r>
        <w:t>4</w:t>
      </w:r>
      <w:r>
        <w:fldChar w:fldCharType="end"/>
      </w:r>
      <w:r>
        <w:fldChar w:fldCharType="end"/>
      </w:r>
    </w:p>
    <w:p w14:paraId="2D27B4EF">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"_Toc211610024" </w:instrText>
      </w:r>
      <w:r>
        <w:fldChar w:fldCharType="separate"/>
      </w:r>
      <w:r>
        <w:rPr>
          <w:rStyle w:val="95"/>
          <w:rFonts w:ascii="黑体" w:hAnsi="黑体" w:eastAsia="黑体" w:cs="黑体"/>
          <w:bCs/>
        </w:rPr>
        <w:t>6.1 交付形式及数量要求</w:t>
      </w:r>
      <w:r>
        <w:tab/>
      </w:r>
      <w:r>
        <w:fldChar w:fldCharType="begin"/>
      </w:r>
      <w:r>
        <w:instrText xml:space="preserve"> PAGEREF _Toc211610024 \h </w:instrText>
      </w:r>
      <w:r>
        <w:fldChar w:fldCharType="separate"/>
      </w:r>
      <w:r>
        <w:t>4</w:t>
      </w:r>
      <w:r>
        <w:fldChar w:fldCharType="end"/>
      </w:r>
      <w:r>
        <w:fldChar w:fldCharType="end"/>
      </w:r>
    </w:p>
    <w:p w14:paraId="675512A2">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"_Toc211610025" </w:instrText>
      </w:r>
      <w:r>
        <w:fldChar w:fldCharType="separate"/>
      </w:r>
      <w:r>
        <w:rPr>
          <w:rStyle w:val="95"/>
          <w:rFonts w:cs="黑体"/>
          <w:bCs/>
        </w:rPr>
        <w:t>6.2 验收</w:t>
      </w:r>
      <w:r>
        <w:tab/>
      </w:r>
      <w:r>
        <w:fldChar w:fldCharType="begin"/>
      </w:r>
      <w:r>
        <w:instrText xml:space="preserve"> PAGEREF _Toc211610025 \h </w:instrText>
      </w:r>
      <w:r>
        <w:fldChar w:fldCharType="separate"/>
      </w:r>
      <w:r>
        <w:t>4</w:t>
      </w:r>
      <w:r>
        <w:fldChar w:fldCharType="end"/>
      </w:r>
      <w:r>
        <w:fldChar w:fldCharType="end"/>
      </w:r>
    </w:p>
    <w:p w14:paraId="45B8BA93">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"_Toc211610026" </w:instrText>
      </w:r>
      <w:r>
        <w:fldChar w:fldCharType="separate"/>
      </w:r>
      <w:r>
        <w:rPr>
          <w:rStyle w:val="95"/>
          <w:rFonts w:ascii="黑体" w:hAnsi="黑体" w:eastAsia="黑体"/>
          <w:b/>
        </w:rPr>
        <w:t>7 其他</w:t>
      </w:r>
      <w:r>
        <w:tab/>
      </w:r>
      <w:r>
        <w:fldChar w:fldCharType="begin"/>
      </w:r>
      <w:r>
        <w:instrText xml:space="preserve"> PAGEREF _Toc211610026 \h </w:instrText>
      </w:r>
      <w:r>
        <w:fldChar w:fldCharType="separate"/>
      </w:r>
      <w:r>
        <w:t>4</w:t>
      </w:r>
      <w:r>
        <w:fldChar w:fldCharType="end"/>
      </w:r>
      <w:r>
        <w:fldChar w:fldCharType="end"/>
      </w:r>
    </w:p>
    <w:p w14:paraId="5ADA7E8E">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"_Toc211610027" </w:instrText>
      </w:r>
      <w:r>
        <w:fldChar w:fldCharType="separate"/>
      </w:r>
      <w:r>
        <w:rPr>
          <w:rStyle w:val="95"/>
          <w:rFonts w:ascii="黑体" w:hAnsi="黑体" w:eastAsia="黑体"/>
          <w:b/>
        </w:rPr>
        <w:t>8 资格要求</w:t>
      </w:r>
      <w:r>
        <w:tab/>
      </w:r>
      <w:r>
        <w:fldChar w:fldCharType="begin"/>
      </w:r>
      <w:r>
        <w:instrText xml:space="preserve"> PAGEREF _Toc211610027 \h </w:instrText>
      </w:r>
      <w:r>
        <w:fldChar w:fldCharType="separate"/>
      </w:r>
      <w:r>
        <w:t>4</w:t>
      </w:r>
      <w:r>
        <w:fldChar w:fldCharType="end"/>
      </w:r>
      <w:r>
        <w:fldChar w:fldCharType="end"/>
      </w:r>
    </w:p>
    <w:p w14:paraId="1EFE61FC">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eastAsia="黑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14:paraId="2001C110">
      <w:pPr>
        <w:pStyle w:val="2"/>
        <w:spacing w:line="360" w:lineRule="auto"/>
        <w:ind w:firstLine="422"/>
        <w:rPr>
          <w:rFonts w:hint="eastAsia" w:ascii="宋体" w:hAnsi="宋体" w:eastAsia="宋体"/>
          <w:sz w:val="21"/>
          <w:szCs w:val="21"/>
        </w:rPr>
      </w:pPr>
      <w:bookmarkStart w:id="1" w:name="_Toc391649763"/>
      <w:bookmarkEnd w:id="1"/>
      <w:bookmarkStart w:id="2" w:name="_Toc391650075"/>
      <w:bookmarkEnd w:id="2"/>
      <w:bookmarkStart w:id="3" w:name="_Toc391715539"/>
      <w:bookmarkEnd w:id="3"/>
      <w:bookmarkStart w:id="4" w:name="_Toc391647182"/>
      <w:bookmarkEnd w:id="4"/>
      <w:bookmarkStart w:id="5" w:name="_Toc391715542"/>
      <w:bookmarkEnd w:id="5"/>
      <w:bookmarkStart w:id="6" w:name="_Toc391647897"/>
      <w:bookmarkEnd w:id="6"/>
      <w:bookmarkStart w:id="7" w:name="_Toc391650042"/>
      <w:bookmarkEnd w:id="7"/>
      <w:bookmarkStart w:id="8" w:name="_Toc391650110"/>
      <w:bookmarkEnd w:id="8"/>
      <w:bookmarkStart w:id="9" w:name="_Toc391649349"/>
      <w:bookmarkEnd w:id="9"/>
      <w:bookmarkStart w:id="10" w:name="_Toc391647908"/>
      <w:bookmarkEnd w:id="10"/>
      <w:bookmarkStart w:id="11" w:name="_Toc391647339"/>
      <w:bookmarkEnd w:id="11"/>
      <w:bookmarkStart w:id="12" w:name="_Toc391647876"/>
      <w:bookmarkEnd w:id="12"/>
      <w:bookmarkStart w:id="13" w:name="_Toc391649495"/>
      <w:bookmarkEnd w:id="13"/>
      <w:bookmarkStart w:id="14" w:name="_Toc391647895"/>
      <w:bookmarkEnd w:id="14"/>
      <w:bookmarkStart w:id="15" w:name="_Toc391650089"/>
      <w:bookmarkEnd w:id="15"/>
      <w:bookmarkStart w:id="16" w:name="_Toc391650120"/>
      <w:bookmarkEnd w:id="16"/>
      <w:bookmarkStart w:id="17" w:name="_Toc391649316"/>
      <w:bookmarkEnd w:id="17"/>
      <w:bookmarkStart w:id="18" w:name="_Toc391649298"/>
      <w:bookmarkEnd w:id="18"/>
      <w:bookmarkStart w:id="19" w:name="_Toc391649348"/>
      <w:bookmarkEnd w:id="19"/>
      <w:bookmarkStart w:id="20" w:name="_Toc391649267"/>
      <w:bookmarkEnd w:id="20"/>
      <w:bookmarkStart w:id="21" w:name="_Toc391650121"/>
      <w:bookmarkEnd w:id="21"/>
      <w:bookmarkStart w:id="22" w:name="_Toc391649494"/>
      <w:bookmarkEnd w:id="22"/>
      <w:bookmarkStart w:id="23" w:name="_Toc391647907"/>
      <w:bookmarkEnd w:id="23"/>
      <w:bookmarkStart w:id="24" w:name="_Toc391649300"/>
      <w:bookmarkEnd w:id="24"/>
      <w:bookmarkStart w:id="25" w:name="_Toc391654313"/>
      <w:bookmarkEnd w:id="25"/>
      <w:bookmarkStart w:id="26" w:name="_Toc391650076"/>
      <w:bookmarkEnd w:id="26"/>
      <w:bookmarkStart w:id="27" w:name="_Toc391647308"/>
      <w:bookmarkEnd w:id="27"/>
      <w:bookmarkStart w:id="28" w:name="_Toc391647877"/>
      <w:bookmarkEnd w:id="28"/>
      <w:bookmarkStart w:id="29" w:name="_Toc391647164"/>
      <w:bookmarkEnd w:id="29"/>
      <w:bookmarkStart w:id="30" w:name="_Toc391649346"/>
      <w:bookmarkEnd w:id="30"/>
      <w:bookmarkStart w:id="31" w:name="_Toc391647195"/>
      <w:bookmarkEnd w:id="31"/>
      <w:bookmarkStart w:id="32" w:name="_Toc391649269"/>
      <w:bookmarkEnd w:id="32"/>
      <w:bookmarkStart w:id="33" w:name="_Toc391647875"/>
      <w:bookmarkEnd w:id="33"/>
      <w:bookmarkStart w:id="34" w:name="_Toc391647185"/>
      <w:bookmarkEnd w:id="34"/>
      <w:bookmarkStart w:id="35" w:name="_Toc391649525"/>
      <w:bookmarkEnd w:id="35"/>
      <w:bookmarkStart w:id="36" w:name="_Toc391715510"/>
      <w:bookmarkEnd w:id="36"/>
      <w:bookmarkStart w:id="37" w:name="_Toc391649268"/>
      <w:bookmarkEnd w:id="37"/>
      <w:bookmarkStart w:id="38" w:name="_Toc391654280"/>
      <w:bookmarkEnd w:id="38"/>
      <w:bookmarkStart w:id="39" w:name="_Toc391647331"/>
      <w:bookmarkEnd w:id="39"/>
      <w:bookmarkStart w:id="40" w:name="_Toc391654281"/>
      <w:bookmarkEnd w:id="40"/>
      <w:bookmarkStart w:id="41" w:name="_Toc391649493"/>
      <w:bookmarkEnd w:id="41"/>
      <w:bookmarkStart w:id="42" w:name="_Toc391647909"/>
      <w:bookmarkEnd w:id="42"/>
      <w:bookmarkStart w:id="43" w:name="_Toc391715511"/>
      <w:bookmarkEnd w:id="43"/>
      <w:bookmarkStart w:id="44" w:name="_Toc391654303"/>
      <w:bookmarkEnd w:id="44"/>
      <w:bookmarkStart w:id="45" w:name="_Toc391650043"/>
      <w:bookmarkEnd w:id="45"/>
      <w:bookmarkStart w:id="46" w:name="_Toc391647163"/>
      <w:bookmarkEnd w:id="46"/>
      <w:bookmarkStart w:id="47" w:name="_Toc391650111"/>
      <w:bookmarkEnd w:id="47"/>
      <w:bookmarkStart w:id="48" w:name="_Toc391715509"/>
      <w:bookmarkEnd w:id="48"/>
      <w:bookmarkStart w:id="49" w:name="_Toc391647162"/>
      <w:bookmarkEnd w:id="49"/>
      <w:bookmarkStart w:id="50" w:name="_Toc391649290"/>
      <w:bookmarkEnd w:id="50"/>
      <w:bookmarkStart w:id="51" w:name="_Toc391647310"/>
      <w:bookmarkEnd w:id="51"/>
      <w:bookmarkStart w:id="52" w:name="_Toc391649734"/>
      <w:bookmarkEnd w:id="52"/>
      <w:bookmarkStart w:id="53" w:name="_Toc391647309"/>
      <w:bookmarkEnd w:id="53"/>
      <w:bookmarkStart w:id="54" w:name="_Toc391649496"/>
      <w:bookmarkEnd w:id="54"/>
      <w:bookmarkStart w:id="55" w:name="_Toc391715543"/>
      <w:bookmarkEnd w:id="55"/>
      <w:bookmarkStart w:id="56" w:name="_Toc391649735"/>
      <w:bookmarkEnd w:id="56"/>
      <w:bookmarkStart w:id="57" w:name="_Toc391649754"/>
      <w:bookmarkEnd w:id="57"/>
      <w:bookmarkStart w:id="58" w:name="_Toc391649317"/>
      <w:bookmarkEnd w:id="58"/>
      <w:bookmarkStart w:id="59" w:name="_Toc391654301"/>
      <w:bookmarkEnd w:id="59"/>
      <w:bookmarkStart w:id="60" w:name="_Toc391650064"/>
      <w:bookmarkEnd w:id="60"/>
      <w:bookmarkStart w:id="61" w:name="_Toc391715531"/>
      <w:bookmarkEnd w:id="61"/>
      <w:bookmarkStart w:id="62" w:name="_Toc391650091"/>
      <w:bookmarkEnd w:id="62"/>
      <w:bookmarkStart w:id="63" w:name="_Toc391649732"/>
      <w:bookmarkEnd w:id="63"/>
      <w:bookmarkStart w:id="64" w:name="_Toc391647898"/>
      <w:bookmarkEnd w:id="64"/>
      <w:bookmarkStart w:id="65" w:name="_Toc391654279"/>
      <w:bookmarkEnd w:id="65"/>
      <w:bookmarkStart w:id="66" w:name="_Toc391649515"/>
      <w:bookmarkEnd w:id="66"/>
      <w:bookmarkStart w:id="67" w:name="_Toc391649516"/>
      <w:bookmarkEnd w:id="67"/>
      <w:bookmarkStart w:id="68" w:name="_Toc391649338"/>
      <w:bookmarkEnd w:id="68"/>
      <w:bookmarkStart w:id="69" w:name="_Toc391654299"/>
      <w:bookmarkEnd w:id="69"/>
      <w:bookmarkStart w:id="70" w:name="_Toc391647329"/>
      <w:bookmarkEnd w:id="70"/>
      <w:bookmarkStart w:id="71" w:name="_Toc391647330"/>
      <w:bookmarkEnd w:id="71"/>
      <w:bookmarkStart w:id="72" w:name="_Toc391715540"/>
      <w:bookmarkEnd w:id="72"/>
      <w:bookmarkStart w:id="73" w:name="_Toc391649512"/>
      <w:bookmarkEnd w:id="73"/>
      <w:bookmarkStart w:id="74" w:name="_Toc391649337"/>
      <w:bookmarkEnd w:id="74"/>
      <w:bookmarkStart w:id="75" w:name="_Toc391654300"/>
      <w:bookmarkEnd w:id="75"/>
      <w:bookmarkStart w:id="76" w:name="_Toc391647328"/>
      <w:bookmarkEnd w:id="76"/>
      <w:bookmarkStart w:id="77" w:name="_Toc391649333"/>
      <w:bookmarkEnd w:id="77"/>
      <w:bookmarkStart w:id="78" w:name="_Toc391715526"/>
      <w:bookmarkEnd w:id="78"/>
      <w:bookmarkStart w:id="79" w:name="_Toc391649510"/>
      <w:bookmarkEnd w:id="79"/>
      <w:bookmarkStart w:id="80" w:name="_Toc391650060"/>
      <w:bookmarkEnd w:id="80"/>
      <w:bookmarkStart w:id="81" w:name="_Toc391650059"/>
      <w:bookmarkEnd w:id="81"/>
      <w:bookmarkStart w:id="82" w:name="_Toc391654297"/>
      <w:bookmarkEnd w:id="82"/>
      <w:bookmarkStart w:id="83" w:name="_Toc391649751"/>
      <w:bookmarkEnd w:id="83"/>
      <w:bookmarkStart w:id="84" w:name="_Toc391650104"/>
      <w:bookmarkEnd w:id="84"/>
      <w:bookmarkStart w:id="85" w:name="_Toc391715530"/>
      <w:bookmarkEnd w:id="85"/>
      <w:bookmarkStart w:id="86" w:name="_Toc391649514"/>
      <w:bookmarkEnd w:id="86"/>
      <w:bookmarkStart w:id="87" w:name="_Toc391715529"/>
      <w:bookmarkEnd w:id="87"/>
      <w:bookmarkStart w:id="88" w:name="_Toc391649526"/>
      <w:bookmarkEnd w:id="88"/>
      <w:bookmarkStart w:id="89" w:name="_Toc391650063"/>
      <w:bookmarkEnd w:id="89"/>
      <w:bookmarkStart w:id="90" w:name="_Toc391650073"/>
      <w:bookmarkEnd w:id="90"/>
      <w:bookmarkStart w:id="91" w:name="_Toc391649753"/>
      <w:bookmarkEnd w:id="91"/>
      <w:bookmarkStart w:id="92" w:name="_Toc391647194"/>
      <w:bookmarkEnd w:id="92"/>
      <w:bookmarkStart w:id="93" w:name="_Toc391649513"/>
      <w:bookmarkEnd w:id="93"/>
      <w:bookmarkStart w:id="94" w:name="_Toc391650122"/>
      <w:bookmarkEnd w:id="94"/>
      <w:bookmarkStart w:id="95" w:name="_Toc391649289"/>
      <w:bookmarkEnd w:id="95"/>
      <w:bookmarkStart w:id="96" w:name="_Toc391649752"/>
      <w:bookmarkEnd w:id="96"/>
      <w:bookmarkStart w:id="97" w:name="_Toc391647906"/>
      <w:bookmarkEnd w:id="97"/>
      <w:bookmarkStart w:id="98" w:name="_Toc391650074"/>
      <w:bookmarkEnd w:id="98"/>
      <w:bookmarkStart w:id="99" w:name="_Toc391649524"/>
      <w:bookmarkEnd w:id="99"/>
      <w:bookmarkStart w:id="100" w:name="_Toc391647896"/>
      <w:bookmarkEnd w:id="100"/>
      <w:bookmarkStart w:id="101" w:name="_Toc391647184"/>
      <w:bookmarkEnd w:id="101"/>
      <w:bookmarkStart w:id="102" w:name="_Toc391647888"/>
      <w:bookmarkEnd w:id="102"/>
      <w:bookmarkStart w:id="103" w:name="_Toc391647886"/>
      <w:bookmarkEnd w:id="103"/>
      <w:bookmarkStart w:id="104" w:name="_Toc391650101"/>
      <w:bookmarkEnd w:id="104"/>
      <w:bookmarkStart w:id="105" w:name="_Toc391649505"/>
      <w:bookmarkEnd w:id="105"/>
      <w:bookmarkStart w:id="106" w:name="_Toc391647905"/>
      <w:bookmarkEnd w:id="106"/>
      <w:bookmarkStart w:id="107" w:name="_Toc391649297"/>
      <w:bookmarkEnd w:id="107"/>
      <w:bookmarkStart w:id="108" w:name="_Toc391647338"/>
      <w:bookmarkEnd w:id="108"/>
      <w:bookmarkStart w:id="109" w:name="_Toc391650103"/>
      <w:bookmarkEnd w:id="109"/>
      <w:bookmarkStart w:id="110" w:name="_Toc391649329"/>
      <w:bookmarkEnd w:id="110"/>
      <w:bookmarkStart w:id="111" w:name="_Toc391715518"/>
      <w:bookmarkEnd w:id="111"/>
      <w:bookmarkStart w:id="112" w:name="_Toc391650072"/>
      <w:bookmarkEnd w:id="112"/>
      <w:bookmarkStart w:id="113" w:name="_Toc391647319"/>
      <w:bookmarkEnd w:id="113"/>
      <w:bookmarkStart w:id="114" w:name="_Toc391650052"/>
      <w:bookmarkEnd w:id="114"/>
      <w:bookmarkStart w:id="115" w:name="_Toc391654291"/>
      <w:bookmarkEnd w:id="115"/>
      <w:bookmarkStart w:id="116" w:name="_Toc391649746"/>
      <w:bookmarkEnd w:id="116"/>
      <w:bookmarkStart w:id="117" w:name="_Toc391654309"/>
      <w:bookmarkEnd w:id="117"/>
      <w:bookmarkStart w:id="118" w:name="_Toc391654290"/>
      <w:bookmarkEnd w:id="118"/>
      <w:bookmarkStart w:id="119" w:name="_Toc391647173"/>
      <w:bookmarkEnd w:id="119"/>
      <w:bookmarkStart w:id="120" w:name="_Toc391715538"/>
      <w:bookmarkEnd w:id="120"/>
      <w:bookmarkStart w:id="121" w:name="_Toc391647887"/>
      <w:bookmarkEnd w:id="121"/>
      <w:bookmarkStart w:id="122" w:name="_Toc391647175"/>
      <w:bookmarkEnd w:id="122"/>
      <w:bookmarkStart w:id="123" w:name="_Toc391649278"/>
      <w:bookmarkEnd w:id="123"/>
      <w:bookmarkStart w:id="124" w:name="_Toc391649744"/>
      <w:bookmarkEnd w:id="124"/>
      <w:bookmarkStart w:id="125" w:name="_Toc391649331"/>
      <w:bookmarkEnd w:id="125"/>
      <w:bookmarkStart w:id="126" w:name="_Toc391647889"/>
      <w:bookmarkEnd w:id="126"/>
      <w:bookmarkStart w:id="127" w:name="_Toc391649286"/>
      <w:bookmarkEnd w:id="127"/>
      <w:bookmarkStart w:id="128" w:name="_Toc391647318"/>
      <w:bookmarkEnd w:id="128"/>
      <w:bookmarkStart w:id="129" w:name="_Toc391649330"/>
      <w:bookmarkEnd w:id="129"/>
      <w:bookmarkStart w:id="130" w:name="_Toc391715522"/>
      <w:bookmarkEnd w:id="130"/>
      <w:bookmarkStart w:id="131" w:name="_Toc391649280"/>
      <w:bookmarkEnd w:id="131"/>
      <w:bookmarkStart w:id="132" w:name="_Toc391715524"/>
      <w:bookmarkEnd w:id="132"/>
      <w:bookmarkStart w:id="133" w:name="_Toc391649506"/>
      <w:bookmarkEnd w:id="133"/>
      <w:bookmarkStart w:id="134" w:name="_Toc391654289"/>
      <w:bookmarkEnd w:id="134"/>
      <w:bookmarkStart w:id="135" w:name="_Toc391647324"/>
      <w:bookmarkEnd w:id="135"/>
      <w:bookmarkStart w:id="136" w:name="_Toc391649745"/>
      <w:bookmarkEnd w:id="136"/>
      <w:bookmarkStart w:id="137" w:name="_Toc391650053"/>
      <w:bookmarkEnd w:id="137"/>
      <w:bookmarkStart w:id="138" w:name="_Toc391649279"/>
      <w:bookmarkEnd w:id="138"/>
      <w:bookmarkStart w:id="139" w:name="_Toc391649507"/>
      <w:bookmarkEnd w:id="139"/>
      <w:bookmarkStart w:id="140" w:name="_Toc391647178"/>
      <w:bookmarkEnd w:id="140"/>
      <w:bookmarkStart w:id="141" w:name="_Toc391649748"/>
      <w:bookmarkEnd w:id="141"/>
      <w:bookmarkStart w:id="142" w:name="_Toc391647177"/>
      <w:bookmarkEnd w:id="142"/>
      <w:bookmarkStart w:id="143" w:name="_Toc391647322"/>
      <w:bookmarkEnd w:id="143"/>
      <w:bookmarkStart w:id="144" w:name="_Toc391647893"/>
      <w:bookmarkEnd w:id="144"/>
      <w:bookmarkStart w:id="145" w:name="_Toc391650055"/>
      <w:bookmarkEnd w:id="145"/>
      <w:bookmarkStart w:id="146" w:name="_Toc391647176"/>
      <w:bookmarkEnd w:id="146"/>
      <w:bookmarkStart w:id="147" w:name="_Toc391647892"/>
      <w:bookmarkEnd w:id="147"/>
      <w:bookmarkStart w:id="148" w:name="_Toc391647325"/>
      <w:bookmarkEnd w:id="148"/>
      <w:bookmarkStart w:id="149" w:name="_Toc391715520"/>
      <w:bookmarkEnd w:id="149"/>
      <w:bookmarkStart w:id="150" w:name="_Toc391650054"/>
      <w:bookmarkEnd w:id="150"/>
      <w:bookmarkStart w:id="151" w:name="_Toc391647890"/>
      <w:bookmarkEnd w:id="151"/>
      <w:bookmarkStart w:id="152" w:name="_Toc391649504"/>
      <w:bookmarkEnd w:id="152"/>
      <w:bookmarkStart w:id="153" w:name="_Toc391647891"/>
      <w:bookmarkEnd w:id="153"/>
      <w:bookmarkStart w:id="154" w:name="_Toc391650058"/>
      <w:bookmarkEnd w:id="154"/>
      <w:bookmarkStart w:id="155" w:name="_Toc391649508"/>
      <w:bookmarkEnd w:id="155"/>
      <w:bookmarkStart w:id="156" w:name="_Toc391647181"/>
      <w:bookmarkEnd w:id="156"/>
      <w:bookmarkStart w:id="157" w:name="_Toc391650057"/>
      <w:bookmarkEnd w:id="157"/>
      <w:bookmarkStart w:id="158" w:name="_Toc391649509"/>
      <w:bookmarkEnd w:id="158"/>
      <w:bookmarkStart w:id="159" w:name="_Toc391649281"/>
      <w:bookmarkEnd w:id="159"/>
      <w:bookmarkStart w:id="160" w:name="_Toc391654293"/>
      <w:bookmarkEnd w:id="160"/>
      <w:bookmarkStart w:id="161" w:name="_Toc391654294"/>
      <w:bookmarkEnd w:id="161"/>
      <w:bookmarkStart w:id="162" w:name="_Toc391649285"/>
      <w:bookmarkEnd w:id="162"/>
      <w:bookmarkStart w:id="163" w:name="_Toc391654295"/>
      <w:bookmarkEnd w:id="163"/>
      <w:bookmarkStart w:id="164" w:name="_Toc391649327"/>
      <w:bookmarkEnd w:id="164"/>
      <w:bookmarkStart w:id="165" w:name="_Toc391649332"/>
      <w:bookmarkEnd w:id="165"/>
      <w:bookmarkStart w:id="166" w:name="_Toc391650100"/>
      <w:bookmarkEnd w:id="166"/>
      <w:bookmarkStart w:id="167" w:name="_Toc391715527"/>
      <w:bookmarkEnd w:id="167"/>
      <w:bookmarkStart w:id="168" w:name="_Toc391650102"/>
      <w:bookmarkEnd w:id="168"/>
      <w:bookmarkStart w:id="169" w:name="_Toc391647894"/>
      <w:bookmarkEnd w:id="169"/>
      <w:bookmarkStart w:id="170" w:name="_Toc391650062"/>
      <w:bookmarkEnd w:id="170"/>
      <w:bookmarkStart w:id="171" w:name="_Toc391715528"/>
      <w:bookmarkEnd w:id="171"/>
      <w:bookmarkStart w:id="172" w:name="_Toc391647323"/>
      <w:bookmarkEnd w:id="172"/>
      <w:bookmarkStart w:id="173" w:name="_Toc391647183"/>
      <w:bookmarkEnd w:id="173"/>
      <w:bookmarkStart w:id="174" w:name="_Toc391650056"/>
      <w:bookmarkEnd w:id="174"/>
      <w:bookmarkStart w:id="175" w:name="_Toc391654296"/>
      <w:bookmarkEnd w:id="175"/>
      <w:bookmarkStart w:id="176" w:name="_Toc391647327"/>
      <w:bookmarkEnd w:id="176"/>
      <w:bookmarkStart w:id="177" w:name="_Toc391649749"/>
      <w:bookmarkEnd w:id="177"/>
      <w:bookmarkStart w:id="178" w:name="_Toc391647340"/>
      <w:bookmarkEnd w:id="178"/>
      <w:bookmarkStart w:id="179" w:name="_Toc391647179"/>
      <w:bookmarkEnd w:id="179"/>
      <w:bookmarkStart w:id="180" w:name="_Toc391649288"/>
      <w:bookmarkEnd w:id="180"/>
      <w:bookmarkStart w:id="181" w:name="_Toc391715525"/>
      <w:bookmarkEnd w:id="181"/>
      <w:bookmarkStart w:id="182" w:name="_Toc391715523"/>
      <w:bookmarkEnd w:id="182"/>
      <w:bookmarkStart w:id="183" w:name="_Toc391649282"/>
      <w:bookmarkEnd w:id="183"/>
      <w:bookmarkStart w:id="184" w:name="_Toc391650105"/>
      <w:bookmarkEnd w:id="184"/>
      <w:bookmarkStart w:id="185" w:name="_Toc391650106"/>
      <w:bookmarkEnd w:id="185"/>
      <w:bookmarkStart w:id="186" w:name="_Toc391649335"/>
      <w:bookmarkEnd w:id="186"/>
      <w:bookmarkStart w:id="187" w:name="_Toc391647193"/>
      <w:bookmarkEnd w:id="187"/>
      <w:bookmarkStart w:id="188" w:name="_Toc391649284"/>
      <w:bookmarkEnd w:id="188"/>
      <w:bookmarkStart w:id="189" w:name="_Toc391647180"/>
      <w:bookmarkEnd w:id="189"/>
      <w:bookmarkStart w:id="190" w:name="_Toc391649287"/>
      <w:bookmarkEnd w:id="190"/>
      <w:bookmarkStart w:id="191" w:name="_Toc391650108"/>
      <w:bookmarkEnd w:id="191"/>
      <w:bookmarkStart w:id="192" w:name="_Toc391654298"/>
      <w:bookmarkEnd w:id="192"/>
      <w:bookmarkStart w:id="193" w:name="_Toc391649511"/>
      <w:bookmarkEnd w:id="193"/>
      <w:bookmarkStart w:id="194" w:name="_Toc391649336"/>
      <w:bookmarkEnd w:id="194"/>
      <w:bookmarkStart w:id="195" w:name="_Toc391649747"/>
      <w:bookmarkEnd w:id="195"/>
      <w:bookmarkStart w:id="196" w:name="_Toc391650107"/>
      <w:bookmarkEnd w:id="196"/>
      <w:bookmarkStart w:id="197" w:name="_Toc391650061"/>
      <w:bookmarkEnd w:id="197"/>
      <w:bookmarkStart w:id="198" w:name="_Toc391650109"/>
      <w:bookmarkEnd w:id="198"/>
      <w:bookmarkStart w:id="199" w:name="_Toc391649299"/>
      <w:bookmarkEnd w:id="199"/>
      <w:bookmarkStart w:id="200" w:name="_Toc391647326"/>
      <w:bookmarkEnd w:id="200"/>
      <w:bookmarkStart w:id="201" w:name="_Toc391649334"/>
      <w:bookmarkEnd w:id="201"/>
      <w:bookmarkStart w:id="202" w:name="_Toc391649750"/>
      <w:bookmarkEnd w:id="202"/>
      <w:bookmarkStart w:id="203" w:name="_Toc391715514"/>
      <w:bookmarkEnd w:id="203"/>
      <w:bookmarkStart w:id="204" w:name="_Toc391647188"/>
      <w:bookmarkEnd w:id="204"/>
      <w:bookmarkStart w:id="205" w:name="_Toc391649759"/>
      <w:bookmarkEnd w:id="205"/>
      <w:bookmarkStart w:id="206" w:name="_Toc391715534"/>
      <w:bookmarkEnd w:id="206"/>
      <w:bookmarkStart w:id="207" w:name="_Toc391649321"/>
      <w:bookmarkEnd w:id="207"/>
      <w:bookmarkStart w:id="208" w:name="_Toc391649320"/>
      <w:bookmarkEnd w:id="208"/>
      <w:bookmarkStart w:id="209" w:name="_Toc391647196"/>
      <w:bookmarkEnd w:id="209"/>
      <w:bookmarkStart w:id="210" w:name="_Toc391649501"/>
      <w:bookmarkEnd w:id="210"/>
      <w:bookmarkStart w:id="211" w:name="_Toc391654304"/>
      <w:bookmarkEnd w:id="211"/>
      <w:bookmarkStart w:id="212" w:name="_Toc391649517"/>
      <w:bookmarkEnd w:id="212"/>
      <w:bookmarkStart w:id="213" w:name="_Toc391647881"/>
      <w:bookmarkEnd w:id="213"/>
      <w:bookmarkStart w:id="214" w:name="_Toc391649519"/>
      <w:bookmarkEnd w:id="214"/>
      <w:bookmarkStart w:id="215" w:name="_Toc391650065"/>
      <w:bookmarkEnd w:id="215"/>
      <w:bookmarkStart w:id="216" w:name="_Toc391649292"/>
      <w:bookmarkEnd w:id="216"/>
      <w:bookmarkStart w:id="217" w:name="_Toc391647187"/>
      <w:bookmarkEnd w:id="217"/>
      <w:bookmarkStart w:id="218" w:name="_Toc391649319"/>
      <w:bookmarkEnd w:id="218"/>
      <w:bookmarkStart w:id="219" w:name="_Toc391647333"/>
      <w:bookmarkEnd w:id="219"/>
      <w:bookmarkStart w:id="220" w:name="_Toc391649755"/>
      <w:bookmarkEnd w:id="220"/>
      <w:bookmarkStart w:id="221" w:name="_Toc391715533"/>
      <w:bookmarkEnd w:id="221"/>
      <w:bookmarkStart w:id="222" w:name="_Toc391649756"/>
      <w:bookmarkEnd w:id="222"/>
      <w:bookmarkStart w:id="223" w:name="_Toc391649318"/>
      <w:bookmarkEnd w:id="223"/>
      <w:bookmarkStart w:id="224" w:name="_Toc391715512"/>
      <w:bookmarkEnd w:id="224"/>
      <w:bookmarkStart w:id="225" w:name="_Toc391649276"/>
      <w:bookmarkEnd w:id="225"/>
      <w:bookmarkStart w:id="226" w:name="_Toc391649340"/>
      <w:bookmarkEnd w:id="226"/>
      <w:bookmarkStart w:id="227" w:name="_Toc391649497"/>
      <w:bookmarkEnd w:id="227"/>
      <w:bookmarkStart w:id="228" w:name="_Toc391647312"/>
      <w:bookmarkEnd w:id="228"/>
      <w:bookmarkStart w:id="229" w:name="_Toc391650112"/>
      <w:bookmarkEnd w:id="229"/>
      <w:bookmarkStart w:id="230" w:name="_Toc391649270"/>
      <w:bookmarkEnd w:id="230"/>
      <w:bookmarkStart w:id="231" w:name="_Toc391654305"/>
      <w:bookmarkEnd w:id="231"/>
      <w:bookmarkStart w:id="232" w:name="_Toc391650066"/>
      <w:bookmarkEnd w:id="232"/>
      <w:bookmarkStart w:id="233" w:name="_Toc391647315"/>
      <w:bookmarkEnd w:id="233"/>
      <w:bookmarkStart w:id="234" w:name="_Toc391647900"/>
      <w:bookmarkEnd w:id="234"/>
      <w:bookmarkStart w:id="235" w:name="_Toc391649737"/>
      <w:bookmarkEnd w:id="235"/>
      <w:bookmarkStart w:id="236" w:name="_Toc391647880"/>
      <w:bookmarkEnd w:id="236"/>
      <w:bookmarkStart w:id="237" w:name="_Toc391647332"/>
      <w:bookmarkEnd w:id="237"/>
      <w:bookmarkStart w:id="238" w:name="_Toc391647165"/>
      <w:bookmarkEnd w:id="238"/>
      <w:bookmarkStart w:id="239" w:name="_Toc391647878"/>
      <w:bookmarkEnd w:id="239"/>
      <w:bookmarkStart w:id="240" w:name="_Toc391650068"/>
      <w:bookmarkEnd w:id="240"/>
      <w:bookmarkStart w:id="241" w:name="_Toc391649291"/>
      <w:bookmarkEnd w:id="241"/>
      <w:bookmarkStart w:id="242" w:name="_Toc391650047"/>
      <w:bookmarkEnd w:id="242"/>
      <w:bookmarkStart w:id="243" w:name="_Toc391650093"/>
      <w:bookmarkEnd w:id="243"/>
      <w:bookmarkStart w:id="244" w:name="_Toc391650045"/>
      <w:bookmarkEnd w:id="244"/>
      <w:bookmarkStart w:id="245" w:name="_Toc391650046"/>
      <w:bookmarkEnd w:id="245"/>
      <w:bookmarkStart w:id="246" w:name="_Toc391649758"/>
      <w:bookmarkEnd w:id="246"/>
      <w:bookmarkStart w:id="247" w:name="_Toc391647167"/>
      <w:bookmarkEnd w:id="247"/>
      <w:bookmarkStart w:id="248" w:name="_Toc391649341"/>
      <w:bookmarkEnd w:id="248"/>
      <w:bookmarkStart w:id="249" w:name="_Toc391649733"/>
      <w:bookmarkEnd w:id="249"/>
      <w:bookmarkStart w:id="250" w:name="_Toc391650090"/>
      <w:bookmarkEnd w:id="250"/>
      <w:bookmarkStart w:id="251" w:name="_Toc391649271"/>
      <w:bookmarkEnd w:id="251"/>
      <w:bookmarkStart w:id="252" w:name="_Toc391650044"/>
      <w:bookmarkEnd w:id="252"/>
      <w:bookmarkStart w:id="253" w:name="_Toc391647313"/>
      <w:bookmarkEnd w:id="253"/>
      <w:bookmarkStart w:id="254" w:name="_Toc391649272"/>
      <w:bookmarkEnd w:id="254"/>
      <w:bookmarkStart w:id="255" w:name="_Toc391654282"/>
      <w:bookmarkEnd w:id="255"/>
      <w:bookmarkStart w:id="256" w:name="_Toc391654311"/>
      <w:bookmarkEnd w:id="256"/>
      <w:bookmarkStart w:id="257" w:name="_Toc391650113"/>
      <w:bookmarkEnd w:id="257"/>
      <w:bookmarkStart w:id="258" w:name="_Toc391654283"/>
      <w:bookmarkEnd w:id="258"/>
      <w:bookmarkStart w:id="259" w:name="_Toc391654302"/>
      <w:bookmarkEnd w:id="259"/>
      <w:bookmarkStart w:id="260" w:name="_Toc391647311"/>
      <w:bookmarkEnd w:id="260"/>
      <w:bookmarkStart w:id="261" w:name="_Toc391715532"/>
      <w:bookmarkEnd w:id="261"/>
      <w:bookmarkStart w:id="262" w:name="_Toc391715513"/>
      <w:bookmarkEnd w:id="262"/>
      <w:bookmarkStart w:id="263" w:name="_Toc391649339"/>
      <w:bookmarkEnd w:id="263"/>
      <w:bookmarkStart w:id="264" w:name="_Toc391649518"/>
      <w:bookmarkEnd w:id="264"/>
      <w:bookmarkStart w:id="265" w:name="_Toc391649294"/>
      <w:bookmarkEnd w:id="265"/>
      <w:bookmarkStart w:id="266" w:name="_Toc391650092"/>
      <w:bookmarkEnd w:id="266"/>
      <w:bookmarkStart w:id="267" w:name="_Toc391649738"/>
      <w:bookmarkEnd w:id="267"/>
      <w:bookmarkStart w:id="268" w:name="_Toc391647314"/>
      <w:bookmarkEnd w:id="268"/>
      <w:bookmarkStart w:id="269" w:name="_Toc391650123"/>
      <w:bookmarkEnd w:id="269"/>
      <w:bookmarkStart w:id="270" w:name="_Toc391650115"/>
      <w:bookmarkEnd w:id="270"/>
      <w:bookmarkStart w:id="271" w:name="_Toc391647879"/>
      <w:bookmarkEnd w:id="271"/>
      <w:bookmarkStart w:id="272" w:name="_Toc391649736"/>
      <w:bookmarkEnd w:id="272"/>
      <w:bookmarkStart w:id="273" w:name="_Toc391647899"/>
      <w:bookmarkEnd w:id="273"/>
      <w:bookmarkStart w:id="274" w:name="_Toc391649527"/>
      <w:bookmarkEnd w:id="274"/>
      <w:bookmarkStart w:id="275" w:name="_Toc391715535"/>
      <w:bookmarkEnd w:id="275"/>
      <w:bookmarkStart w:id="276" w:name="_Toc391654312"/>
      <w:bookmarkEnd w:id="276"/>
      <w:bookmarkStart w:id="277" w:name="_Toc391647186"/>
      <w:bookmarkEnd w:id="277"/>
      <w:bookmarkStart w:id="278" w:name="_Toc391650070"/>
      <w:bookmarkEnd w:id="278"/>
      <w:bookmarkStart w:id="279" w:name="_Toc391649301"/>
      <w:bookmarkEnd w:id="279"/>
      <w:bookmarkStart w:id="280" w:name="_Toc391649315"/>
      <w:bookmarkEnd w:id="280"/>
      <w:bookmarkStart w:id="281" w:name="_Toc391649347"/>
      <w:bookmarkEnd w:id="281"/>
      <w:bookmarkStart w:id="282" w:name="_Toc391715541"/>
      <w:bookmarkEnd w:id="282"/>
      <w:bookmarkStart w:id="283" w:name="_Toc391647166"/>
      <w:bookmarkEnd w:id="283"/>
      <w:bookmarkStart w:id="284" w:name="_Toc391650114"/>
      <w:bookmarkEnd w:id="284"/>
      <w:bookmarkStart w:id="285" w:name="_Toc391649499"/>
      <w:bookmarkEnd w:id="285"/>
      <w:bookmarkStart w:id="286" w:name="_Toc391647341"/>
      <w:bookmarkEnd w:id="286"/>
      <w:bookmarkStart w:id="287" w:name="_Toc391647168"/>
      <w:bookmarkEnd w:id="287"/>
      <w:bookmarkStart w:id="288" w:name="_Toc391654284"/>
      <w:bookmarkEnd w:id="288"/>
      <w:bookmarkStart w:id="289" w:name="_Toc391649500"/>
      <w:bookmarkEnd w:id="289"/>
      <w:bookmarkStart w:id="290" w:name="_Toc391647334"/>
      <w:bookmarkEnd w:id="290"/>
      <w:bookmarkStart w:id="291" w:name="_Toc391650067"/>
      <w:bookmarkEnd w:id="291"/>
      <w:bookmarkStart w:id="292" w:name="_Toc391649764"/>
      <w:bookmarkEnd w:id="292"/>
      <w:bookmarkStart w:id="293" w:name="_Toc391649273"/>
      <w:bookmarkEnd w:id="293"/>
      <w:bookmarkStart w:id="294" w:name="_Toc391649295"/>
      <w:bookmarkEnd w:id="294"/>
      <w:bookmarkStart w:id="295" w:name="_Toc391649739"/>
      <w:bookmarkEnd w:id="295"/>
      <w:bookmarkStart w:id="296" w:name="_Toc391647190"/>
      <w:bookmarkEnd w:id="296"/>
      <w:bookmarkStart w:id="297" w:name="_Toc391647901"/>
      <w:bookmarkEnd w:id="297"/>
      <w:bookmarkStart w:id="298" w:name="_Toc391649520"/>
      <w:bookmarkEnd w:id="298"/>
      <w:bookmarkStart w:id="299" w:name="_Toc391649293"/>
      <w:bookmarkEnd w:id="299"/>
      <w:bookmarkStart w:id="300" w:name="_Toc391647883"/>
      <w:bookmarkEnd w:id="300"/>
      <w:bookmarkStart w:id="301" w:name="_Toc391650094"/>
      <w:bookmarkEnd w:id="301"/>
      <w:bookmarkStart w:id="302" w:name="_Toc391654310"/>
      <w:bookmarkEnd w:id="302"/>
      <w:bookmarkStart w:id="303" w:name="_Toc391647342"/>
      <w:bookmarkEnd w:id="303"/>
      <w:bookmarkStart w:id="304" w:name="_Toc391649765"/>
      <w:bookmarkEnd w:id="304"/>
      <w:bookmarkStart w:id="305" w:name="_Toc391649757"/>
      <w:bookmarkEnd w:id="305"/>
      <w:bookmarkStart w:id="306" w:name="_Toc391649498"/>
      <w:bookmarkEnd w:id="306"/>
      <w:bookmarkStart w:id="307" w:name="_Toc391649761"/>
      <w:bookmarkEnd w:id="307"/>
      <w:bookmarkStart w:id="308" w:name="_Toc391650051"/>
      <w:bookmarkEnd w:id="308"/>
      <w:bookmarkStart w:id="309" w:name="_Toc391647335"/>
      <w:bookmarkEnd w:id="309"/>
      <w:bookmarkStart w:id="310" w:name="_Toc391649766"/>
      <w:bookmarkEnd w:id="310"/>
      <w:bookmarkStart w:id="311" w:name="_Toc391650116"/>
      <w:bookmarkEnd w:id="311"/>
      <w:bookmarkStart w:id="312" w:name="_Toc391649324"/>
      <w:bookmarkEnd w:id="312"/>
      <w:bookmarkStart w:id="313" w:name="_Toc391647336"/>
      <w:bookmarkEnd w:id="313"/>
      <w:bookmarkStart w:id="314" w:name="_Toc391650098"/>
      <w:bookmarkEnd w:id="314"/>
      <w:bookmarkStart w:id="315" w:name="_Toc391654288"/>
      <w:bookmarkEnd w:id="315"/>
      <w:bookmarkStart w:id="316" w:name="_Toc391649322"/>
      <w:bookmarkEnd w:id="316"/>
      <w:bookmarkStart w:id="317" w:name="_Toc391650095"/>
      <w:bookmarkEnd w:id="317"/>
      <w:bookmarkStart w:id="318" w:name="_Toc391647169"/>
      <w:bookmarkEnd w:id="318"/>
      <w:bookmarkStart w:id="319" w:name="_Toc391650118"/>
      <w:bookmarkEnd w:id="319"/>
      <w:bookmarkStart w:id="320" w:name="_Toc391715536"/>
      <w:bookmarkEnd w:id="320"/>
      <w:bookmarkStart w:id="321" w:name="_Toc391649342"/>
      <w:bookmarkEnd w:id="321"/>
      <w:bookmarkStart w:id="322" w:name="_Toc391649274"/>
      <w:bookmarkEnd w:id="322"/>
      <w:bookmarkStart w:id="323" w:name="_Toc391647903"/>
      <w:bookmarkEnd w:id="323"/>
      <w:bookmarkStart w:id="324" w:name="_Toc391649344"/>
      <w:bookmarkEnd w:id="324"/>
      <w:bookmarkStart w:id="325" w:name="_Toc391650049"/>
      <w:bookmarkEnd w:id="325"/>
      <w:bookmarkStart w:id="326" w:name="_Toc391649502"/>
      <w:bookmarkEnd w:id="326"/>
      <w:bookmarkStart w:id="327" w:name="_Toc391649296"/>
      <w:bookmarkEnd w:id="327"/>
      <w:bookmarkStart w:id="328" w:name="_Toc391647337"/>
      <w:bookmarkEnd w:id="328"/>
      <w:bookmarkStart w:id="329" w:name="_Toc391647902"/>
      <w:bookmarkEnd w:id="329"/>
      <w:bookmarkStart w:id="330" w:name="_Toc391647189"/>
      <w:bookmarkEnd w:id="330"/>
      <w:bookmarkStart w:id="331" w:name="_Toc391715515"/>
      <w:bookmarkEnd w:id="331"/>
      <w:bookmarkStart w:id="332" w:name="_Toc391650097"/>
      <w:bookmarkEnd w:id="332"/>
      <w:bookmarkStart w:id="333" w:name="_Toc391650096"/>
      <w:bookmarkEnd w:id="333"/>
      <w:bookmarkStart w:id="334" w:name="_Toc391654285"/>
      <w:bookmarkEnd w:id="334"/>
      <w:bookmarkStart w:id="335" w:name="_Toc391650119"/>
      <w:bookmarkEnd w:id="335"/>
      <w:bookmarkStart w:id="336" w:name="_Toc391647882"/>
      <w:bookmarkEnd w:id="336"/>
      <w:bookmarkStart w:id="337" w:name="_Toc391654306"/>
      <w:bookmarkEnd w:id="337"/>
      <w:bookmarkStart w:id="338" w:name="_Toc391649326"/>
      <w:bookmarkEnd w:id="338"/>
      <w:bookmarkStart w:id="339" w:name="_Toc391715516"/>
      <w:bookmarkEnd w:id="339"/>
      <w:bookmarkStart w:id="340" w:name="_Toc391650069"/>
      <w:bookmarkEnd w:id="340"/>
      <w:bookmarkStart w:id="341" w:name="_Toc391649522"/>
      <w:bookmarkEnd w:id="341"/>
      <w:bookmarkStart w:id="342" w:name="_Toc391650048"/>
      <w:bookmarkEnd w:id="342"/>
      <w:bookmarkStart w:id="343" w:name="_Toc391650050"/>
      <w:bookmarkEnd w:id="343"/>
      <w:bookmarkStart w:id="344" w:name="_Toc391649323"/>
      <w:bookmarkEnd w:id="344"/>
      <w:bookmarkStart w:id="345" w:name="_Toc391649521"/>
      <w:bookmarkEnd w:id="345"/>
      <w:bookmarkStart w:id="346" w:name="_Toc391650117"/>
      <w:bookmarkEnd w:id="346"/>
      <w:bookmarkStart w:id="347" w:name="_Toc391647191"/>
      <w:bookmarkEnd w:id="347"/>
      <w:bookmarkStart w:id="348" w:name="_Toc391647192"/>
      <w:bookmarkEnd w:id="348"/>
      <w:bookmarkStart w:id="349" w:name="_Toc391647170"/>
      <w:bookmarkEnd w:id="349"/>
      <w:bookmarkStart w:id="350" w:name="_Toc391654287"/>
      <w:bookmarkEnd w:id="350"/>
      <w:bookmarkStart w:id="351" w:name="_Toc391649343"/>
      <w:bookmarkEnd w:id="351"/>
      <w:bookmarkStart w:id="352" w:name="_Toc391647904"/>
      <w:bookmarkEnd w:id="352"/>
      <w:bookmarkStart w:id="353" w:name="_Toc391715517"/>
      <w:bookmarkEnd w:id="353"/>
      <w:bookmarkStart w:id="354" w:name="_Toc391649325"/>
      <w:bookmarkEnd w:id="354"/>
      <w:bookmarkStart w:id="355" w:name="_Toc391647172"/>
      <w:bookmarkEnd w:id="355"/>
      <w:bookmarkStart w:id="356" w:name="_Toc391649345"/>
      <w:bookmarkEnd w:id="356"/>
      <w:bookmarkStart w:id="357" w:name="_Toc391647885"/>
      <w:bookmarkEnd w:id="357"/>
      <w:bookmarkStart w:id="358" w:name="_Toc391715537"/>
      <w:bookmarkEnd w:id="358"/>
      <w:bookmarkStart w:id="359" w:name="_Toc391715519"/>
      <w:bookmarkEnd w:id="359"/>
      <w:bookmarkStart w:id="360" w:name="_Toc391647884"/>
      <w:bookmarkEnd w:id="360"/>
      <w:bookmarkStart w:id="361" w:name="_Toc391649523"/>
      <w:bookmarkEnd w:id="361"/>
      <w:bookmarkStart w:id="362" w:name="_Toc391715521"/>
      <w:bookmarkEnd w:id="362"/>
      <w:bookmarkStart w:id="363" w:name="_Toc391649740"/>
      <w:bookmarkEnd w:id="363"/>
      <w:bookmarkStart w:id="364" w:name="_Toc391647171"/>
      <w:bookmarkEnd w:id="364"/>
      <w:bookmarkStart w:id="365" w:name="_Toc391647320"/>
      <w:bookmarkEnd w:id="365"/>
      <w:bookmarkStart w:id="366" w:name="_Toc391654307"/>
      <w:bookmarkEnd w:id="366"/>
      <w:bookmarkStart w:id="367" w:name="_Toc391647317"/>
      <w:bookmarkEnd w:id="367"/>
      <w:bookmarkStart w:id="368" w:name="_Toc391654292"/>
      <w:bookmarkEnd w:id="368"/>
      <w:bookmarkStart w:id="369" w:name="_Toc391649760"/>
      <w:bookmarkEnd w:id="369"/>
      <w:bookmarkStart w:id="370" w:name="_Toc391649275"/>
      <w:bookmarkEnd w:id="370"/>
      <w:bookmarkStart w:id="371" w:name="_Toc391649743"/>
      <w:bookmarkEnd w:id="371"/>
      <w:bookmarkStart w:id="372" w:name="_Toc391654286"/>
      <w:bookmarkEnd w:id="372"/>
      <w:bookmarkStart w:id="373" w:name="_Toc391654308"/>
      <w:bookmarkEnd w:id="373"/>
      <w:bookmarkStart w:id="374" w:name="_Toc391650071"/>
      <w:bookmarkEnd w:id="374"/>
      <w:bookmarkStart w:id="375" w:name="_Toc391647316"/>
      <w:bookmarkEnd w:id="375"/>
      <w:bookmarkStart w:id="376" w:name="_Toc391649328"/>
      <w:bookmarkEnd w:id="376"/>
      <w:bookmarkStart w:id="377" w:name="_Toc391649741"/>
      <w:bookmarkEnd w:id="377"/>
      <w:bookmarkStart w:id="378" w:name="_Toc391649742"/>
      <w:bookmarkEnd w:id="378"/>
      <w:bookmarkStart w:id="379" w:name="_Toc391649503"/>
      <w:bookmarkEnd w:id="379"/>
      <w:bookmarkStart w:id="380" w:name="_Toc391647321"/>
      <w:bookmarkEnd w:id="380"/>
      <w:bookmarkStart w:id="381" w:name="_Toc391649283"/>
      <w:bookmarkEnd w:id="381"/>
      <w:bookmarkStart w:id="382" w:name="_Toc391650099"/>
      <w:bookmarkEnd w:id="382"/>
      <w:bookmarkStart w:id="383" w:name="_Toc391649762"/>
      <w:bookmarkEnd w:id="383"/>
      <w:bookmarkStart w:id="384" w:name="_Toc391647174"/>
      <w:bookmarkEnd w:id="384"/>
      <w:bookmarkStart w:id="385" w:name="_Toc391649277"/>
      <w:bookmarkEnd w:id="385"/>
      <w:bookmarkStart w:id="386" w:name="_Toc448828694"/>
      <w:bookmarkStart w:id="387" w:name="_Toc457979127"/>
      <w:bookmarkStart w:id="388" w:name="_Toc455543289"/>
      <w:bookmarkStart w:id="389" w:name="_Toc146182538"/>
      <w:bookmarkStart w:id="390" w:name="_Toc114253693"/>
      <w:bookmarkStart w:id="391" w:name="_Toc457986926"/>
      <w:bookmarkStart w:id="392" w:name="_Toc459534976"/>
      <w:bookmarkStart w:id="393" w:name="_Toc155114612"/>
      <w:bookmarkStart w:id="394" w:name="_Toc482581219"/>
      <w:bookmarkStart w:id="395" w:name="_Toc455373921"/>
      <w:bookmarkStart w:id="396" w:name="_Toc241912000"/>
      <w:bookmarkStart w:id="397" w:name="_Toc211610015"/>
      <w:r>
        <w:rPr>
          <w:rFonts w:hint="eastAsia" w:ascii="宋体" w:hAnsi="宋体" w:eastAsia="宋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宋体" w:hAnsi="宋体" w:eastAsia="宋体"/>
          <w:b/>
          <w:sz w:val="21"/>
          <w:szCs w:val="21"/>
        </w:rPr>
        <w:t xml:space="preserve"> 技术服务内容</w:t>
      </w:r>
      <w:bookmarkEnd w:id="397"/>
    </w:p>
    <w:p w14:paraId="75B550F7">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bookmarkStart w:id="398" w:name="_Toc283142574"/>
      <w:r>
        <w:rPr>
          <w:rFonts w:hint="eastAsia" w:ascii="宋体" w:hAnsi="宋体" w:cs="Segoe UI"/>
          <w:b/>
          <w:bCs/>
          <w:color w:val="000000" w:themeColor="text1"/>
          <w:kern w:val="0"/>
          <w:szCs w:val="21"/>
          <w14:textFill>
            <w14:solidFill>
              <w14:schemeClr w14:val="tx1"/>
            </w14:solidFill>
          </w14:textFill>
        </w:rPr>
        <w:t>1.1 内容概述：</w:t>
      </w:r>
    </w:p>
    <w:p w14:paraId="4D2C329B">
      <w:pPr>
        <w:pStyle w:val="31"/>
        <w:spacing w:after="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招标方提供的技术标准，交付“变电站直流系统充电屏一体化检测装置”1套，加工完成后的仪器应经第三方计量检定机构检定合格，出具第三方检测报告。同时需配合完成相关专利申请，提供项目相关专利材料。</w:t>
      </w:r>
    </w:p>
    <w:p w14:paraId="4208EF3E">
      <w:pPr>
        <w:pStyle w:val="31"/>
        <w:spacing w:after="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旨在开发“变电站直流系统充电屏一体化检测装置”，通过“五模块协同架构”设计、核心算法创新及智能化功能集成等技术原理，解决现有直流系统检测中存在的功能单一、抗干扰能力弱、人工依赖度高、预警滞后等问题。通过一体化集成母联开关状态检测、蓄电池组脱离识别、蓄电池健康状态评估及过放电预警功能，配备自适应调整与深度自诊断机制，实现检测流程自动化、数据采集精准化、故障预警超前化，有效提升变电站直流系统运维工作的安全性、可靠性和效率，降低劳动强度，减少电网运行风险。</w:t>
      </w:r>
    </w:p>
    <w:p w14:paraId="0D9E1BF8">
      <w:pPr>
        <w:widowControl/>
        <w:shd w:val="clear" w:color="auto" w:fill="FDFDFE"/>
        <w:tabs>
          <w:tab w:val="left" w:pos="312"/>
        </w:tabs>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 xml:space="preserve">1.2 </w:t>
      </w:r>
      <w:r>
        <w:rPr>
          <w:rFonts w:ascii="宋体" w:hAnsi="宋体" w:cs="Segoe UI"/>
          <w:b/>
          <w:bCs/>
          <w:color w:val="000000" w:themeColor="text1"/>
          <w:kern w:val="0"/>
          <w:szCs w:val="21"/>
          <w14:textFill>
            <w14:solidFill>
              <w14:schemeClr w14:val="tx1"/>
            </w14:solidFill>
          </w14:textFill>
        </w:rPr>
        <w:t>功能</w:t>
      </w:r>
      <w:r>
        <w:rPr>
          <w:rFonts w:hint="eastAsia" w:ascii="宋体" w:hAnsi="宋体" w:cs="Segoe UI"/>
          <w:b/>
          <w:bCs/>
          <w:color w:val="000000" w:themeColor="text1"/>
          <w:kern w:val="0"/>
          <w:szCs w:val="21"/>
          <w14:textFill>
            <w14:solidFill>
              <w14:schemeClr w14:val="tx1"/>
            </w14:solidFill>
          </w14:textFill>
        </w:rPr>
        <w:t>要求</w:t>
      </w:r>
      <w:r>
        <w:rPr>
          <w:rFonts w:ascii="宋体" w:hAnsi="宋体" w:cs="Segoe UI"/>
          <w:color w:val="000000" w:themeColor="text1"/>
          <w:kern w:val="0"/>
          <w:szCs w:val="21"/>
          <w14:textFill>
            <w14:solidFill>
              <w14:schemeClr w14:val="tx1"/>
            </w14:solidFill>
          </w14:textFill>
        </w:rPr>
        <w:t>：</w:t>
      </w:r>
    </w:p>
    <w:p w14:paraId="1D71BEE2">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母联开关状态检测功能：可精准采集母联开关两侧直流电压，通过去噪处理与同步性量化分析，实现分合闸状态、合闸到位情况及极性一致性的判断，响应时间≤500ms；</w:t>
      </w:r>
    </w:p>
    <w:p w14:paraId="01512DA4">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蓄电池组脱离识别功能：通过动态阻抗计算、电流阈值判断与时间窗验证的三重逻辑，有效区分真实脱离与瞬时断电，误报率≤0.1%；</w:t>
      </w:r>
    </w:p>
    <w:p w14:paraId="6D3C2099">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蓄电池健康状态评估功能：融合电压、电流参数构建SOH评估模型，实现蓄电池早期劣化预警；</w:t>
      </w:r>
    </w:p>
    <w:p w14:paraId="7C80C212">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过放电风险预警功能：基于SOH值进行分级预警，预警（SOH 0.6-0.8）与告警（SOH＜0.6）分级明确，超前预警时间≥30分钟；</w:t>
      </w:r>
    </w:p>
    <w:p w14:paraId="7FB0EE4C">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双操作模式功能：支持手动触发单次检测（耗时≤10秒）与自动周期检测，自动模式下可根据系统状态自适应调整检测周期（1-60分钟范围）；</w:t>
      </w:r>
    </w:p>
    <w:p w14:paraId="4D99825C">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深度自诊断功能：具备元件级故障定位能力，故障定位准确率≥99.5%，支持轻微故障自恢复，严重故障锁定对应功能并提示故障代码；</w:t>
      </w:r>
    </w:p>
    <w:p w14:paraId="3E553EBA">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人机交互与通信功能：配备触控屏实时显示检测数据与故障信息；</w:t>
      </w:r>
    </w:p>
    <w:p w14:paraId="08D8BF78">
      <w:pPr>
        <w:widowControl/>
        <w:shd w:val="clear" w:color="auto" w:fill="FDFDFE"/>
        <w:tabs>
          <w:tab w:val="left" w:pos="312"/>
        </w:tabs>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1.3 技术参数</w:t>
      </w:r>
      <w:r>
        <w:rPr>
          <w:rFonts w:hint="eastAsia" w:ascii="宋体" w:hAnsi="宋体" w:cs="Segoe UI"/>
          <w:color w:val="000000" w:themeColor="text1"/>
          <w:kern w:val="0"/>
          <w:szCs w:val="21"/>
          <w14:textFill>
            <w14:solidFill>
              <w14:schemeClr w14:val="tx1"/>
            </w14:solidFill>
          </w14:textFill>
        </w:rPr>
        <w:t>：</w:t>
      </w:r>
    </w:p>
    <w:tbl>
      <w:tblPr>
        <w:tblStyle w:val="84"/>
        <w:tblW w:w="0" w:type="auto"/>
        <w:tblInd w:w="6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78"/>
        <w:gridCol w:w="7018"/>
      </w:tblGrid>
      <w:tr w14:paraId="6EE4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78" w:type="dxa"/>
            <w:tcMar>
              <w:top w:w="60" w:type="dxa"/>
              <w:left w:w="120" w:type="dxa"/>
              <w:bottom w:w="30" w:type="dxa"/>
              <w:right w:w="120" w:type="dxa"/>
            </w:tcMar>
          </w:tcPr>
          <w:p w14:paraId="758E55A0">
            <w:pPr>
              <w:spacing w:before="120" w:after="120" w:line="288" w:lineRule="auto"/>
              <w:ind w:left="0"/>
              <w:jc w:val="left"/>
            </w:pPr>
            <w:r>
              <w:rPr>
                <w:rFonts w:ascii="Arial" w:hAnsi="Arial" w:eastAsia="等线" w:cs="Arial"/>
                <w:sz w:val="22"/>
              </w:rPr>
              <w:t>类别</w:t>
            </w:r>
          </w:p>
        </w:tc>
        <w:tc>
          <w:tcPr>
            <w:tcW w:w="7018" w:type="dxa"/>
            <w:tcMar>
              <w:top w:w="60" w:type="dxa"/>
              <w:left w:w="120" w:type="dxa"/>
              <w:bottom w:w="30" w:type="dxa"/>
              <w:right w:w="120" w:type="dxa"/>
            </w:tcMar>
          </w:tcPr>
          <w:p w14:paraId="40BAAF87">
            <w:pPr>
              <w:spacing w:before="120" w:after="120" w:line="288" w:lineRule="auto"/>
              <w:ind w:left="0"/>
              <w:jc w:val="left"/>
            </w:pPr>
            <w:r>
              <w:rPr>
                <w:rFonts w:ascii="Arial" w:hAnsi="Arial" w:eastAsia="等线" w:cs="Arial"/>
                <w:sz w:val="22"/>
              </w:rPr>
              <w:t>具体参数</w:t>
            </w:r>
          </w:p>
        </w:tc>
      </w:tr>
      <w:tr w14:paraId="17BD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78" w:type="dxa"/>
            <w:tcMar>
              <w:top w:w="60" w:type="dxa"/>
              <w:left w:w="120" w:type="dxa"/>
              <w:bottom w:w="30" w:type="dxa"/>
              <w:right w:w="120" w:type="dxa"/>
            </w:tcMar>
          </w:tcPr>
          <w:p w14:paraId="37E60021">
            <w:pPr>
              <w:spacing w:before="120" w:after="120" w:line="288" w:lineRule="auto"/>
              <w:ind w:left="0"/>
              <w:jc w:val="left"/>
            </w:pPr>
            <w:r>
              <w:rPr>
                <w:rFonts w:ascii="Arial" w:hAnsi="Arial" w:eastAsia="等线" w:cs="Arial"/>
                <w:sz w:val="22"/>
              </w:rPr>
              <w:t>电压采集</w:t>
            </w:r>
          </w:p>
        </w:tc>
        <w:tc>
          <w:tcPr>
            <w:tcW w:w="7018" w:type="dxa"/>
            <w:tcMar>
              <w:top w:w="60" w:type="dxa"/>
              <w:left w:w="120" w:type="dxa"/>
              <w:bottom w:w="30" w:type="dxa"/>
              <w:right w:w="120" w:type="dxa"/>
            </w:tcMar>
          </w:tcPr>
          <w:p w14:paraId="764C5B76">
            <w:pPr>
              <w:spacing w:before="120" w:after="120" w:line="288" w:lineRule="auto"/>
              <w:ind w:left="0"/>
              <w:jc w:val="left"/>
            </w:pPr>
            <w:r>
              <w:rPr>
                <w:rFonts w:ascii="Arial" w:hAnsi="Arial" w:eastAsia="等线" w:cs="Arial"/>
                <w:sz w:val="22"/>
              </w:rPr>
              <w:t>量程：0-300V DC，精度：0.</w:t>
            </w:r>
            <w:r>
              <w:rPr>
                <w:rFonts w:hint="eastAsia" w:ascii="Arial" w:hAnsi="Arial" w:eastAsia="等线" w:cs="Arial"/>
                <w:sz w:val="22"/>
                <w:lang w:val="en-US" w:eastAsia="zh-CN"/>
              </w:rPr>
              <w:t>5</w:t>
            </w:r>
            <w:r>
              <w:rPr>
                <w:rFonts w:ascii="Arial" w:hAnsi="Arial" w:eastAsia="等线" w:cs="Arial"/>
                <w:sz w:val="22"/>
              </w:rPr>
              <w:t>级，采样频率：1kHz，温度漂移≤50ppm/℃</w:t>
            </w:r>
          </w:p>
        </w:tc>
      </w:tr>
      <w:tr w14:paraId="4038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78" w:type="dxa"/>
            <w:tcMar>
              <w:top w:w="60" w:type="dxa"/>
              <w:left w:w="120" w:type="dxa"/>
              <w:bottom w:w="30" w:type="dxa"/>
              <w:right w:w="120" w:type="dxa"/>
            </w:tcMar>
          </w:tcPr>
          <w:p w14:paraId="2DAFA59B">
            <w:pPr>
              <w:spacing w:before="120" w:after="120" w:line="288" w:lineRule="auto"/>
              <w:ind w:left="0"/>
              <w:jc w:val="left"/>
            </w:pPr>
            <w:r>
              <w:rPr>
                <w:rFonts w:ascii="Arial" w:hAnsi="Arial" w:eastAsia="等线" w:cs="Arial"/>
                <w:sz w:val="22"/>
              </w:rPr>
              <w:t>电流采集</w:t>
            </w:r>
          </w:p>
        </w:tc>
        <w:tc>
          <w:tcPr>
            <w:tcW w:w="7018" w:type="dxa"/>
            <w:tcMar>
              <w:top w:w="60" w:type="dxa"/>
              <w:left w:w="120" w:type="dxa"/>
              <w:bottom w:w="30" w:type="dxa"/>
              <w:right w:w="120" w:type="dxa"/>
            </w:tcMar>
          </w:tcPr>
          <w:p w14:paraId="185FFCD7">
            <w:pPr>
              <w:spacing w:before="120" w:after="120" w:line="288" w:lineRule="auto"/>
              <w:ind w:left="0"/>
              <w:jc w:val="left"/>
            </w:pPr>
            <w:r>
              <w:rPr>
                <w:rFonts w:ascii="Arial" w:hAnsi="Arial" w:eastAsia="等线" w:cs="Arial"/>
                <w:sz w:val="22"/>
              </w:rPr>
              <w:t>量程：0-100A DC，精度：0.</w:t>
            </w:r>
            <w:r>
              <w:rPr>
                <w:rFonts w:hint="eastAsia" w:ascii="Arial" w:hAnsi="Arial" w:eastAsia="等线" w:cs="Arial"/>
                <w:sz w:val="22"/>
                <w:lang w:val="en-US" w:eastAsia="zh-CN"/>
              </w:rPr>
              <w:t>5</w:t>
            </w:r>
            <w:r>
              <w:rPr>
                <w:rFonts w:ascii="Arial" w:hAnsi="Arial" w:eastAsia="等线" w:cs="Arial"/>
                <w:sz w:val="22"/>
              </w:rPr>
              <w:t>级，响应时间≤1μs，支持开口式安装</w:t>
            </w:r>
          </w:p>
        </w:tc>
      </w:tr>
      <w:tr w14:paraId="55C8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78" w:type="dxa"/>
            <w:tcMar>
              <w:top w:w="60" w:type="dxa"/>
              <w:left w:w="120" w:type="dxa"/>
              <w:bottom w:w="30" w:type="dxa"/>
              <w:right w:w="120" w:type="dxa"/>
            </w:tcMar>
          </w:tcPr>
          <w:p w14:paraId="2B909DA4">
            <w:pPr>
              <w:spacing w:before="120" w:after="120" w:line="288" w:lineRule="auto"/>
              <w:ind w:left="0"/>
              <w:jc w:val="left"/>
            </w:pPr>
            <w:r>
              <w:rPr>
                <w:rFonts w:ascii="Arial" w:hAnsi="Arial" w:eastAsia="等线" w:cs="Arial"/>
                <w:sz w:val="22"/>
              </w:rPr>
              <w:t>触控屏</w:t>
            </w:r>
          </w:p>
        </w:tc>
        <w:tc>
          <w:tcPr>
            <w:tcW w:w="7018" w:type="dxa"/>
            <w:tcMar>
              <w:top w:w="60" w:type="dxa"/>
              <w:left w:w="120" w:type="dxa"/>
              <w:bottom w:w="30" w:type="dxa"/>
              <w:right w:w="120" w:type="dxa"/>
            </w:tcMar>
          </w:tcPr>
          <w:p w14:paraId="59D48B62">
            <w:pPr>
              <w:spacing w:before="120" w:after="120" w:line="288" w:lineRule="auto"/>
              <w:ind w:left="0"/>
              <w:jc w:val="left"/>
            </w:pPr>
            <w:r>
              <w:rPr>
                <w:rFonts w:ascii="Arial" w:hAnsi="Arial" w:eastAsia="等线" w:cs="Arial"/>
                <w:sz w:val="22"/>
              </w:rPr>
              <w:t>尺寸≥7英寸，分辨率≥800×480，支持戴手套操作，响应时间≤200ms</w:t>
            </w:r>
          </w:p>
        </w:tc>
      </w:tr>
      <w:tr w14:paraId="58B87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178" w:type="dxa"/>
            <w:tcMar>
              <w:top w:w="60" w:type="dxa"/>
              <w:left w:w="120" w:type="dxa"/>
              <w:bottom w:w="30" w:type="dxa"/>
              <w:right w:w="120" w:type="dxa"/>
            </w:tcMar>
          </w:tcPr>
          <w:p w14:paraId="0812DFF1">
            <w:pPr>
              <w:spacing w:before="120" w:after="120" w:line="288" w:lineRule="auto"/>
              <w:ind w:left="0"/>
              <w:jc w:val="left"/>
            </w:pPr>
            <w:r>
              <w:rPr>
                <w:rFonts w:ascii="Arial" w:hAnsi="Arial" w:eastAsia="等线" w:cs="Arial"/>
                <w:sz w:val="22"/>
              </w:rPr>
              <w:t>供电适配</w:t>
            </w:r>
          </w:p>
        </w:tc>
        <w:tc>
          <w:tcPr>
            <w:tcW w:w="7018" w:type="dxa"/>
            <w:tcMar>
              <w:top w:w="60" w:type="dxa"/>
              <w:left w:w="120" w:type="dxa"/>
              <w:bottom w:w="30" w:type="dxa"/>
              <w:right w:w="120" w:type="dxa"/>
            </w:tcMar>
          </w:tcPr>
          <w:p w14:paraId="2C20593C">
            <w:pPr>
              <w:spacing w:before="120" w:after="120" w:line="288" w:lineRule="auto"/>
              <w:ind w:left="0"/>
              <w:jc w:val="left"/>
            </w:pPr>
            <w:r>
              <w:rPr>
                <w:rFonts w:ascii="Arial" w:hAnsi="Arial" w:eastAsia="等线" w:cs="Arial"/>
                <w:sz w:val="22"/>
              </w:rPr>
              <w:t>输入：110V/220V DC自适应</w:t>
            </w:r>
          </w:p>
        </w:tc>
      </w:tr>
    </w:tbl>
    <w:p w14:paraId="7B676CA5">
      <w:pPr>
        <w:widowControl/>
        <w:shd w:val="clear" w:color="auto" w:fill="FDFDFE"/>
        <w:tabs>
          <w:tab w:val="left" w:pos="312"/>
        </w:tabs>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 xml:space="preserve">1.4 </w:t>
      </w:r>
      <w:r>
        <w:rPr>
          <w:rFonts w:ascii="宋体" w:hAnsi="宋体" w:cs="Segoe UI"/>
          <w:b/>
          <w:bCs/>
          <w:color w:val="000000" w:themeColor="text1"/>
          <w:kern w:val="0"/>
          <w:szCs w:val="21"/>
          <w14:textFill>
            <w14:solidFill>
              <w14:schemeClr w14:val="tx1"/>
            </w14:solidFill>
          </w14:textFill>
        </w:rPr>
        <w:t>安全性</w:t>
      </w:r>
      <w:r>
        <w:rPr>
          <w:rFonts w:hint="eastAsia" w:ascii="宋体" w:hAnsi="宋体" w:cs="Segoe UI"/>
          <w:b/>
          <w:bCs/>
          <w:color w:val="000000" w:themeColor="text1"/>
          <w:kern w:val="0"/>
          <w:szCs w:val="21"/>
          <w14:textFill>
            <w14:solidFill>
              <w14:schemeClr w14:val="tx1"/>
            </w14:solidFill>
          </w14:textFill>
        </w:rPr>
        <w:t>能</w:t>
      </w:r>
      <w:r>
        <w:rPr>
          <w:rFonts w:hint="eastAsia" w:ascii="宋体" w:hAnsi="宋体" w:cs="Segoe UI"/>
          <w:color w:val="000000" w:themeColor="text1"/>
          <w:kern w:val="0"/>
          <w:szCs w:val="21"/>
          <w14:textFill>
            <w14:solidFill>
              <w14:schemeClr w14:val="tx1"/>
            </w14:solidFill>
          </w14:textFill>
        </w:rPr>
        <w:t>：</w:t>
      </w:r>
    </w:p>
    <w:p w14:paraId="469669DE">
      <w:pPr>
        <w:widowControl/>
        <w:shd w:val="clear" w:color="auto" w:fill="FDFDFE"/>
        <w:tabs>
          <w:tab w:val="left" w:pos="312"/>
        </w:tabs>
        <w:spacing w:before="90" w:line="360" w:lineRule="auto"/>
        <w:ind w:firstLine="420"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装置的设计需考虑操作人员</w:t>
      </w:r>
      <w:r>
        <w:rPr>
          <w:rFonts w:ascii="宋体" w:hAnsi="宋体" w:cs="Segoe UI"/>
          <w:color w:val="000000" w:themeColor="text1"/>
          <w:kern w:val="0"/>
          <w:szCs w:val="21"/>
          <w14:textFill>
            <w14:solidFill>
              <w14:schemeClr w14:val="tx1"/>
            </w14:solidFill>
          </w14:textFill>
        </w:rPr>
        <w:t>在</w:t>
      </w:r>
      <w:r>
        <w:rPr>
          <w:rFonts w:hint="eastAsia" w:ascii="宋体" w:hAnsi="宋体" w:cs="Segoe UI"/>
          <w:color w:val="000000" w:themeColor="text1"/>
          <w:kern w:val="0"/>
          <w:szCs w:val="21"/>
          <w14:textFill>
            <w14:solidFill>
              <w14:schemeClr w14:val="tx1"/>
            </w14:solidFill>
          </w14:textFill>
        </w:rPr>
        <w:t>对装置</w:t>
      </w:r>
      <w:r>
        <w:rPr>
          <w:rFonts w:ascii="宋体" w:hAnsi="宋体" w:cs="Segoe UI"/>
          <w:color w:val="000000" w:themeColor="text1"/>
          <w:kern w:val="0"/>
          <w:szCs w:val="21"/>
          <w14:textFill>
            <w14:solidFill>
              <w14:schemeClr w14:val="tx1"/>
            </w14:solidFill>
          </w14:textFill>
        </w:rPr>
        <w:t>操作过程中不会对操作人员</w:t>
      </w:r>
      <w:r>
        <w:rPr>
          <w:rFonts w:hint="eastAsia" w:ascii="宋体" w:hAnsi="宋体" w:cs="Segoe UI"/>
          <w:color w:val="000000" w:themeColor="text1"/>
          <w:kern w:val="0"/>
          <w:szCs w:val="21"/>
          <w14:textFill>
            <w14:solidFill>
              <w14:schemeClr w14:val="tx1"/>
            </w14:solidFill>
          </w14:textFill>
        </w:rPr>
        <w:t>及现场设备</w:t>
      </w:r>
      <w:r>
        <w:rPr>
          <w:rFonts w:ascii="宋体" w:hAnsi="宋体" w:cs="Segoe UI"/>
          <w:color w:val="000000" w:themeColor="text1"/>
          <w:kern w:val="0"/>
          <w:szCs w:val="21"/>
          <w14:textFill>
            <w14:solidFill>
              <w14:schemeClr w14:val="tx1"/>
            </w14:solidFill>
          </w14:textFill>
        </w:rPr>
        <w:t>造成伤害</w:t>
      </w:r>
      <w:r>
        <w:rPr>
          <w:rFonts w:hint="eastAsia" w:ascii="宋体" w:hAnsi="宋体" w:cs="Segoe UI"/>
          <w:color w:val="000000" w:themeColor="text1"/>
          <w:kern w:val="0"/>
          <w:szCs w:val="21"/>
          <w14:textFill>
            <w14:solidFill>
              <w14:schemeClr w14:val="tx1"/>
            </w14:solidFill>
          </w14:textFill>
        </w:rPr>
        <w:t>。</w:t>
      </w:r>
    </w:p>
    <w:p w14:paraId="21376603">
      <w:pPr>
        <w:widowControl/>
        <w:shd w:val="clear" w:color="auto" w:fill="FDFDFE"/>
        <w:spacing w:before="90" w:line="360" w:lineRule="auto"/>
        <w:ind w:firstLine="422" w:firstLineChars="200"/>
        <w:jc w:val="left"/>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1.5 服务要求</w:t>
      </w:r>
    </w:p>
    <w:p w14:paraId="65514F63">
      <w:pPr>
        <w:pStyle w:val="334"/>
        <w:widowControl/>
        <w:numPr>
          <w:ilvl w:val="0"/>
          <w:numId w:val="3"/>
        </w:numPr>
        <w:shd w:val="clear" w:color="auto" w:fill="FDFDFE"/>
        <w:spacing w:before="90" w:line="360" w:lineRule="auto"/>
        <w:ind w:firstLineChars="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售前服务:供应商需提供详细的产品说明和技术参数，以便采购方了解产品的性能和特点。</w:t>
      </w:r>
    </w:p>
    <w:p w14:paraId="1A0CF495">
      <w:pPr>
        <w:pStyle w:val="334"/>
        <w:widowControl/>
        <w:numPr>
          <w:ilvl w:val="0"/>
          <w:numId w:val="3"/>
        </w:numPr>
        <w:shd w:val="clear" w:color="auto" w:fill="FDFDFE"/>
        <w:spacing w:before="90" w:line="360" w:lineRule="auto"/>
        <w:ind w:firstLineChars="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售后服务:供应商需提供完善的售后服务，包括产品安装、调试、维修和保养等。在装置使用过程中，如遇到问题，供应商需及时响应并解决。</w:t>
      </w:r>
    </w:p>
    <w:p w14:paraId="3B569E0C">
      <w:pPr>
        <w:widowControl/>
        <w:shd w:val="clear" w:color="auto" w:fill="FDFDFE"/>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ascii="宋体" w:hAnsi="宋体" w:cs="Segoe UI"/>
          <w:b/>
          <w:bCs/>
          <w:color w:val="000000" w:themeColor="text1"/>
          <w:kern w:val="0"/>
          <w:szCs w:val="21"/>
          <w14:textFill>
            <w14:solidFill>
              <w14:schemeClr w14:val="tx1"/>
            </w14:solidFill>
          </w14:textFill>
        </w:rPr>
        <w:t xml:space="preserve">6 </w:t>
      </w:r>
      <w:r>
        <w:rPr>
          <w:rFonts w:hint="eastAsia" w:ascii="宋体" w:hAnsi="宋体" w:cs="Segoe UI"/>
          <w:b/>
          <w:bCs/>
          <w:color w:val="000000" w:themeColor="text1"/>
          <w:kern w:val="0"/>
          <w:szCs w:val="21"/>
          <w14:textFill>
            <w14:solidFill>
              <w14:schemeClr w14:val="tx1"/>
            </w14:solidFill>
          </w14:textFill>
        </w:rPr>
        <w:t>培训服务:</w:t>
      </w:r>
      <w:r>
        <w:rPr>
          <w:rFonts w:hint="eastAsia" w:ascii="宋体" w:hAnsi="宋体" w:cs="Segoe UI"/>
          <w:color w:val="000000" w:themeColor="text1"/>
          <w:kern w:val="0"/>
          <w:szCs w:val="21"/>
          <w14:textFill>
            <w14:solidFill>
              <w14:schemeClr w14:val="tx1"/>
            </w14:solidFill>
          </w14:textFill>
        </w:rPr>
        <w:t>供应商需为采购方提供操作人员的培训服务，确保操作人员能够熟练掌握装置的使用方法和维护技能。</w:t>
      </w:r>
    </w:p>
    <w:p w14:paraId="60C86A8C">
      <w:pPr>
        <w:widowControl/>
        <w:shd w:val="clear" w:color="auto" w:fill="FDFDFE"/>
        <w:spacing w:before="90" w:line="360" w:lineRule="auto"/>
        <w:ind w:firstLine="422" w:firstLineChars="200"/>
        <w:jc w:val="left"/>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ascii="宋体" w:hAnsi="宋体" w:cs="Segoe UI"/>
          <w:b/>
          <w:bCs/>
          <w:color w:val="000000" w:themeColor="text1"/>
          <w:kern w:val="0"/>
          <w:szCs w:val="21"/>
          <w14:textFill>
            <w14:solidFill>
              <w14:schemeClr w14:val="tx1"/>
            </w14:solidFill>
          </w14:textFill>
        </w:rPr>
        <w:t>7</w:t>
      </w:r>
      <w:r>
        <w:rPr>
          <w:rFonts w:hint="eastAsia" w:ascii="宋体" w:hAnsi="宋体" w:cs="Segoe UI"/>
          <w:b/>
          <w:bCs/>
          <w:color w:val="000000" w:themeColor="text1"/>
          <w:kern w:val="0"/>
          <w:szCs w:val="21"/>
          <w14:textFill>
            <w14:solidFill>
              <w14:schemeClr w14:val="tx1"/>
            </w14:solidFill>
          </w14:textFill>
        </w:rPr>
        <w:t>投标要求</w:t>
      </w:r>
    </w:p>
    <w:p w14:paraId="03AC7892">
      <w:pPr>
        <w:widowControl/>
        <w:shd w:val="clear" w:color="auto" w:fill="FDFDFE"/>
        <w:spacing w:before="90" w:line="360" w:lineRule="auto"/>
        <w:ind w:firstLine="420"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1）投标人需具备相关的设计和加工资质，以及丰富的类似项目经验（提供业绩证明，包括合同、发票等）</w:t>
      </w:r>
    </w:p>
    <w:p w14:paraId="0F8F4120">
      <w:pPr>
        <w:widowControl/>
        <w:shd w:val="clear" w:color="auto" w:fill="FDFDFE"/>
        <w:spacing w:before="90" w:line="360" w:lineRule="auto"/>
        <w:ind w:firstLine="420"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2）投标人需承诺遵守本招标文件中的各项要求和标准，确保提供的产品和服务符合采购方的期望和要求。</w:t>
      </w:r>
    </w:p>
    <w:p w14:paraId="3C211EB4">
      <w:pPr>
        <w:pStyle w:val="2"/>
        <w:spacing w:line="360" w:lineRule="auto"/>
        <w:ind w:firstLine="422"/>
        <w:rPr>
          <w:rFonts w:hint="eastAsia" w:ascii="宋体" w:hAnsi="宋体" w:eastAsia="宋体"/>
          <w:b/>
          <w:sz w:val="21"/>
          <w:szCs w:val="21"/>
        </w:rPr>
      </w:pPr>
      <w:bookmarkStart w:id="399" w:name="_Toc211610016"/>
      <w:r>
        <w:rPr>
          <w:rFonts w:hint="eastAsia" w:ascii="宋体" w:hAnsi="宋体" w:eastAsia="宋体"/>
          <w:b/>
          <w:sz w:val="21"/>
          <w:szCs w:val="21"/>
        </w:rPr>
        <w:t>2 使用条件</w:t>
      </w:r>
      <w:bookmarkEnd w:id="399"/>
    </w:p>
    <w:p w14:paraId="5DA3BDA6">
      <w:pPr>
        <w:pStyle w:val="109"/>
        <w:numPr>
          <w:ilvl w:val="0"/>
          <w:numId w:val="4"/>
        </w:numPr>
        <w:snapToGrid w:val="0"/>
        <w:spacing w:line="360" w:lineRule="auto"/>
        <w:ind w:firstLineChars="0"/>
        <w:rPr>
          <w:rFonts w:hint="eastAsia" w:ascii="宋体" w:hAnsi="宋体" w:eastAsia="宋体"/>
          <w:color w:val="000000"/>
          <w:szCs w:val="21"/>
        </w:rPr>
      </w:pPr>
      <w:r>
        <w:rPr>
          <w:rFonts w:hint="eastAsia" w:ascii="宋体" w:hAnsi="宋体" w:eastAsia="宋体"/>
          <w:color w:val="000000"/>
          <w:szCs w:val="21"/>
        </w:rPr>
        <w:t>周围空气温度：</w:t>
      </w:r>
    </w:p>
    <w:p w14:paraId="6DAF7679">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最高温度：</w:t>
      </w:r>
      <w:r>
        <w:rPr>
          <w:rFonts w:hint="eastAsia" w:ascii="宋体" w:hAnsi="宋体" w:eastAsia="宋体"/>
          <w:color w:val="000000"/>
          <w:szCs w:val="21"/>
        </w:rPr>
        <w:t>50℃</w:t>
      </w:r>
      <w:r>
        <w:rPr>
          <w:rFonts w:ascii="宋体" w:hAnsi="宋体" w:eastAsia="宋体"/>
          <w:color w:val="000000"/>
          <w:szCs w:val="21"/>
        </w:rPr>
        <w:t>；</w:t>
      </w:r>
    </w:p>
    <w:p w14:paraId="7F60F2BE">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最低</w:t>
      </w:r>
      <w:r>
        <w:rPr>
          <w:rFonts w:hint="eastAsia" w:ascii="宋体" w:hAnsi="宋体" w:eastAsia="宋体"/>
          <w:color w:val="000000"/>
          <w:szCs w:val="21"/>
        </w:rPr>
        <w:t>温度</w:t>
      </w:r>
      <w:r>
        <w:rPr>
          <w:rFonts w:ascii="宋体" w:hAnsi="宋体" w:eastAsia="宋体"/>
          <w:color w:val="000000"/>
          <w:szCs w:val="21"/>
        </w:rPr>
        <w:t>：</w:t>
      </w:r>
      <w:r>
        <w:rPr>
          <w:rFonts w:hint="eastAsia" w:ascii="宋体" w:hAnsi="宋体" w:eastAsia="宋体"/>
          <w:color w:val="000000"/>
          <w:szCs w:val="21"/>
        </w:rPr>
        <w:t>-10℃</w:t>
      </w:r>
      <w:r>
        <w:rPr>
          <w:rFonts w:ascii="宋体" w:hAnsi="宋体" w:eastAsia="宋体"/>
          <w:color w:val="000000"/>
          <w:szCs w:val="21"/>
        </w:rPr>
        <w:t>；</w:t>
      </w:r>
    </w:p>
    <w:p w14:paraId="454D6DB7">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环境</w:t>
      </w:r>
      <w:r>
        <w:rPr>
          <w:rFonts w:hint="eastAsia" w:ascii="宋体" w:hAnsi="宋体" w:eastAsia="宋体"/>
          <w:color w:val="000000"/>
          <w:szCs w:val="21"/>
        </w:rPr>
        <w:t>湿度：</w:t>
      </w:r>
    </w:p>
    <w:p w14:paraId="4676E7B6">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不大于</w:t>
      </w:r>
      <w:r>
        <w:rPr>
          <w:rFonts w:hint="eastAsia" w:ascii="宋体" w:hAnsi="宋体" w:eastAsia="宋体"/>
          <w:color w:val="000000"/>
          <w:szCs w:val="21"/>
        </w:rPr>
        <w:t>90</w:t>
      </w:r>
      <w:r>
        <w:rPr>
          <w:rFonts w:ascii="宋体" w:hAnsi="宋体" w:eastAsia="宋体"/>
          <w:color w:val="000000"/>
          <w:szCs w:val="21"/>
        </w:rPr>
        <w:t>%</w:t>
      </w:r>
      <w:r>
        <w:rPr>
          <w:rFonts w:hint="eastAsia" w:ascii="宋体" w:hAnsi="宋体" w:eastAsia="宋体"/>
          <w:color w:val="000000"/>
          <w:szCs w:val="21"/>
        </w:rPr>
        <w:t>（</w:t>
      </w:r>
      <w:r>
        <w:rPr>
          <w:rFonts w:ascii="宋体" w:hAnsi="宋体" w:eastAsia="宋体"/>
          <w:color w:val="000000"/>
          <w:szCs w:val="21"/>
        </w:rPr>
        <w:t>25</w:t>
      </w:r>
      <w:r>
        <w:rPr>
          <w:rFonts w:hint="eastAsia" w:ascii="宋体" w:hAnsi="宋体" w:eastAsia="宋体"/>
          <w:color w:val="000000"/>
          <w:szCs w:val="21"/>
        </w:rPr>
        <w:t>℃）</w:t>
      </w:r>
      <w:r>
        <w:rPr>
          <w:rFonts w:ascii="宋体" w:hAnsi="宋体" w:eastAsia="宋体"/>
          <w:color w:val="000000"/>
          <w:szCs w:val="21"/>
        </w:rPr>
        <w:t>，无凝露；</w:t>
      </w:r>
    </w:p>
    <w:p w14:paraId="5AA40FFA">
      <w:pPr>
        <w:pStyle w:val="2"/>
        <w:spacing w:line="360" w:lineRule="auto"/>
        <w:ind w:firstLine="422"/>
        <w:rPr>
          <w:rFonts w:hint="eastAsia" w:ascii="宋体" w:hAnsi="宋体" w:eastAsia="宋体"/>
          <w:b/>
          <w:sz w:val="21"/>
          <w:szCs w:val="21"/>
        </w:rPr>
      </w:pPr>
      <w:bookmarkStart w:id="400" w:name="_Toc211610017"/>
      <w:r>
        <w:rPr>
          <w:rFonts w:hint="eastAsia" w:ascii="宋体" w:hAnsi="宋体" w:eastAsia="宋体"/>
          <w:b/>
          <w:sz w:val="21"/>
          <w:szCs w:val="21"/>
        </w:rPr>
        <w:t>3 试验要求</w:t>
      </w:r>
      <w:bookmarkEnd w:id="400"/>
    </w:p>
    <w:p w14:paraId="6305C202">
      <w:pPr>
        <w:pStyle w:val="109"/>
        <w:snapToGrid w:val="0"/>
        <w:spacing w:line="360" w:lineRule="auto"/>
        <w:rPr>
          <w:rFonts w:hint="eastAsia" w:ascii="宋体" w:hAnsi="宋体" w:eastAsia="宋体"/>
          <w:szCs w:val="21"/>
        </w:rPr>
      </w:pPr>
      <w:r>
        <w:rPr>
          <w:rFonts w:ascii="宋体" w:hAnsi="宋体"/>
          <w:szCs w:val="21"/>
        </w:rPr>
        <w:t>出具</w:t>
      </w:r>
      <w:r>
        <w:rPr>
          <w:rFonts w:hint="eastAsia" w:ascii="宋体" w:hAnsi="宋体"/>
          <w:szCs w:val="21"/>
        </w:rPr>
        <w:t>第三方</w:t>
      </w:r>
      <w:r>
        <w:rPr>
          <w:rFonts w:ascii="宋体" w:hAnsi="宋体"/>
          <w:szCs w:val="21"/>
        </w:rPr>
        <w:t>检测报告</w:t>
      </w:r>
      <w:r>
        <w:rPr>
          <w:rFonts w:hint="eastAsia" w:ascii="宋体" w:hAnsi="宋体"/>
          <w:color w:val="000000" w:themeColor="text1"/>
          <w:szCs w:val="21"/>
          <w14:textFill>
            <w14:solidFill>
              <w14:schemeClr w14:val="tx1"/>
            </w14:solidFill>
          </w14:textFill>
        </w:rPr>
        <w:t>。</w:t>
      </w:r>
    </w:p>
    <w:p w14:paraId="6EF0BEE9">
      <w:pPr>
        <w:pStyle w:val="2"/>
        <w:spacing w:line="360" w:lineRule="auto"/>
        <w:ind w:firstLine="422"/>
        <w:rPr>
          <w:rFonts w:hint="eastAsia" w:ascii="宋体" w:hAnsi="宋体" w:eastAsia="宋体"/>
          <w:b/>
          <w:sz w:val="21"/>
          <w:szCs w:val="21"/>
        </w:rPr>
      </w:pPr>
      <w:bookmarkStart w:id="401" w:name="_Toc211610018"/>
      <w:r>
        <w:rPr>
          <w:rFonts w:hint="eastAsia" w:ascii="宋体" w:hAnsi="宋体" w:eastAsia="宋体"/>
          <w:b/>
          <w:sz w:val="21"/>
          <w:szCs w:val="21"/>
        </w:rPr>
        <w:t>4 包装运输安装和质量保证</w:t>
      </w:r>
      <w:bookmarkEnd w:id="401"/>
    </w:p>
    <w:p w14:paraId="24D8D7F9">
      <w:pPr>
        <w:pStyle w:val="3"/>
        <w:numPr>
          <w:ilvl w:val="0"/>
          <w:numId w:val="0"/>
        </w:numPr>
        <w:spacing w:line="360" w:lineRule="auto"/>
        <w:ind w:firstLine="420" w:firstLineChars="200"/>
        <w:rPr>
          <w:rFonts w:hint="eastAsia" w:ascii="宋体" w:hAnsi="宋体" w:eastAsia="宋体"/>
          <w:szCs w:val="21"/>
        </w:rPr>
      </w:pPr>
      <w:bookmarkStart w:id="402" w:name="_Toc211610019"/>
      <w:r>
        <w:rPr>
          <w:rFonts w:hint="eastAsia" w:ascii="宋体" w:hAnsi="宋体" w:eastAsia="宋体"/>
          <w:szCs w:val="21"/>
        </w:rPr>
        <w:t>4.1 包装</w:t>
      </w:r>
      <w:bookmarkEnd w:id="402"/>
    </w:p>
    <w:p w14:paraId="526798C4">
      <w:pPr>
        <w:spacing w:line="360" w:lineRule="auto"/>
        <w:ind w:firstLine="420" w:firstLineChars="200"/>
        <w:rPr>
          <w:rFonts w:hint="eastAsia" w:ascii="宋体" w:hAnsi="宋体"/>
          <w:color w:val="000000"/>
          <w:szCs w:val="21"/>
        </w:rPr>
      </w:pPr>
      <w:r>
        <w:rPr>
          <w:rFonts w:hint="eastAsia" w:ascii="宋体" w:hAnsi="宋体"/>
          <w:color w:val="000000"/>
          <w:szCs w:val="21"/>
        </w:rPr>
        <w:t>1）严格按照精密电子仪器的包装标准进行包装，采用防潮、防震、防静电的多层包装结构，内置缓冲材料固定装置及附件，防止运输过程中移位或损坏；</w:t>
      </w:r>
    </w:p>
    <w:p w14:paraId="54A94E74">
      <w:pPr>
        <w:spacing w:line="360" w:lineRule="auto"/>
        <w:ind w:firstLine="420" w:firstLineChars="200"/>
        <w:rPr>
          <w:rFonts w:hint="eastAsia" w:ascii="宋体" w:hAnsi="宋体"/>
          <w:color w:val="000000"/>
          <w:szCs w:val="21"/>
        </w:rPr>
      </w:pPr>
      <w:r>
        <w:rPr>
          <w:rFonts w:hint="eastAsia" w:ascii="宋体" w:hAnsi="宋体"/>
          <w:color w:val="000000"/>
          <w:szCs w:val="21"/>
        </w:rPr>
        <w:t>2）包装外需清晰标注产品名称、型号、数量、重量、防潮、防震、易碎等警示标识，同时注明收货单位、地址及联系人信息；</w:t>
      </w:r>
    </w:p>
    <w:p w14:paraId="451AC086">
      <w:pPr>
        <w:spacing w:line="360" w:lineRule="auto"/>
        <w:ind w:firstLine="420" w:firstLineChars="200"/>
        <w:rPr>
          <w:rFonts w:hint="eastAsia" w:ascii="宋体" w:hAnsi="宋体"/>
          <w:color w:val="000000"/>
          <w:szCs w:val="21"/>
        </w:rPr>
      </w:pPr>
      <w:r>
        <w:rPr>
          <w:rFonts w:hint="eastAsia" w:ascii="宋体" w:hAnsi="宋体"/>
          <w:color w:val="000000"/>
          <w:szCs w:val="21"/>
        </w:rPr>
        <w:t>3）所有外露接口、传感器探头等需配备专用保护套，防止运输过程中受潮、脏污或损坏；</w:t>
      </w:r>
    </w:p>
    <w:p w14:paraId="182F5270">
      <w:pPr>
        <w:spacing w:line="360" w:lineRule="auto"/>
        <w:ind w:firstLine="420" w:firstLineChars="200"/>
        <w:rPr>
          <w:rFonts w:hint="eastAsia" w:ascii="宋体" w:hAnsi="宋体"/>
          <w:color w:val="000000"/>
          <w:szCs w:val="21"/>
        </w:rPr>
      </w:pPr>
      <w:r>
        <w:rPr>
          <w:rFonts w:hint="eastAsia" w:ascii="宋体" w:hAnsi="宋体"/>
          <w:color w:val="000000"/>
          <w:szCs w:val="21"/>
          <w:lang w:val="en-US" w:eastAsia="zh-CN"/>
        </w:rPr>
        <w:t>4</w:t>
      </w:r>
      <w:r>
        <w:rPr>
          <w:rFonts w:hint="eastAsia" w:ascii="宋体" w:hAnsi="宋体"/>
          <w:color w:val="000000"/>
          <w:szCs w:val="21"/>
        </w:rPr>
        <w:t>）随包装附带装箱清单、产品合格证、使用说明书、安装手册、校准证书等技术资料，资料需单独密封存放。</w:t>
      </w:r>
    </w:p>
    <w:p w14:paraId="48AD408E">
      <w:pPr>
        <w:pStyle w:val="3"/>
        <w:numPr>
          <w:ilvl w:val="0"/>
          <w:numId w:val="0"/>
        </w:numPr>
        <w:spacing w:line="360" w:lineRule="auto"/>
        <w:ind w:firstLine="420" w:firstLineChars="200"/>
        <w:rPr>
          <w:rFonts w:hint="eastAsia" w:ascii="宋体" w:hAnsi="宋体" w:eastAsia="宋体"/>
          <w:szCs w:val="21"/>
        </w:rPr>
      </w:pPr>
      <w:bookmarkStart w:id="403" w:name="_Toc211610020"/>
      <w:r>
        <w:rPr>
          <w:rFonts w:hint="eastAsia" w:ascii="宋体" w:hAnsi="宋体" w:eastAsia="宋体"/>
          <w:szCs w:val="21"/>
        </w:rPr>
        <w:t>4.2 运输</w:t>
      </w:r>
      <w:bookmarkEnd w:id="403"/>
    </w:p>
    <w:p w14:paraId="39925C55">
      <w:pPr>
        <w:spacing w:line="360" w:lineRule="auto"/>
        <w:ind w:firstLine="420" w:firstLineChars="200"/>
        <w:rPr>
          <w:rFonts w:hint="eastAsia" w:ascii="宋体" w:hAnsi="宋体"/>
          <w:color w:val="000000"/>
          <w:szCs w:val="21"/>
        </w:rPr>
      </w:pPr>
      <w:r>
        <w:rPr>
          <w:rFonts w:hint="eastAsia" w:ascii="宋体" w:hAnsi="宋体"/>
          <w:color w:val="000000"/>
          <w:szCs w:val="21"/>
        </w:rPr>
        <w:t>1）可采用公路、铁路或海运等运输方式，运输过程中需避免剧烈震动、碰撞、暴晒、雨淋；</w:t>
      </w:r>
    </w:p>
    <w:p w14:paraId="6A7FAFD0">
      <w:pPr>
        <w:spacing w:line="360" w:lineRule="auto"/>
        <w:ind w:firstLine="420" w:firstLineChars="200"/>
        <w:rPr>
          <w:rFonts w:hint="eastAsia" w:ascii="宋体" w:hAnsi="宋体"/>
          <w:color w:val="000000"/>
          <w:szCs w:val="21"/>
        </w:rPr>
      </w:pPr>
      <w:r>
        <w:rPr>
          <w:rFonts w:hint="eastAsia" w:ascii="宋体" w:hAnsi="宋体"/>
          <w:color w:val="000000"/>
          <w:szCs w:val="21"/>
        </w:rPr>
        <w:t>2）整体运输时，装置内部元件不得移位、损坏和受潮，不得影响后续安装与调试；</w:t>
      </w:r>
    </w:p>
    <w:p w14:paraId="77D3AE1B">
      <w:pPr>
        <w:spacing w:line="360" w:lineRule="auto"/>
        <w:ind w:firstLine="420" w:firstLineChars="200"/>
        <w:rPr>
          <w:rFonts w:hint="eastAsia" w:ascii="宋体" w:hAnsi="宋体"/>
          <w:color w:val="000000"/>
          <w:szCs w:val="21"/>
        </w:rPr>
      </w:pPr>
      <w:r>
        <w:rPr>
          <w:rFonts w:hint="eastAsia" w:ascii="宋体" w:hAnsi="宋体"/>
          <w:color w:val="000000"/>
          <w:szCs w:val="21"/>
        </w:rPr>
        <w:t>3）单独运输的附件（如接线端子、安装支架、通信线缆等）需分类包装并标注名称，便于现场装配；</w:t>
      </w:r>
    </w:p>
    <w:p w14:paraId="1C41BD86">
      <w:pPr>
        <w:spacing w:line="360" w:lineRule="auto"/>
        <w:ind w:firstLine="420" w:firstLineChars="200"/>
        <w:rPr>
          <w:rFonts w:hint="eastAsia" w:ascii="宋体" w:hAnsi="宋体"/>
          <w:color w:val="000000"/>
          <w:szCs w:val="21"/>
        </w:rPr>
      </w:pPr>
      <w:r>
        <w:rPr>
          <w:rFonts w:hint="eastAsia" w:ascii="宋体" w:hAnsi="宋体"/>
          <w:color w:val="000000"/>
          <w:szCs w:val="21"/>
        </w:rPr>
        <w:t>4）运输过程中如发生产品损坏、受潮、零部件丢失等情况，由供应商负责免费更换或补充。</w:t>
      </w:r>
    </w:p>
    <w:p w14:paraId="5F6F7E98">
      <w:pPr>
        <w:pStyle w:val="3"/>
        <w:numPr>
          <w:ilvl w:val="0"/>
          <w:numId w:val="0"/>
        </w:numPr>
        <w:spacing w:line="360" w:lineRule="auto"/>
        <w:ind w:firstLine="420" w:firstLineChars="200"/>
        <w:rPr>
          <w:rFonts w:hint="eastAsia" w:ascii="宋体" w:hAnsi="宋体" w:eastAsia="宋体"/>
          <w:szCs w:val="21"/>
        </w:rPr>
      </w:pPr>
      <w:bookmarkStart w:id="404" w:name="_Toc211610021"/>
      <w:r>
        <w:rPr>
          <w:rFonts w:hint="eastAsia" w:ascii="宋体" w:hAnsi="宋体" w:eastAsia="宋体"/>
          <w:szCs w:val="21"/>
        </w:rPr>
        <w:t>4.3 质量保证</w:t>
      </w:r>
      <w:bookmarkEnd w:id="404"/>
    </w:p>
    <w:p w14:paraId="53586D47">
      <w:pPr>
        <w:spacing w:line="360" w:lineRule="auto"/>
        <w:ind w:firstLine="420" w:firstLineChars="200"/>
        <w:rPr>
          <w:rFonts w:hint="eastAsia" w:ascii="宋体" w:hAnsi="宋体"/>
          <w:color w:val="000000"/>
          <w:szCs w:val="21"/>
        </w:rPr>
      </w:pPr>
      <w:r>
        <w:rPr>
          <w:rFonts w:hint="eastAsia" w:ascii="宋体" w:hAnsi="宋体"/>
          <w:color w:val="000000"/>
          <w:szCs w:val="21"/>
        </w:rPr>
        <w:t>1）投标方应按使用说明书进行安装和维护，确保设备在规定的使用条件下安全运行；</w:t>
      </w:r>
    </w:p>
    <w:p w14:paraId="02651164">
      <w:pPr>
        <w:spacing w:line="360" w:lineRule="auto"/>
        <w:ind w:firstLine="420" w:firstLineChars="200"/>
        <w:rPr>
          <w:rFonts w:hint="eastAsia" w:ascii="宋体" w:hAnsi="宋体"/>
          <w:color w:val="000000"/>
          <w:szCs w:val="21"/>
        </w:rPr>
      </w:pPr>
      <w:r>
        <w:rPr>
          <w:rFonts w:hint="eastAsia" w:ascii="宋体" w:hAnsi="宋体"/>
          <w:color w:val="000000"/>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14:paraId="7A58DF93">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3）投标方保证其提供的产品是全新的、未使用过的，所有合同货物本体及附件必须防腐防锈，质保期内不得出现锈蚀、开裂，否则应无条件更换； </w:t>
      </w:r>
    </w:p>
    <w:p w14:paraId="3E85F7BA">
      <w:pPr>
        <w:spacing w:line="360" w:lineRule="auto"/>
        <w:ind w:firstLine="420" w:firstLineChars="200"/>
        <w:rPr>
          <w:rFonts w:hint="eastAsia" w:ascii="宋体" w:hAnsi="宋体"/>
          <w:color w:val="000000"/>
          <w:szCs w:val="21"/>
        </w:rPr>
      </w:pPr>
      <w:r>
        <w:rPr>
          <w:rFonts w:hint="eastAsia" w:ascii="宋体" w:hAnsi="宋体"/>
          <w:color w:val="000000"/>
          <w:szCs w:val="21"/>
        </w:rPr>
        <w:t>4）投标方应保证制造过程中的所有工艺、材料试验等（包括投标方的外购件在内）均应符合本标准的规定。若招标方根据运行经验指定投标方提供某种外购零部件，投标方应积极配合；</w:t>
      </w:r>
    </w:p>
    <w:p w14:paraId="49AE8B6C">
      <w:pPr>
        <w:pStyle w:val="2"/>
        <w:spacing w:line="360" w:lineRule="auto"/>
        <w:ind w:firstLine="422"/>
        <w:rPr>
          <w:rFonts w:hint="eastAsia" w:ascii="宋体" w:hAnsi="宋体" w:eastAsia="宋体"/>
          <w:b/>
          <w:sz w:val="21"/>
          <w:szCs w:val="21"/>
        </w:rPr>
      </w:pPr>
      <w:bookmarkStart w:id="405" w:name="_Toc24569"/>
      <w:bookmarkStart w:id="406" w:name="_Toc211610022"/>
      <w:bookmarkStart w:id="407" w:name="_Toc4689"/>
      <w:bookmarkStart w:id="408" w:name="_Toc266713650"/>
      <w:r>
        <w:rPr>
          <w:rFonts w:hint="eastAsia" w:ascii="宋体" w:hAnsi="宋体" w:eastAsia="宋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14:paraId="3117818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14:paraId="482791F7">
            <w:pPr>
              <w:adjustRightInd w:val="0"/>
              <w:snapToGrid w:val="0"/>
              <w:spacing w:line="360" w:lineRule="auto"/>
              <w:textAlignment w:val="center"/>
              <w:rPr>
                <w:rFonts w:hint="eastAsia" w:ascii="宋体" w:hAnsi="宋体" w:cs="宋体"/>
                <w:b w:val="0"/>
                <w:bCs/>
                <w:szCs w:val="21"/>
              </w:rPr>
            </w:pPr>
            <w:r>
              <w:rPr>
                <w:rFonts w:hint="eastAsia" w:ascii="宋体" w:hAnsi="宋体" w:cs="宋体"/>
                <w:b w:val="0"/>
                <w:bCs/>
                <w:szCs w:val="21"/>
              </w:rPr>
              <w:t>进度计划</w:t>
            </w:r>
          </w:p>
        </w:tc>
      </w:tr>
      <w:tr w14:paraId="22D0D67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14:paraId="6DD0045B">
            <w:pPr>
              <w:adjustRightInd w:val="0"/>
              <w:snapToGrid w:val="0"/>
              <w:spacing w:line="360" w:lineRule="auto"/>
              <w:textAlignment w:val="center"/>
              <w:rPr>
                <w:rFonts w:hint="eastAsia" w:ascii="宋体" w:hAnsi="宋体" w:cs="宋体"/>
                <w:b w:val="0"/>
                <w:bCs/>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14:paraId="604416BC">
            <w:pPr>
              <w:adjustRightInd w:val="0"/>
              <w:snapToGrid w:val="0"/>
              <w:spacing w:line="360" w:lineRule="auto"/>
              <w:ind w:right="72"/>
              <w:textAlignment w:val="center"/>
              <w:rPr>
                <w:rFonts w:hint="eastAsia" w:ascii="宋体" w:hAnsi="宋体" w:cs="宋体"/>
                <w:b w:val="0"/>
                <w:bCs/>
                <w:szCs w:val="21"/>
              </w:rPr>
            </w:pPr>
            <w:r>
              <w:rPr>
                <w:rFonts w:hint="eastAsia" w:ascii="宋体" w:hAnsi="宋体" w:cs="宋体"/>
                <w:b w:val="0"/>
                <w:bCs/>
                <w:szCs w:val="21"/>
              </w:rPr>
              <w:t>[自成交通知书发出之日起到2025年12月</w:t>
            </w:r>
            <w:r>
              <w:rPr>
                <w:rFonts w:hint="eastAsia" w:ascii="宋体" w:hAnsi="宋体" w:cs="宋体"/>
                <w:b w:val="0"/>
                <w:bCs/>
                <w:szCs w:val="21"/>
                <w:lang w:val="en-US" w:eastAsia="zh-CN"/>
              </w:rPr>
              <w:t>20</w:t>
            </w:r>
            <w:r>
              <w:rPr>
                <w:rFonts w:hint="eastAsia" w:ascii="宋体" w:hAnsi="宋体" w:cs="宋体"/>
                <w:b w:val="0"/>
                <w:bCs/>
                <w:szCs w:val="21"/>
              </w:rPr>
              <w:t>日内]</w:t>
            </w:r>
          </w:p>
          <w:p w14:paraId="2F2917EB">
            <w:pPr>
              <w:adjustRightInd w:val="0"/>
              <w:snapToGrid w:val="0"/>
              <w:spacing w:line="360" w:lineRule="auto"/>
              <w:ind w:right="249"/>
              <w:jc w:val="left"/>
              <w:textAlignment w:val="center"/>
              <w:rPr>
                <w:rFonts w:hint="eastAsia" w:ascii="宋体" w:hAnsi="宋体" w:cs="宋体"/>
                <w:b w:val="0"/>
                <w:bCs/>
                <w:szCs w:val="21"/>
              </w:rPr>
            </w:pPr>
            <w:r>
              <w:rPr>
                <w:rFonts w:hint="eastAsia" w:ascii="宋体" w:hAnsi="宋体" w:cs="宋体"/>
                <w:b w:val="0"/>
                <w:bCs/>
                <w:szCs w:val="21"/>
              </w:rPr>
              <w:t>主要内容：</w:t>
            </w:r>
          </w:p>
          <w:p w14:paraId="5687623E">
            <w:pPr>
              <w:numPr>
                <w:ilvl w:val="0"/>
                <w:numId w:val="5"/>
              </w:numPr>
              <w:tabs>
                <w:tab w:val="left" w:pos="537"/>
                <w:tab w:val="left" w:pos="643"/>
                <w:tab w:val="left" w:pos="763"/>
              </w:tabs>
              <w:adjustRightInd w:val="0"/>
              <w:snapToGrid w:val="0"/>
              <w:spacing w:line="360" w:lineRule="auto"/>
              <w:ind w:right="250" w:rightChars="119"/>
              <w:jc w:val="left"/>
              <w:textAlignment w:val="center"/>
              <w:rPr>
                <w:rFonts w:hint="eastAsia" w:ascii="宋体" w:hAnsi="宋体" w:cs="宋体"/>
                <w:b w:val="0"/>
                <w:bCs/>
                <w:szCs w:val="21"/>
              </w:rPr>
            </w:pPr>
            <w:r>
              <w:rPr>
                <w:rFonts w:hint="eastAsia" w:ascii="宋体" w:hAnsi="宋体"/>
                <w:b w:val="0"/>
                <w:bCs/>
                <w:color w:val="000000"/>
                <w:szCs w:val="21"/>
              </w:rPr>
              <w:t>根据技术服务内容要求，完成</w:t>
            </w:r>
            <w:r>
              <w:rPr>
                <w:rFonts w:hint="eastAsia" w:ascii="宋体" w:hAnsi="宋体"/>
                <w:b w:val="0"/>
                <w:bCs/>
                <w:szCs w:val="21"/>
              </w:rPr>
              <w:t>“</w:t>
            </w:r>
            <w:r>
              <w:rPr>
                <w:rFonts w:hint="eastAsia" w:ascii="宋体" w:hAnsi="宋体"/>
                <w:b w:val="0"/>
                <w:bCs/>
                <w:szCs w:val="21"/>
                <w:u w:val="single"/>
              </w:rPr>
              <w:t>变电站直流系统充电屏一体化检测装置”</w:t>
            </w:r>
            <w:r>
              <w:rPr>
                <w:rFonts w:hint="eastAsia" w:ascii="宋体" w:hAnsi="宋体"/>
                <w:b w:val="0"/>
                <w:bCs/>
                <w:szCs w:val="21"/>
              </w:rPr>
              <w:t>加工制作及</w:t>
            </w:r>
            <w:r>
              <w:rPr>
                <w:rFonts w:hint="eastAsia" w:ascii="宋体" w:hAnsi="宋体"/>
                <w:b w:val="0"/>
                <w:bCs/>
                <w:szCs w:val="21"/>
                <w:lang w:val="en-US" w:eastAsia="zh-CN"/>
              </w:rPr>
              <w:t>专利</w:t>
            </w:r>
            <w:r>
              <w:rPr>
                <w:rFonts w:hint="eastAsia" w:ascii="宋体" w:hAnsi="宋体"/>
                <w:b w:val="0"/>
                <w:bCs/>
                <w:szCs w:val="21"/>
              </w:rPr>
              <w:t>相应的材料编写</w:t>
            </w:r>
            <w:r>
              <w:rPr>
                <w:rFonts w:hint="eastAsia" w:ascii="宋体" w:hAnsi="宋体"/>
                <w:b w:val="0"/>
                <w:bCs/>
                <w:color w:val="000000"/>
                <w:szCs w:val="21"/>
              </w:rPr>
              <w:t>。</w:t>
            </w:r>
          </w:p>
        </w:tc>
      </w:tr>
      <w:tr w14:paraId="7F4BEC9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14:paraId="40C15DD0">
            <w:pPr>
              <w:widowControl/>
              <w:spacing w:line="360" w:lineRule="auto"/>
              <w:jc w:val="left"/>
              <w:rPr>
                <w:rFonts w:hint="eastAsia" w:ascii="宋体" w:hAnsi="宋体" w:cs="宋体"/>
                <w:b w:val="0"/>
                <w:bCs/>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14:paraId="5538DDB0">
            <w:pPr>
              <w:adjustRightInd w:val="0"/>
              <w:snapToGrid w:val="0"/>
              <w:spacing w:line="360" w:lineRule="auto"/>
              <w:ind w:right="72"/>
              <w:textAlignment w:val="center"/>
              <w:rPr>
                <w:rFonts w:hint="eastAsia" w:ascii="宋体" w:hAnsi="宋体" w:cs="宋体"/>
                <w:b w:val="0"/>
                <w:bCs/>
                <w:szCs w:val="21"/>
              </w:rPr>
            </w:pPr>
            <w:r>
              <w:rPr>
                <w:rFonts w:hint="eastAsia" w:ascii="宋体" w:hAnsi="宋体" w:cs="宋体"/>
                <w:b w:val="0"/>
                <w:bCs/>
                <w:szCs w:val="21"/>
              </w:rPr>
              <w:t>[加工制作完成后10日内]</w:t>
            </w:r>
          </w:p>
          <w:p w14:paraId="019D7CB6">
            <w:pPr>
              <w:adjustRightInd w:val="0"/>
              <w:snapToGrid w:val="0"/>
              <w:spacing w:line="360" w:lineRule="auto"/>
              <w:ind w:right="249"/>
              <w:jc w:val="left"/>
              <w:textAlignment w:val="center"/>
              <w:rPr>
                <w:rFonts w:hint="eastAsia" w:ascii="宋体" w:hAnsi="宋体" w:cs="宋体"/>
                <w:b w:val="0"/>
                <w:bCs/>
                <w:szCs w:val="21"/>
              </w:rPr>
            </w:pPr>
            <w:r>
              <w:rPr>
                <w:rFonts w:hint="eastAsia" w:ascii="宋体" w:hAnsi="宋体" w:cs="宋体"/>
                <w:b w:val="0"/>
                <w:bCs/>
                <w:szCs w:val="21"/>
              </w:rPr>
              <w:t>主要内容：</w:t>
            </w:r>
          </w:p>
          <w:p w14:paraId="11C60871">
            <w:pPr>
              <w:numPr>
                <w:ilvl w:val="0"/>
                <w:numId w:val="6"/>
              </w:numPr>
              <w:spacing w:line="360" w:lineRule="auto"/>
              <w:rPr>
                <w:rFonts w:hint="eastAsia" w:ascii="宋体" w:hAnsi="宋体" w:cs="宋体"/>
                <w:b w:val="0"/>
                <w:bCs/>
                <w:szCs w:val="21"/>
              </w:rPr>
            </w:pPr>
            <w:r>
              <w:rPr>
                <w:rFonts w:hint="eastAsia" w:ascii="宋体" w:hAnsi="宋体"/>
                <w:b w:val="0"/>
                <w:bCs/>
                <w:color w:val="000000"/>
                <w:szCs w:val="21"/>
              </w:rPr>
              <w:t>完成装置测试检定。</w:t>
            </w:r>
          </w:p>
          <w:p w14:paraId="753EA4F9">
            <w:pPr>
              <w:numPr>
                <w:ilvl w:val="0"/>
                <w:numId w:val="6"/>
              </w:numPr>
              <w:spacing w:line="360" w:lineRule="auto"/>
              <w:rPr>
                <w:rFonts w:hint="eastAsia" w:ascii="宋体" w:hAnsi="宋体" w:cs="宋体"/>
                <w:b w:val="0"/>
                <w:bCs/>
                <w:szCs w:val="21"/>
              </w:rPr>
            </w:pPr>
            <w:r>
              <w:rPr>
                <w:rFonts w:hint="eastAsia" w:ascii="宋体" w:hAnsi="宋体"/>
                <w:b w:val="0"/>
                <w:bCs/>
                <w:color w:val="000000"/>
                <w:szCs w:val="21"/>
              </w:rPr>
              <w:t>完成装置的现场使用调试。</w:t>
            </w:r>
          </w:p>
        </w:tc>
      </w:tr>
    </w:tbl>
    <w:p w14:paraId="1EBF3B63">
      <w:pPr>
        <w:pStyle w:val="2"/>
        <w:spacing w:line="360" w:lineRule="auto"/>
        <w:ind w:firstLine="422"/>
        <w:rPr>
          <w:rFonts w:hint="eastAsia" w:ascii="宋体" w:hAnsi="宋体" w:eastAsia="宋体"/>
          <w:b/>
          <w:sz w:val="21"/>
          <w:szCs w:val="21"/>
        </w:rPr>
      </w:pPr>
      <w:bookmarkStart w:id="409" w:name="_Toc211610023"/>
      <w:r>
        <w:rPr>
          <w:rFonts w:hint="eastAsia" w:ascii="宋体" w:hAnsi="宋体" w:eastAsia="宋体"/>
          <w:b/>
          <w:sz w:val="21"/>
          <w:szCs w:val="21"/>
        </w:rPr>
        <w:t>6 交付与验收</w:t>
      </w:r>
      <w:bookmarkEnd w:id="409"/>
    </w:p>
    <w:p w14:paraId="29560E2C">
      <w:pPr>
        <w:spacing w:line="360" w:lineRule="auto"/>
        <w:ind w:firstLine="420" w:firstLineChars="200"/>
        <w:outlineLvl w:val="1"/>
        <w:rPr>
          <w:rFonts w:hint="eastAsia" w:ascii="宋体" w:hAnsi="宋体" w:cstheme="minorEastAsia"/>
          <w:color w:val="000000"/>
          <w:szCs w:val="21"/>
        </w:rPr>
      </w:pPr>
      <w:bookmarkStart w:id="410" w:name="_Toc3677"/>
      <w:bookmarkStart w:id="411" w:name="_Toc211610024"/>
      <w:r>
        <w:rPr>
          <w:rFonts w:hint="eastAsia" w:ascii="宋体" w:hAnsi="宋体" w:cs="黑体"/>
          <w:bCs/>
          <w:szCs w:val="21"/>
        </w:rPr>
        <w:t>6.1 交付形式及数量要求</w:t>
      </w:r>
      <w:bookmarkEnd w:id="410"/>
      <w:bookmarkEnd w:id="411"/>
    </w:p>
    <w:p w14:paraId="656A7337">
      <w:pPr>
        <w:pStyle w:val="334"/>
        <w:numPr>
          <w:ilvl w:val="0"/>
          <w:numId w:val="7"/>
        </w:numPr>
        <w:spacing w:line="360" w:lineRule="auto"/>
        <w:ind w:firstLineChars="0"/>
        <w:rPr>
          <w:rFonts w:hint="eastAsia" w:ascii="宋体" w:hAnsi="宋体"/>
          <w:szCs w:val="21"/>
        </w:rPr>
      </w:pPr>
      <w:r>
        <w:rPr>
          <w:rFonts w:hint="eastAsia" w:ascii="宋体" w:hAnsi="宋体"/>
          <w:szCs w:val="21"/>
        </w:rPr>
        <w:t>项目交付物：</w:t>
      </w:r>
      <w:r>
        <w:rPr>
          <w:rFonts w:hint="eastAsia" w:ascii="宋体" w:hAnsi="宋体"/>
          <w:b/>
          <w:bCs/>
          <w:szCs w:val="21"/>
          <w:u w:val="single"/>
        </w:rPr>
        <w:t>变电站直流系统充电屏一体化检测装置</w:t>
      </w:r>
      <w:r>
        <w:rPr>
          <w:rFonts w:hint="eastAsia" w:ascii="宋体" w:hAnsi="宋体"/>
          <w:szCs w:val="21"/>
        </w:rPr>
        <w:t>1</w:t>
      </w:r>
      <w:r>
        <w:rPr>
          <w:rFonts w:ascii="宋体" w:hAnsi="宋体"/>
          <w:szCs w:val="21"/>
        </w:rPr>
        <w:t>套</w:t>
      </w:r>
      <w:r>
        <w:rPr>
          <w:rFonts w:hint="eastAsia" w:ascii="宋体" w:hAnsi="宋体"/>
          <w:szCs w:val="21"/>
        </w:rPr>
        <w:t>。</w:t>
      </w:r>
      <w:bookmarkEnd w:id="398"/>
    </w:p>
    <w:p w14:paraId="4C59A3C0">
      <w:pPr>
        <w:pStyle w:val="334"/>
        <w:numPr>
          <w:ilvl w:val="0"/>
          <w:numId w:val="7"/>
        </w:numPr>
        <w:spacing w:line="360" w:lineRule="auto"/>
        <w:ind w:firstLineChars="0"/>
        <w:rPr>
          <w:rFonts w:hint="eastAsia" w:ascii="宋体" w:hAnsi="宋体"/>
          <w:szCs w:val="21"/>
        </w:rPr>
      </w:pPr>
      <w:r>
        <w:rPr>
          <w:rFonts w:hint="eastAsia" w:ascii="宋体" w:hAnsi="宋体"/>
          <w:szCs w:val="21"/>
        </w:rPr>
        <w:t>项目专利交底书：1份</w:t>
      </w:r>
    </w:p>
    <w:p w14:paraId="69C94A40">
      <w:pPr>
        <w:pStyle w:val="334"/>
        <w:numPr>
          <w:ilvl w:val="0"/>
          <w:numId w:val="7"/>
        </w:numPr>
        <w:spacing w:line="360" w:lineRule="auto"/>
        <w:ind w:firstLineChars="0"/>
        <w:rPr>
          <w:rFonts w:hint="eastAsia" w:ascii="宋体" w:hAnsi="宋体"/>
          <w:szCs w:val="21"/>
        </w:rPr>
      </w:pPr>
      <w:r>
        <w:rPr>
          <w:rFonts w:hint="eastAsia" w:ascii="宋体" w:hAnsi="宋体"/>
          <w:szCs w:val="21"/>
        </w:rPr>
        <w:t>第三方</w:t>
      </w:r>
      <w:r>
        <w:rPr>
          <w:rFonts w:hint="eastAsia" w:ascii="宋体" w:hAnsi="宋体"/>
          <w:szCs w:val="21"/>
          <w:lang w:val="en-US" w:eastAsia="zh-CN"/>
        </w:rPr>
        <w:t>检测</w:t>
      </w:r>
      <w:r>
        <w:rPr>
          <w:rFonts w:hint="eastAsia" w:ascii="宋体" w:hAnsi="宋体"/>
          <w:szCs w:val="21"/>
        </w:rPr>
        <w:t>报告：1份</w:t>
      </w:r>
    </w:p>
    <w:p w14:paraId="3FD2FEE4">
      <w:pPr>
        <w:spacing w:line="360" w:lineRule="auto"/>
        <w:ind w:firstLine="420" w:firstLineChars="200"/>
        <w:outlineLvl w:val="1"/>
        <w:rPr>
          <w:rFonts w:hint="eastAsia" w:ascii="宋体" w:hAnsi="宋体" w:cstheme="minorEastAsia"/>
          <w:color w:val="000000"/>
          <w:szCs w:val="21"/>
        </w:rPr>
      </w:pPr>
      <w:bookmarkStart w:id="412" w:name="_Toc21560"/>
      <w:bookmarkStart w:id="413" w:name="_Toc211610025"/>
      <w:r>
        <w:rPr>
          <w:rFonts w:hint="eastAsia" w:ascii="宋体" w:hAnsi="宋体" w:cs="黑体"/>
          <w:bCs/>
          <w:szCs w:val="21"/>
        </w:rPr>
        <w:t>6.2 验收</w:t>
      </w:r>
      <w:bookmarkEnd w:id="412"/>
      <w:bookmarkEnd w:id="413"/>
      <w:bookmarkStart w:id="414" w:name="_Toc23588"/>
      <w:bookmarkStart w:id="415" w:name="_Toc536"/>
    </w:p>
    <w:bookmarkEnd w:id="414"/>
    <w:bookmarkEnd w:id="415"/>
    <w:p w14:paraId="1C89389D">
      <w:pPr>
        <w:spacing w:line="360" w:lineRule="auto"/>
        <w:ind w:firstLine="420" w:firstLineChars="200"/>
        <w:rPr>
          <w:rFonts w:hint="eastAsia" w:ascii="宋体" w:hAnsi="宋体" w:cs="宋体"/>
          <w:szCs w:val="21"/>
          <w:lang w:bidi="ar"/>
        </w:rPr>
      </w:pPr>
      <w:r>
        <w:rPr>
          <w:rFonts w:hint="eastAsia" w:ascii="宋体" w:hAnsi="宋体" w:cs="宋体"/>
          <w:szCs w:val="21"/>
          <w:lang w:bidi="ar"/>
        </w:rPr>
        <w:t>1）按本技术条件书要求，完成</w:t>
      </w:r>
      <w:r>
        <w:rPr>
          <w:rFonts w:hint="eastAsia" w:ascii="宋体" w:hAnsi="宋体"/>
          <w:b/>
          <w:bCs/>
          <w:szCs w:val="21"/>
          <w:u w:val="single"/>
        </w:rPr>
        <w:t>变电站直流系统充电屏一体化检测装置</w:t>
      </w:r>
      <w:r>
        <w:rPr>
          <w:rFonts w:hint="eastAsia" w:ascii="宋体" w:hAnsi="宋体"/>
          <w:szCs w:val="21"/>
        </w:rPr>
        <w:t>研发</w:t>
      </w:r>
      <w:r>
        <w:rPr>
          <w:rFonts w:hint="eastAsia" w:ascii="宋体" w:hAnsi="宋体" w:cs="宋体"/>
          <w:szCs w:val="21"/>
          <w:lang w:bidi="ar"/>
        </w:rPr>
        <w:t>。若逾期交付成果15天，我方有权解除合同。</w:t>
      </w:r>
    </w:p>
    <w:p w14:paraId="633A7028">
      <w:pPr>
        <w:widowControl/>
        <w:shd w:val="clear" w:color="auto" w:fill="FDFDFE"/>
        <w:spacing w:before="90" w:line="360" w:lineRule="auto"/>
        <w:ind w:firstLine="420" w:firstLineChars="200"/>
        <w:jc w:val="left"/>
        <w:rPr>
          <w:rFonts w:hint="eastAsia" w:ascii="宋体" w:hAnsi="宋体" w:cs="Segoe UI"/>
          <w:kern w:val="0"/>
          <w:szCs w:val="21"/>
        </w:rPr>
      </w:pPr>
      <w:r>
        <w:rPr>
          <w:rFonts w:hint="eastAsia" w:ascii="宋体" w:hAnsi="宋体" w:cs="宋体"/>
          <w:szCs w:val="21"/>
          <w:lang w:bidi="ar"/>
        </w:rPr>
        <w:t>2)</w:t>
      </w:r>
      <w:r>
        <w:rPr>
          <w:rFonts w:hint="eastAsia" w:ascii="宋体" w:hAnsi="宋体" w:cs="Segoe UI"/>
          <w:kern w:val="0"/>
          <w:szCs w:val="21"/>
        </w:rPr>
        <w:t>装置需经过严格的功能测试和性能测试，确保满足设计要求和加工要求，验收过程中，如发现装置存在质量问题或不符合设计要求，供应商需及时进行整改，直至满足验收标准，</w:t>
      </w:r>
    </w:p>
    <w:p w14:paraId="1565977D">
      <w:pPr>
        <w:pStyle w:val="2"/>
        <w:spacing w:line="360" w:lineRule="auto"/>
        <w:ind w:firstLine="422"/>
        <w:rPr>
          <w:rFonts w:hint="eastAsia" w:ascii="宋体" w:hAnsi="宋体" w:eastAsia="宋体"/>
          <w:b/>
          <w:sz w:val="21"/>
          <w:szCs w:val="21"/>
        </w:rPr>
      </w:pPr>
      <w:bookmarkStart w:id="416" w:name="_Toc211610026"/>
      <w:r>
        <w:rPr>
          <w:rFonts w:hint="eastAsia" w:ascii="宋体" w:hAnsi="宋体" w:eastAsia="宋体"/>
          <w:b/>
          <w:sz w:val="21"/>
          <w:szCs w:val="21"/>
        </w:rPr>
        <w:t>7 其他</w:t>
      </w:r>
      <w:bookmarkEnd w:id="416"/>
    </w:p>
    <w:p w14:paraId="2C29F3ED">
      <w:pPr>
        <w:pStyle w:val="334"/>
        <w:numPr>
          <w:ilvl w:val="0"/>
          <w:numId w:val="8"/>
        </w:numPr>
        <w:spacing w:line="360" w:lineRule="auto"/>
        <w:ind w:firstLineChars="0"/>
        <w:rPr>
          <w:rFonts w:hint="eastAsia" w:ascii="宋体" w:hAnsi="宋体" w:cs="宋体"/>
          <w:szCs w:val="21"/>
        </w:rPr>
      </w:pPr>
      <w:r>
        <w:rPr>
          <w:rFonts w:hint="eastAsia" w:ascii="宋体" w:hAnsi="宋体" w:cs="宋体"/>
          <w:szCs w:val="21"/>
        </w:rPr>
        <w:t>成交通知书发出后，至</w:t>
      </w:r>
      <w:r>
        <w:rPr>
          <w:rFonts w:hint="eastAsia" w:ascii="宋体" w:hAnsi="宋体" w:cs="宋体"/>
          <w:szCs w:val="21"/>
          <w:u w:val="single"/>
        </w:rPr>
        <w:t>2025年12月2</w:t>
      </w:r>
      <w:r>
        <w:rPr>
          <w:rFonts w:hint="eastAsia" w:ascii="宋体" w:hAnsi="宋体" w:cs="宋体"/>
          <w:szCs w:val="21"/>
          <w:u w:val="single"/>
          <w:lang w:val="en-US" w:eastAsia="zh-CN"/>
        </w:rPr>
        <w:t>0</w:t>
      </w:r>
      <w:r>
        <w:rPr>
          <w:rFonts w:hint="eastAsia" w:ascii="宋体" w:hAnsi="宋体" w:cs="宋体"/>
          <w:szCs w:val="21"/>
          <w:u w:val="single"/>
        </w:rPr>
        <w:t>日</w:t>
      </w:r>
      <w:r>
        <w:rPr>
          <w:rFonts w:hint="eastAsia" w:ascii="宋体" w:hAnsi="宋体" w:cs="宋体"/>
          <w:szCs w:val="21"/>
        </w:rPr>
        <w:t>内完成采购要求内容。</w:t>
      </w:r>
    </w:p>
    <w:p w14:paraId="6E11C31B">
      <w:pPr>
        <w:pStyle w:val="334"/>
        <w:numPr>
          <w:ilvl w:val="0"/>
          <w:numId w:val="8"/>
        </w:numPr>
        <w:spacing w:line="360" w:lineRule="auto"/>
        <w:ind w:firstLineChars="0"/>
        <w:rPr>
          <w:rFonts w:hint="eastAsia" w:ascii="宋体" w:hAnsi="宋体"/>
          <w:szCs w:val="21"/>
        </w:rPr>
      </w:pPr>
      <w:r>
        <w:rPr>
          <w:rFonts w:hint="eastAsia" w:ascii="宋体" w:hAnsi="宋体"/>
          <w:szCs w:val="21"/>
        </w:rPr>
        <w:t>供应商须承诺至少安排一正式员工专职与甲方对接跟进项目工作，并配合项目开展试点应用工作；</w:t>
      </w:r>
    </w:p>
    <w:p w14:paraId="0BD5DA48">
      <w:pPr>
        <w:pStyle w:val="334"/>
        <w:numPr>
          <w:ilvl w:val="0"/>
          <w:numId w:val="8"/>
        </w:numPr>
        <w:spacing w:line="360" w:lineRule="auto"/>
        <w:ind w:firstLineChars="0"/>
        <w:rPr>
          <w:rFonts w:hint="eastAsia" w:ascii="宋体" w:hAnsi="宋体"/>
          <w:szCs w:val="21"/>
        </w:rPr>
      </w:pPr>
      <w:r>
        <w:rPr>
          <w:rFonts w:hint="eastAsia" w:ascii="宋体" w:hAnsi="宋体"/>
          <w:szCs w:val="21"/>
        </w:rPr>
        <w:t>供应商需配合甲方完成试点应用，在项目实施期间需派正式员工定期驻点，进行现场交流、确认实施方案、现场测试、项目验收等。</w:t>
      </w:r>
    </w:p>
    <w:p w14:paraId="3E51F8F0">
      <w:pPr>
        <w:pStyle w:val="334"/>
        <w:numPr>
          <w:ilvl w:val="0"/>
          <w:numId w:val="8"/>
        </w:numPr>
        <w:spacing w:line="360" w:lineRule="auto"/>
        <w:ind w:firstLineChars="0"/>
        <w:rPr>
          <w:rFonts w:hint="eastAsia" w:ascii="宋体" w:hAnsi="宋体"/>
          <w:szCs w:val="21"/>
        </w:rPr>
      </w:pPr>
      <w:r>
        <w:rPr>
          <w:rFonts w:hint="eastAsia" w:ascii="宋体" w:hAnsi="宋体"/>
          <w:szCs w:val="21"/>
        </w:rPr>
        <w:t>供应商如果不能按时按质完成，</w:t>
      </w:r>
      <w:r>
        <w:rPr>
          <w:rFonts w:hint="eastAsia" w:ascii="宋体" w:hAnsi="宋体"/>
          <w:szCs w:val="21"/>
          <w:u w:val="single"/>
        </w:rPr>
        <w:t>广东电网有限责任公司河源供电局</w:t>
      </w:r>
      <w:r>
        <w:rPr>
          <w:rFonts w:hint="eastAsia" w:ascii="宋体" w:hAnsi="宋体"/>
          <w:szCs w:val="21"/>
        </w:rPr>
        <w:t>将按照南方电网公司相关规定对供应商采取相关处罚。</w:t>
      </w:r>
    </w:p>
    <w:p w14:paraId="789C4F5B">
      <w:pPr>
        <w:pStyle w:val="2"/>
        <w:spacing w:line="360" w:lineRule="auto"/>
        <w:ind w:firstLine="422"/>
        <w:rPr>
          <w:rFonts w:hint="eastAsia" w:ascii="宋体" w:hAnsi="宋体" w:eastAsia="宋体"/>
          <w:b/>
          <w:sz w:val="21"/>
          <w:szCs w:val="21"/>
        </w:rPr>
      </w:pPr>
      <w:bookmarkStart w:id="417" w:name="_Toc211610027"/>
      <w:r>
        <w:rPr>
          <w:rFonts w:hint="eastAsia" w:ascii="宋体" w:hAnsi="宋体" w:eastAsia="宋体"/>
          <w:b/>
          <w:sz w:val="21"/>
          <w:szCs w:val="21"/>
        </w:rPr>
        <w:t>8 资格要求</w:t>
      </w:r>
      <w:bookmarkEnd w:id="417"/>
    </w:p>
    <w:tbl>
      <w:tblPr>
        <w:tblStyle w:val="84"/>
        <w:tblW w:w="9465" w:type="dxa"/>
        <w:tblInd w:w="93" w:type="dxa"/>
        <w:tblLayout w:type="autofit"/>
        <w:tblCellMar>
          <w:top w:w="0" w:type="dxa"/>
          <w:left w:w="108" w:type="dxa"/>
          <w:bottom w:w="0" w:type="dxa"/>
          <w:right w:w="108" w:type="dxa"/>
        </w:tblCellMar>
      </w:tblPr>
      <w:tblGrid>
        <w:gridCol w:w="648"/>
        <w:gridCol w:w="8817"/>
      </w:tblGrid>
      <w:tr w14:paraId="318D4EC4">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noWrap/>
            <w:vAlign w:val="center"/>
          </w:tcPr>
          <w:p w14:paraId="21724C5A">
            <w:pPr>
              <w:widowControl/>
              <w:spacing w:line="360" w:lineRule="auto"/>
              <w:jc w:val="center"/>
              <w:textAlignment w:val="center"/>
              <w:rPr>
                <w:rFonts w:hint="eastAsia" w:ascii="宋体" w:hAnsi="宋体" w:cs="微软雅黑"/>
                <w:color w:val="000000"/>
                <w:szCs w:val="21"/>
              </w:rPr>
            </w:pPr>
            <w:r>
              <w:rPr>
                <w:rFonts w:hint="eastAsia" w:ascii="宋体" w:hAnsi="宋体" w:cs="微软雅黑"/>
                <w:color w:val="000000"/>
                <w:kern w:val="0"/>
                <w:szCs w:val="21"/>
                <w:lang w:bidi="ar"/>
              </w:rPr>
              <w:t>1</w:t>
            </w:r>
          </w:p>
        </w:tc>
        <w:tc>
          <w:tcPr>
            <w:tcW w:w="8817" w:type="dxa"/>
            <w:tcBorders>
              <w:top w:val="single" w:color="000000" w:sz="4" w:space="0"/>
              <w:left w:val="single" w:color="000000" w:sz="4" w:space="0"/>
              <w:bottom w:val="single" w:color="000000" w:sz="4" w:space="0"/>
              <w:right w:val="single" w:color="000000" w:sz="4" w:space="0"/>
            </w:tcBorders>
            <w:vAlign w:val="center"/>
          </w:tcPr>
          <w:p w14:paraId="38E7D96F">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kern w:val="0"/>
                <w:szCs w:val="21"/>
                <w:lang w:bidi="ar"/>
              </w:rPr>
              <w:t>需上传有效营业执照</w:t>
            </w:r>
          </w:p>
        </w:tc>
      </w:tr>
      <w:tr w14:paraId="296C9AEF">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noWrap/>
            <w:vAlign w:val="center"/>
          </w:tcPr>
          <w:p w14:paraId="15138E12">
            <w:pPr>
              <w:widowControl/>
              <w:spacing w:line="360" w:lineRule="auto"/>
              <w:jc w:val="center"/>
              <w:textAlignment w:val="center"/>
              <w:rPr>
                <w:rFonts w:hint="eastAsia" w:ascii="宋体" w:hAnsi="宋体" w:cs="微软雅黑"/>
                <w:color w:val="000000"/>
                <w:szCs w:val="21"/>
              </w:rPr>
            </w:pPr>
            <w:r>
              <w:rPr>
                <w:rFonts w:hint="eastAsia" w:ascii="宋体" w:hAnsi="宋体" w:cs="微软雅黑"/>
                <w:color w:val="000000"/>
                <w:szCs w:val="21"/>
              </w:rPr>
              <w:t>2</w:t>
            </w:r>
          </w:p>
        </w:tc>
        <w:tc>
          <w:tcPr>
            <w:tcW w:w="8817" w:type="dxa"/>
            <w:tcBorders>
              <w:top w:val="single" w:color="000000" w:sz="4" w:space="0"/>
              <w:left w:val="single" w:color="000000" w:sz="4" w:space="0"/>
              <w:bottom w:val="single" w:color="000000" w:sz="4" w:space="0"/>
              <w:right w:val="single" w:color="000000" w:sz="4" w:space="0"/>
            </w:tcBorders>
            <w:vAlign w:val="center"/>
          </w:tcPr>
          <w:p w14:paraId="2A3E0C5A">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szCs w:val="21"/>
              </w:rPr>
              <w:t>本项目报价下浮率高于5%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r w14:paraId="775B372A">
        <w:tblPrEx>
          <w:tblCellMar>
            <w:top w:w="0" w:type="dxa"/>
            <w:left w:w="108" w:type="dxa"/>
            <w:bottom w:w="0" w:type="dxa"/>
            <w:right w:w="108" w:type="dxa"/>
          </w:tblCellMar>
        </w:tblPrEx>
        <w:trPr>
          <w:trHeight w:val="628" w:hRule="atLeast"/>
        </w:trPr>
        <w:tc>
          <w:tcPr>
            <w:tcW w:w="648" w:type="dxa"/>
            <w:tcBorders>
              <w:top w:val="single" w:color="000000" w:sz="4" w:space="0"/>
              <w:left w:val="single" w:color="000000" w:sz="4" w:space="0"/>
              <w:bottom w:val="single" w:color="000000" w:sz="4" w:space="0"/>
              <w:right w:val="single" w:color="000000" w:sz="4" w:space="0"/>
            </w:tcBorders>
            <w:noWrap/>
            <w:vAlign w:val="center"/>
          </w:tcPr>
          <w:p w14:paraId="22DDEAEE">
            <w:pPr>
              <w:widowControl/>
              <w:spacing w:line="360" w:lineRule="auto"/>
              <w:jc w:val="center"/>
              <w:textAlignment w:val="center"/>
              <w:rPr>
                <w:rFonts w:hint="eastAsia" w:ascii="宋体" w:hAnsi="宋体" w:cs="微软雅黑"/>
                <w:color w:val="000000"/>
                <w:kern w:val="0"/>
                <w:szCs w:val="21"/>
                <w:lang w:bidi="ar"/>
              </w:rPr>
            </w:pPr>
            <w:r>
              <w:rPr>
                <w:rFonts w:hint="eastAsia" w:ascii="宋体" w:hAnsi="宋体" w:cs="微软雅黑"/>
                <w:color w:val="000000"/>
                <w:kern w:val="0"/>
                <w:szCs w:val="21"/>
                <w:lang w:bidi="ar"/>
              </w:rPr>
              <w:t>3</w:t>
            </w:r>
          </w:p>
        </w:tc>
        <w:tc>
          <w:tcPr>
            <w:tcW w:w="8817" w:type="dxa"/>
            <w:tcBorders>
              <w:top w:val="single" w:color="000000" w:sz="4" w:space="0"/>
              <w:left w:val="single" w:color="000000" w:sz="4" w:space="0"/>
              <w:bottom w:val="single" w:color="000000" w:sz="4" w:space="0"/>
              <w:right w:val="single" w:color="000000" w:sz="4" w:space="0"/>
            </w:tcBorders>
            <w:vAlign w:val="center"/>
          </w:tcPr>
          <w:p w14:paraId="368A6BED">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szCs w:val="21"/>
              </w:rPr>
              <w:t>供应商需提供南方电网创新项目业绩证明，证明材料可以是成交通知、合同或发票等</w:t>
            </w:r>
          </w:p>
        </w:tc>
      </w:tr>
    </w:tbl>
    <w:p w14:paraId="4395F82D">
      <w:pPr>
        <w:spacing w:line="360" w:lineRule="auto"/>
        <w:rPr>
          <w:rFonts w:hint="eastAsia" w:asciiTheme="minorEastAsia" w:hAnsiTheme="minorEastAsia" w:eastAsiaTheme="minorEastAsia"/>
          <w:szCs w:val="21"/>
        </w:rPr>
      </w:pPr>
      <w:bookmarkStart w:id="418" w:name="_GoBack"/>
      <w:bookmarkEnd w:id="418"/>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panose1 w:val="02010600000101010101"/>
    <w:charset w:val="86"/>
    <w:family w:val="modern"/>
    <w:pitch w:val="default"/>
    <w:sig w:usb0="00000001" w:usb1="080E0800" w:usb2="0000000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54E9C">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E03AC">
    <w:pPr>
      <w:pStyle w:val="51"/>
      <w:framePr w:wrap="around" w:vAnchor="text" w:hAnchor="margin" w:xAlign="right" w:y="1"/>
      <w:rPr>
        <w:rStyle w:val="87"/>
      </w:rPr>
    </w:pPr>
    <w:r>
      <w:fldChar w:fldCharType="begin"/>
    </w:r>
    <w:r>
      <w:rPr>
        <w:rStyle w:val="87"/>
      </w:rPr>
      <w:instrText xml:space="preserve">PAGE  </w:instrText>
    </w:r>
    <w:r>
      <w:fldChar w:fldCharType="end"/>
    </w:r>
  </w:p>
  <w:p w14:paraId="257F9B87">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BE60D">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10AC1">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AACDC">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48D0E">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1767B7B"/>
    <w:multiLevelType w:val="multilevel"/>
    <w:tmpl w:val="41767B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54C30186"/>
    <w:multiLevelType w:val="multilevel"/>
    <w:tmpl w:val="54C30186"/>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BA4B5BD"/>
    <w:multiLevelType w:val="singleLevel"/>
    <w:tmpl w:val="5BA4B5BD"/>
    <w:lvl w:ilvl="0" w:tentative="0">
      <w:start w:val="1"/>
      <w:numFmt w:val="decimal"/>
      <w:lvlText w:val="%1)"/>
      <w:lvlJc w:val="left"/>
      <w:pPr>
        <w:ind w:left="425" w:hanging="425"/>
      </w:pPr>
      <w:rPr>
        <w:rFonts w:hint="default"/>
      </w:rPr>
    </w:lvl>
  </w:abstractNum>
  <w:abstractNum w:abstractNumId="4">
    <w:nsid w:val="5BA4B5D1"/>
    <w:multiLevelType w:val="singleLevel"/>
    <w:tmpl w:val="5BA4B5D1"/>
    <w:lvl w:ilvl="0" w:tentative="0">
      <w:start w:val="1"/>
      <w:numFmt w:val="decimal"/>
      <w:lvlText w:val="%1)"/>
      <w:lvlJc w:val="left"/>
      <w:pPr>
        <w:ind w:left="425" w:hanging="425"/>
      </w:pPr>
      <w:rPr>
        <w:rFonts w:hint="default"/>
      </w:rPr>
    </w:lvl>
  </w:abstractNum>
  <w:abstractNum w:abstractNumId="5">
    <w:nsid w:val="5CAD2DBA"/>
    <w:multiLevelType w:val="multilevel"/>
    <w:tmpl w:val="5CAD2DBA"/>
    <w:lvl w:ilvl="0" w:tentative="0">
      <w:start w:val="1"/>
      <w:numFmt w:val="decimal"/>
      <w:lvlText w:val="%1)"/>
      <w:lvlJc w:val="left"/>
      <w:pPr>
        <w:ind w:left="860" w:hanging="440"/>
      </w:pPr>
      <w:rPr>
        <w:rFonts w:hint="default"/>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6">
    <w:nsid w:val="6B4D45EB"/>
    <w:multiLevelType w:val="multilevel"/>
    <w:tmpl w:val="6B4D45EB"/>
    <w:lvl w:ilvl="0" w:tentative="0">
      <w:start w:val="1"/>
      <w:numFmt w:val="decimal"/>
      <w:lvlText w:val="%1)"/>
      <w:lvlJc w:val="left"/>
      <w:pPr>
        <w:ind w:left="860" w:hanging="440"/>
      </w:pPr>
      <w:rPr>
        <w:rFonts w:hint="default"/>
      </w:rPr>
    </w:lvl>
    <w:lvl w:ilvl="1" w:tentative="0">
      <w:start w:val="1"/>
      <w:numFmt w:val="bullet"/>
      <w:lvlText w:val=""/>
      <w:lvlJc w:val="left"/>
      <w:pPr>
        <w:ind w:left="1308" w:hanging="440"/>
      </w:pPr>
      <w:rPr>
        <w:rFonts w:hint="default" w:ascii="Wingdings" w:hAnsi="Wingdings"/>
      </w:rPr>
    </w:lvl>
    <w:lvl w:ilvl="2" w:tentative="0">
      <w:start w:val="1"/>
      <w:numFmt w:val="bullet"/>
      <w:lvlText w:val=""/>
      <w:lvlJc w:val="left"/>
      <w:pPr>
        <w:ind w:left="1748" w:hanging="440"/>
      </w:pPr>
      <w:rPr>
        <w:rFonts w:hint="default" w:ascii="Wingdings" w:hAnsi="Wingdings"/>
      </w:rPr>
    </w:lvl>
    <w:lvl w:ilvl="3" w:tentative="0">
      <w:start w:val="1"/>
      <w:numFmt w:val="bullet"/>
      <w:lvlText w:val=""/>
      <w:lvlJc w:val="left"/>
      <w:pPr>
        <w:ind w:left="2188" w:hanging="440"/>
      </w:pPr>
      <w:rPr>
        <w:rFonts w:hint="default" w:ascii="Wingdings" w:hAnsi="Wingdings"/>
      </w:rPr>
    </w:lvl>
    <w:lvl w:ilvl="4" w:tentative="0">
      <w:start w:val="1"/>
      <w:numFmt w:val="bullet"/>
      <w:lvlText w:val=""/>
      <w:lvlJc w:val="left"/>
      <w:pPr>
        <w:ind w:left="2628" w:hanging="440"/>
      </w:pPr>
      <w:rPr>
        <w:rFonts w:hint="default" w:ascii="Wingdings" w:hAnsi="Wingdings"/>
      </w:rPr>
    </w:lvl>
    <w:lvl w:ilvl="5" w:tentative="0">
      <w:start w:val="1"/>
      <w:numFmt w:val="bullet"/>
      <w:lvlText w:val=""/>
      <w:lvlJc w:val="left"/>
      <w:pPr>
        <w:ind w:left="3068" w:hanging="440"/>
      </w:pPr>
      <w:rPr>
        <w:rFonts w:hint="default" w:ascii="Wingdings" w:hAnsi="Wingdings"/>
      </w:rPr>
    </w:lvl>
    <w:lvl w:ilvl="6" w:tentative="0">
      <w:start w:val="1"/>
      <w:numFmt w:val="bullet"/>
      <w:lvlText w:val=""/>
      <w:lvlJc w:val="left"/>
      <w:pPr>
        <w:ind w:left="3508" w:hanging="440"/>
      </w:pPr>
      <w:rPr>
        <w:rFonts w:hint="default" w:ascii="Wingdings" w:hAnsi="Wingdings"/>
      </w:rPr>
    </w:lvl>
    <w:lvl w:ilvl="7" w:tentative="0">
      <w:start w:val="1"/>
      <w:numFmt w:val="bullet"/>
      <w:lvlText w:val=""/>
      <w:lvlJc w:val="left"/>
      <w:pPr>
        <w:ind w:left="3948" w:hanging="440"/>
      </w:pPr>
      <w:rPr>
        <w:rFonts w:hint="default" w:ascii="Wingdings" w:hAnsi="Wingdings"/>
      </w:rPr>
    </w:lvl>
    <w:lvl w:ilvl="8" w:tentative="0">
      <w:start w:val="1"/>
      <w:numFmt w:val="bullet"/>
      <w:lvlText w:val=""/>
      <w:lvlJc w:val="left"/>
      <w:pPr>
        <w:ind w:left="4388" w:hanging="440"/>
      </w:pPr>
      <w:rPr>
        <w:rFonts w:hint="default" w:ascii="Wingdings" w:hAnsi="Wingdings"/>
      </w:rPr>
    </w:lvl>
  </w:abstractNum>
  <w:abstractNum w:abstractNumId="7">
    <w:nsid w:val="6EB90B1D"/>
    <w:multiLevelType w:val="multilevel"/>
    <w:tmpl w:val="6EB90B1D"/>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 w:numId="2">
    <w:abstractNumId w:val="5"/>
  </w:num>
  <w:num w:numId="3">
    <w:abstractNumId w:val="6"/>
  </w:num>
  <w:num w:numId="4">
    <w:abstractNumId w:val="7"/>
  </w:num>
  <w:num w:numId="5">
    <w:abstractNumId w:val="4"/>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836A0"/>
    <w:rsid w:val="004A4E5B"/>
    <w:rsid w:val="004A54F2"/>
    <w:rsid w:val="004C1794"/>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E3B91"/>
    <w:rsid w:val="00620098"/>
    <w:rsid w:val="00620E69"/>
    <w:rsid w:val="0063134B"/>
    <w:rsid w:val="00631450"/>
    <w:rsid w:val="006323C8"/>
    <w:rsid w:val="00643A01"/>
    <w:rsid w:val="0065500D"/>
    <w:rsid w:val="00657053"/>
    <w:rsid w:val="00662A72"/>
    <w:rsid w:val="0067761F"/>
    <w:rsid w:val="00681DDC"/>
    <w:rsid w:val="006B1F93"/>
    <w:rsid w:val="006D32C8"/>
    <w:rsid w:val="006E30EA"/>
    <w:rsid w:val="006F2CBC"/>
    <w:rsid w:val="006F5311"/>
    <w:rsid w:val="00701666"/>
    <w:rsid w:val="00744838"/>
    <w:rsid w:val="00747E1D"/>
    <w:rsid w:val="00753527"/>
    <w:rsid w:val="00770085"/>
    <w:rsid w:val="00794408"/>
    <w:rsid w:val="007B2AF2"/>
    <w:rsid w:val="007D29B6"/>
    <w:rsid w:val="007D4587"/>
    <w:rsid w:val="007E2B86"/>
    <w:rsid w:val="007F5B5F"/>
    <w:rsid w:val="008005C6"/>
    <w:rsid w:val="00803823"/>
    <w:rsid w:val="008102A6"/>
    <w:rsid w:val="0081538D"/>
    <w:rsid w:val="00817700"/>
    <w:rsid w:val="00817FC2"/>
    <w:rsid w:val="008466BB"/>
    <w:rsid w:val="00853551"/>
    <w:rsid w:val="00857F29"/>
    <w:rsid w:val="0086019E"/>
    <w:rsid w:val="008607BA"/>
    <w:rsid w:val="0086440B"/>
    <w:rsid w:val="00884D32"/>
    <w:rsid w:val="008B24DC"/>
    <w:rsid w:val="008B7D4D"/>
    <w:rsid w:val="008C4C4C"/>
    <w:rsid w:val="008D0729"/>
    <w:rsid w:val="008D74E0"/>
    <w:rsid w:val="008E283C"/>
    <w:rsid w:val="008E5FC2"/>
    <w:rsid w:val="008F5F8B"/>
    <w:rsid w:val="0092350E"/>
    <w:rsid w:val="009375C7"/>
    <w:rsid w:val="009433B0"/>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80B50"/>
    <w:rsid w:val="00AB034A"/>
    <w:rsid w:val="00AB298D"/>
    <w:rsid w:val="00AB31E8"/>
    <w:rsid w:val="00AD00E9"/>
    <w:rsid w:val="00AD1B01"/>
    <w:rsid w:val="00AE61F3"/>
    <w:rsid w:val="00AF4F10"/>
    <w:rsid w:val="00B038A3"/>
    <w:rsid w:val="00B54937"/>
    <w:rsid w:val="00B62C09"/>
    <w:rsid w:val="00B63368"/>
    <w:rsid w:val="00B72795"/>
    <w:rsid w:val="00B82EBF"/>
    <w:rsid w:val="00B8491E"/>
    <w:rsid w:val="00B871EB"/>
    <w:rsid w:val="00B904B5"/>
    <w:rsid w:val="00BB0402"/>
    <w:rsid w:val="00BB2EEF"/>
    <w:rsid w:val="00BC7BAF"/>
    <w:rsid w:val="00BD75B1"/>
    <w:rsid w:val="00BE7A33"/>
    <w:rsid w:val="00BF4DA5"/>
    <w:rsid w:val="00C02287"/>
    <w:rsid w:val="00C05C32"/>
    <w:rsid w:val="00C25124"/>
    <w:rsid w:val="00C36F77"/>
    <w:rsid w:val="00C4573C"/>
    <w:rsid w:val="00C60311"/>
    <w:rsid w:val="00C64E05"/>
    <w:rsid w:val="00C66B7A"/>
    <w:rsid w:val="00C8166D"/>
    <w:rsid w:val="00CA6A4E"/>
    <w:rsid w:val="00CC0312"/>
    <w:rsid w:val="00CD0787"/>
    <w:rsid w:val="00CD2806"/>
    <w:rsid w:val="00CF0BF9"/>
    <w:rsid w:val="00CF5C54"/>
    <w:rsid w:val="00D126AA"/>
    <w:rsid w:val="00D230F5"/>
    <w:rsid w:val="00D26F68"/>
    <w:rsid w:val="00D3461E"/>
    <w:rsid w:val="00D34F11"/>
    <w:rsid w:val="00D44319"/>
    <w:rsid w:val="00D734F8"/>
    <w:rsid w:val="00D82ED9"/>
    <w:rsid w:val="00D83FE4"/>
    <w:rsid w:val="00DA5C09"/>
    <w:rsid w:val="00DB7D81"/>
    <w:rsid w:val="00DD38DC"/>
    <w:rsid w:val="00DD44E1"/>
    <w:rsid w:val="00DE19EA"/>
    <w:rsid w:val="00E0176F"/>
    <w:rsid w:val="00E109E5"/>
    <w:rsid w:val="00E20362"/>
    <w:rsid w:val="00E36D1D"/>
    <w:rsid w:val="00E72535"/>
    <w:rsid w:val="00EA47C9"/>
    <w:rsid w:val="00EB08FE"/>
    <w:rsid w:val="00EB1795"/>
    <w:rsid w:val="00EE0BB2"/>
    <w:rsid w:val="00EF6973"/>
    <w:rsid w:val="00F06654"/>
    <w:rsid w:val="00F1117F"/>
    <w:rsid w:val="00F1479F"/>
    <w:rsid w:val="00F506B0"/>
    <w:rsid w:val="00F60AC2"/>
    <w:rsid w:val="00F81652"/>
    <w:rsid w:val="00F964B9"/>
    <w:rsid w:val="00FA01A1"/>
    <w:rsid w:val="00FA7E93"/>
    <w:rsid w:val="00FB5778"/>
    <w:rsid w:val="00FB5E98"/>
    <w:rsid w:val="00FC4609"/>
    <w:rsid w:val="00FC5C10"/>
    <w:rsid w:val="00FE419E"/>
    <w:rsid w:val="00FE4E3F"/>
    <w:rsid w:val="033C7182"/>
    <w:rsid w:val="0BDE7A1C"/>
    <w:rsid w:val="0D4C2BDE"/>
    <w:rsid w:val="0E4B0D79"/>
    <w:rsid w:val="0EDC4CD8"/>
    <w:rsid w:val="12B667F9"/>
    <w:rsid w:val="17445F6B"/>
    <w:rsid w:val="1AFE7FBC"/>
    <w:rsid w:val="1CCB2BC8"/>
    <w:rsid w:val="1D633D30"/>
    <w:rsid w:val="1E7D4FCA"/>
    <w:rsid w:val="214D0B18"/>
    <w:rsid w:val="223157E9"/>
    <w:rsid w:val="2AB50609"/>
    <w:rsid w:val="326C4297"/>
    <w:rsid w:val="33C21DA6"/>
    <w:rsid w:val="38086A4E"/>
    <w:rsid w:val="3B132789"/>
    <w:rsid w:val="3D100D91"/>
    <w:rsid w:val="3F7F6B1A"/>
    <w:rsid w:val="424F62F7"/>
    <w:rsid w:val="442E5432"/>
    <w:rsid w:val="4F730A4A"/>
    <w:rsid w:val="505435CD"/>
    <w:rsid w:val="53134CA6"/>
    <w:rsid w:val="5CCE0F99"/>
    <w:rsid w:val="66590B56"/>
    <w:rsid w:val="672B6C64"/>
    <w:rsid w:val="6740172B"/>
    <w:rsid w:val="6B91752B"/>
    <w:rsid w:val="6C187010"/>
    <w:rsid w:val="75BA5237"/>
    <w:rsid w:val="77D624CF"/>
    <w:rsid w:val="7C726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6</Pages>
  <Words>2437</Words>
  <Characters>2530</Characters>
  <Lines>109</Lines>
  <Paragraphs>123</Paragraphs>
  <TotalTime>6</TotalTime>
  <ScaleCrop>false</ScaleCrop>
  <LinksUpToDate>false</LinksUpToDate>
  <CharactersWithSpaces>2579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liuruoqiao</dc:creator>
  <cp:lastModifiedBy>WPS_1569847400</cp:lastModifiedBy>
  <cp:lastPrinted>2014-07-23T07:16:00Z</cp:lastPrinted>
  <dcterms:modified xsi:type="dcterms:W3CDTF">2025-11-23T01:43:06Z</dcterms:modified>
  <dc:title>（2009年版）</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eyJoZGlkIjoiNjUxNDk5ZjRmNDVhZGVlNzFhNDQyNjc4ZjlkYTQ2ODUiLCJ1c2VySWQiOiI2Nzg4NjQxMTQifQ==</vt:lpwstr>
  </property>
</Properties>
</file>