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5566F"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技术要求：</w:t>
      </w:r>
    </w:p>
    <w:p w14:paraId="787F2F21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装置通过一体成型，实现防护等级为IP6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  <w:lang w:val="en-US" w:eastAsia="zh-CN"/>
        </w:rPr>
        <w:t>，满足在户外健康、安全运行的现场应用需求，并完成1套现场测试验收合格的产品实物;</w:t>
      </w:r>
    </w:p>
    <w:p w14:paraId="5E8E5B39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配合定制的安装工具，便可带电安装;</w:t>
      </w:r>
    </w:p>
    <w:p w14:paraId="5F980EC6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零线发生漏电情况，可选择本地化报警，无需传输到平台，无需考虑信息传输涉及的网络安全问题;也可以选择将数据实时上传到系统平台或者工作人员手机，对现场进行实时监测；</w:t>
      </w:r>
    </w:p>
    <w:p w14:paraId="04289A16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利用外嵌太阳能板+内置锂电池的供电方式进行供电，实现使用时间超过7天以上的供电需求，保证期间的稳定使用;</w:t>
      </w:r>
    </w:p>
    <w:p w14:paraId="2AAFE03B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装置监测到零线漏电情况出现，触发红色灯光告警，并同步触发告警语音，多重效果防止人员靠近漏电区域;</w:t>
      </w:r>
    </w:p>
    <w:p w14:paraId="6F4CE290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利用线圈采集电流的原理，来进行对零线的电流进行采集，一旦零线上有电流流过，在采集电流数据的同时，并利用程序设计自主转化为实时电压数；</w:t>
      </w:r>
    </w:p>
    <w:p w14:paraId="564649F0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利用柔性开口闭合的安装方式直接安装在零线的导线上，通过该方式的固定，稳固不掉落;</w:t>
      </w:r>
    </w:p>
    <w:p w14:paraId="74F2B70D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装置内置通信模块进行辅助定位，并同步联动提前备注好现场安装的经纬度，发生零线漏电的台变的位置快速精准的定位。</w:t>
      </w:r>
    </w:p>
    <w:p w14:paraId="0F23B647">
      <w:pPr>
        <w:numPr>
          <w:ilvl w:val="0"/>
          <w:numId w:val="1"/>
        </w:numPr>
        <w:ind w:left="425" w:leftChars="0" w:hanging="425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其他要求:</w:t>
      </w:r>
    </w:p>
    <w:p w14:paraId="278E437D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为加快推动项目整体研发进度，加工供应商需配合甲方外派驻点技术开发人员1名，直至项目完成验收，时间不低于30天;</w:t>
      </w:r>
    </w:p>
    <w:p w14:paraId="335BC715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为加快推动项目整体研发进度，加工供应商需在5天内交付符合本项目的产品的软件开发服务，10天内交付产品加工服务，并且配合甲方完成试点应用，提供及试点应用方案;</w:t>
      </w:r>
    </w:p>
    <w:p w14:paraId="1E95E067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加工供应商需配合甲方至少完成1项发明专利技术交底书、并申请受理；</w:t>
      </w:r>
    </w:p>
    <w:p w14:paraId="48388F35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加工供应商近3年承接过同类项目或产品的业绩，需提供至少10份业绩证明材料，证明材料需要包含发票、合同、验收单或检验报告；</w:t>
      </w:r>
    </w:p>
    <w:p w14:paraId="65724EBE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加工供应商需要提供加工的原理图或对应的产品原理算法；</w:t>
      </w:r>
    </w:p>
    <w:p w14:paraId="38E91C33">
      <w:pPr>
        <w:numPr>
          <w:ilvl w:val="1"/>
          <w:numId w:val="1"/>
        </w:numPr>
        <w:ind w:left="567" w:leftChars="0" w:hanging="567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如因加工供应商自身原因，甲方出整改通知书后仍不能完成本项目相关加工任务，甲方执行《中国南方电网有限责任公司供应商失信扣分管理细则(2023年版)》附录C“南方电,网公司供应商扣分条款”第16021项执行的扣分，按四舍五入保留小数点后两位。管理细则(2023年版)》附录C“南方电,网公司供应商扣分条款”第16021项执行的扣分，按按四舍五入保留小数点后两位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235EC0"/>
    <w:multiLevelType w:val="multilevel"/>
    <w:tmpl w:val="03235EC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6E283E"/>
    <w:rsid w:val="042E6E68"/>
    <w:rsid w:val="21D07D38"/>
    <w:rsid w:val="3B6E283E"/>
    <w:rsid w:val="6A54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2025-12-05T01:02:00Z</dcterms:created>
  <dc:creator>weizifan</dc:creator>
  <cp:lastModifiedBy>weizifan</cp:lastModifiedBy>
  <dcterms:modified xsi:type="dcterms:W3CDTF">2025-12-05T01:56:55Z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04F63AEFEF894D208389083C9525E9E9_11</vt:lpwstr>
  </property>
</Properties>
</file>