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42CC0B">
      <w:pPr>
        <w:numPr>
          <w:ilvl w:val="0"/>
          <w:numId w:val="1"/>
        </w:numPr>
        <w:ind w:left="425" w:leftChars="0" w:hanging="425" w:firstLineChars="0"/>
        <w:rPr>
          <w:rFonts w:hint="default" w:ascii="宋体" w:hAnsi="宋体" w:eastAsia="宋体" w:cs="Times New Roman"/>
          <w:kern w:val="2"/>
          <w:sz w:val="24"/>
          <w:szCs w:val="24"/>
          <w:lang w:val="en-US" w:eastAsia="zh-CN" w:bidi="ar"/>
        </w:rPr>
      </w:pPr>
      <w:r>
        <w:rPr>
          <w:rFonts w:hint="default" w:ascii="宋体" w:hAnsi="宋体" w:eastAsia="宋体" w:cs="Times New Roman"/>
          <w:kern w:val="2"/>
          <w:sz w:val="24"/>
          <w:szCs w:val="24"/>
          <w:lang w:val="en-US" w:eastAsia="zh-CN" w:bidi="ar"/>
        </w:rPr>
        <w:t>技术要求：</w:t>
      </w:r>
    </w:p>
    <w:p w14:paraId="50992591">
      <w:pPr>
        <w:numPr>
          <w:ilvl w:val="1"/>
          <w:numId w:val="1"/>
        </w:numPr>
        <w:ind w:left="567" w:leftChars="0" w:hanging="567" w:firstLineChars="0"/>
        <w:rPr>
          <w:rFonts w:hint="default" w:ascii="宋体" w:hAnsi="宋体" w:eastAsia="宋体" w:cs="Times New Roman"/>
          <w:kern w:val="2"/>
          <w:sz w:val="24"/>
          <w:szCs w:val="24"/>
          <w:lang w:val="en-US" w:eastAsia="zh-CN" w:bidi="ar"/>
        </w:rPr>
      </w:pPr>
      <w:r>
        <w:rPr>
          <w:rFonts w:hint="default" w:ascii="宋体" w:hAnsi="宋体" w:eastAsia="宋体" w:cs="Times New Roman"/>
          <w:kern w:val="2"/>
          <w:sz w:val="24"/>
          <w:szCs w:val="24"/>
          <w:lang w:val="en-US" w:eastAsia="zh-CN" w:bidi="ar"/>
        </w:rPr>
        <w:t>装置实现防护等级为IP68，满足在户外健康、安全运行的现场应用需求，并完成1套现场测试验收合格的产品实物;</w:t>
      </w:r>
    </w:p>
    <w:p w14:paraId="4862C1BD">
      <w:pPr>
        <w:numPr>
          <w:ilvl w:val="1"/>
          <w:numId w:val="1"/>
        </w:numPr>
        <w:ind w:left="567" w:leftChars="0" w:hanging="567" w:firstLineChars="0"/>
        <w:rPr>
          <w:rFonts w:hint="default" w:ascii="宋体" w:hAnsi="宋体" w:eastAsia="宋体" w:cs="Times New Roman"/>
          <w:kern w:val="2"/>
          <w:sz w:val="24"/>
          <w:szCs w:val="24"/>
          <w:lang w:val="en-US" w:eastAsia="zh-CN" w:bidi="ar"/>
        </w:rPr>
      </w:pPr>
      <w:r>
        <w:rPr>
          <w:rFonts w:hint="default" w:ascii="宋体" w:hAnsi="宋体" w:eastAsia="宋体" w:cs="Times New Roman"/>
          <w:kern w:val="2"/>
          <w:sz w:val="24"/>
          <w:szCs w:val="24"/>
          <w:lang w:val="en-US" w:eastAsia="zh-CN" w:bidi="ar"/>
        </w:rPr>
        <w:t>装置利用无源取电的方式进行采集电流漏电电流，利用采集得到的漏电电流进行判断对应的电力设备是否发生漏电事故，并利用漏电的电流作为设备启动的阈值，设备不发生漏电的情况下，则处于休眠状态;</w:t>
      </w:r>
    </w:p>
    <w:p w14:paraId="35D67216">
      <w:pPr>
        <w:numPr>
          <w:ilvl w:val="1"/>
          <w:numId w:val="1"/>
        </w:numPr>
        <w:ind w:left="567" w:leftChars="0" w:hanging="567" w:firstLineChars="0"/>
        <w:rPr>
          <w:rFonts w:hint="default" w:ascii="宋体" w:hAnsi="宋体" w:eastAsia="宋体" w:cs="Times New Roman"/>
          <w:kern w:val="2"/>
          <w:sz w:val="24"/>
          <w:szCs w:val="24"/>
          <w:lang w:val="en-US" w:eastAsia="zh-CN" w:bidi="ar"/>
        </w:rPr>
      </w:pPr>
      <w:r>
        <w:rPr>
          <w:rFonts w:hint="default" w:ascii="宋体" w:hAnsi="宋体" w:eastAsia="宋体" w:cs="Times New Roman"/>
          <w:kern w:val="2"/>
          <w:sz w:val="24"/>
          <w:szCs w:val="24"/>
          <w:lang w:val="en-US" w:eastAsia="zh-CN" w:bidi="ar"/>
        </w:rPr>
        <w:t>现场发生漏电情况，可选择本地化报警，无需传输到平台，无需考虑信息传输涉及的网络安全问题;也可以选择将数据实时上传到系统平台或者工作人品手机，，对现场进行实时收测:</w:t>
      </w:r>
    </w:p>
    <w:p w14:paraId="001625EE">
      <w:pPr>
        <w:numPr>
          <w:ilvl w:val="1"/>
          <w:numId w:val="1"/>
        </w:numPr>
        <w:ind w:left="567" w:leftChars="0" w:hanging="567" w:firstLineChars="0"/>
        <w:rPr>
          <w:rFonts w:hint="default" w:ascii="宋体" w:hAnsi="宋体" w:eastAsia="宋体" w:cs="Times New Roman"/>
          <w:kern w:val="2"/>
          <w:sz w:val="24"/>
          <w:szCs w:val="24"/>
          <w:lang w:val="en-US" w:eastAsia="zh-CN" w:bidi="ar"/>
        </w:rPr>
      </w:pPr>
      <w:r>
        <w:rPr>
          <w:rFonts w:hint="default" w:ascii="宋体" w:hAnsi="宋体" w:eastAsia="宋体" w:cs="Times New Roman"/>
          <w:kern w:val="2"/>
          <w:sz w:val="24"/>
          <w:szCs w:val="24"/>
          <w:lang w:val="en-US" w:eastAsia="zh-CN" w:bidi="ar"/>
        </w:rPr>
        <w:t>利用外嵌太阳能板+内置锂电池的供电方式进行供电，实现使用时间超过7天以上的供电需求，保证期间的稳定使用;</w:t>
      </w:r>
    </w:p>
    <w:p w14:paraId="3828542E">
      <w:pPr>
        <w:numPr>
          <w:ilvl w:val="1"/>
          <w:numId w:val="1"/>
        </w:numPr>
        <w:ind w:left="567" w:leftChars="0" w:hanging="567" w:firstLineChars="0"/>
        <w:rPr>
          <w:rFonts w:hint="default" w:ascii="宋体" w:hAnsi="宋体" w:eastAsia="宋体" w:cs="Times New Roman"/>
          <w:kern w:val="2"/>
          <w:sz w:val="24"/>
          <w:szCs w:val="24"/>
          <w:lang w:val="en-US" w:eastAsia="zh-CN" w:bidi="ar"/>
        </w:rPr>
      </w:pPr>
      <w:r>
        <w:rPr>
          <w:rFonts w:hint="default" w:ascii="宋体" w:hAnsi="宋体" w:eastAsia="宋体" w:cs="Times New Roman"/>
          <w:kern w:val="2"/>
          <w:sz w:val="24"/>
          <w:szCs w:val="24"/>
          <w:lang w:val="en-US" w:eastAsia="zh-CN" w:bidi="ar"/>
        </w:rPr>
        <w:t>装置监测到水浸以及漏电情况出现，触发红色灯光告警，并同步触发告警语音，多重效果防止人员靠近漏电区域;</w:t>
      </w:r>
    </w:p>
    <w:p w14:paraId="26984A41">
      <w:pPr>
        <w:numPr>
          <w:ilvl w:val="1"/>
          <w:numId w:val="1"/>
        </w:numPr>
        <w:ind w:left="567" w:leftChars="0" w:hanging="567" w:firstLineChars="0"/>
        <w:rPr>
          <w:rFonts w:hint="default" w:ascii="宋体" w:hAnsi="宋体" w:eastAsia="宋体" w:cs="Times New Roman"/>
          <w:kern w:val="2"/>
          <w:sz w:val="24"/>
          <w:szCs w:val="24"/>
          <w:lang w:val="en-US" w:eastAsia="zh-CN" w:bidi="ar"/>
        </w:rPr>
      </w:pPr>
      <w:r>
        <w:rPr>
          <w:rFonts w:hint="default" w:ascii="宋体" w:hAnsi="宋体" w:eastAsia="宋体" w:cs="Times New Roman"/>
          <w:kern w:val="2"/>
          <w:sz w:val="24"/>
          <w:szCs w:val="24"/>
          <w:lang w:val="en-US" w:eastAsia="zh-CN" w:bidi="ar"/>
        </w:rPr>
        <w:t>利用匹配多种配件进行联动，能安装在不同的使用环境，包括变压器台变、拉线、电杆、环网柜、铁塔等等，实现场景多用性;</w:t>
      </w:r>
    </w:p>
    <w:p w14:paraId="29CD8E11">
      <w:pPr>
        <w:numPr>
          <w:ilvl w:val="1"/>
          <w:numId w:val="1"/>
        </w:numPr>
        <w:ind w:left="567" w:leftChars="0" w:hanging="567" w:firstLineChars="0"/>
        <w:rPr>
          <w:rFonts w:hint="default" w:ascii="宋体" w:hAnsi="宋体" w:eastAsia="宋体" w:cs="Times New Roman"/>
          <w:kern w:val="2"/>
          <w:sz w:val="24"/>
          <w:szCs w:val="24"/>
          <w:lang w:val="en-US" w:eastAsia="zh-CN" w:bidi="ar"/>
        </w:rPr>
      </w:pPr>
      <w:r>
        <w:rPr>
          <w:rFonts w:hint="default" w:ascii="宋体" w:hAnsi="宋体" w:eastAsia="宋体" w:cs="Times New Roman"/>
          <w:kern w:val="2"/>
          <w:sz w:val="24"/>
          <w:szCs w:val="24"/>
          <w:lang w:val="en-US" w:eastAsia="zh-CN" w:bidi="ar"/>
        </w:rPr>
        <w:t>满足小电流漏电实时检测，满足低压、中压电压等级的应用环境:</w:t>
      </w:r>
    </w:p>
    <w:p w14:paraId="13689DD6">
      <w:pPr>
        <w:numPr>
          <w:ilvl w:val="1"/>
          <w:numId w:val="1"/>
        </w:numPr>
        <w:ind w:left="567" w:leftChars="0" w:hanging="567" w:firstLineChars="0"/>
        <w:rPr>
          <w:rFonts w:hint="default" w:ascii="宋体" w:hAnsi="宋体" w:eastAsia="宋体" w:cs="Times New Roman"/>
          <w:kern w:val="2"/>
          <w:sz w:val="24"/>
          <w:szCs w:val="24"/>
          <w:lang w:val="en-US" w:eastAsia="zh-CN" w:bidi="ar"/>
        </w:rPr>
      </w:pPr>
      <w:r>
        <w:rPr>
          <w:rFonts w:hint="default" w:ascii="宋体" w:hAnsi="宋体" w:eastAsia="宋体" w:cs="Times New Roman"/>
          <w:kern w:val="2"/>
          <w:sz w:val="24"/>
          <w:szCs w:val="24"/>
          <w:lang w:val="en-US" w:eastAsia="zh-CN" w:bidi="ar"/>
        </w:rPr>
        <w:t>装置内置通信模块进行辅助定位，并同步联动提前备注好现场安装的经纬度，发生零线漏电的台变的位置快速精准的定位。</w:t>
      </w:r>
    </w:p>
    <w:p w14:paraId="79F38915">
      <w:pPr>
        <w:numPr>
          <w:ilvl w:val="0"/>
          <w:numId w:val="1"/>
        </w:numPr>
        <w:ind w:left="425" w:leftChars="0" w:hanging="425" w:firstLineChars="0"/>
        <w:rPr>
          <w:rFonts w:hint="default" w:ascii="宋体" w:hAnsi="宋体" w:eastAsia="宋体" w:cs="Times New Roman"/>
          <w:kern w:val="2"/>
          <w:sz w:val="24"/>
          <w:szCs w:val="24"/>
          <w:lang w:val="en-US" w:eastAsia="zh-CN" w:bidi="ar"/>
        </w:rPr>
      </w:pPr>
      <w:r>
        <w:rPr>
          <w:rFonts w:hint="default" w:ascii="宋体" w:hAnsi="宋体" w:eastAsia="宋体" w:cs="Times New Roman"/>
          <w:kern w:val="2"/>
          <w:sz w:val="24"/>
          <w:szCs w:val="24"/>
          <w:lang w:val="en-US" w:eastAsia="zh-CN" w:bidi="ar"/>
        </w:rPr>
        <w:t>其他要求:</w:t>
      </w:r>
    </w:p>
    <w:p w14:paraId="0A776A0C">
      <w:pPr>
        <w:numPr>
          <w:ilvl w:val="1"/>
          <w:numId w:val="1"/>
        </w:numPr>
        <w:ind w:left="567" w:leftChars="0" w:hanging="567" w:firstLineChars="0"/>
        <w:rPr>
          <w:rFonts w:hint="default" w:ascii="宋体" w:hAnsi="宋体" w:eastAsia="宋体" w:cs="Times New Roman"/>
          <w:kern w:val="2"/>
          <w:sz w:val="24"/>
          <w:szCs w:val="24"/>
          <w:lang w:val="en-US" w:eastAsia="zh-CN" w:bidi="ar"/>
        </w:rPr>
      </w:pPr>
      <w:r>
        <w:rPr>
          <w:rFonts w:hint="default" w:ascii="宋体" w:hAnsi="宋体" w:eastAsia="宋体" w:cs="Times New Roman"/>
          <w:kern w:val="2"/>
          <w:sz w:val="24"/>
          <w:szCs w:val="24"/>
          <w:lang w:val="en-US" w:eastAsia="zh-CN" w:bidi="ar"/>
        </w:rPr>
        <w:t>为加快推动项目整体研发进度，加工供应商需配合甲方外派驻点技术开发人员1名，直至项日完成验收，时间不低于30天;</w:t>
      </w:r>
    </w:p>
    <w:p w14:paraId="0E75B91B">
      <w:pPr>
        <w:numPr>
          <w:ilvl w:val="1"/>
          <w:numId w:val="1"/>
        </w:numPr>
        <w:ind w:left="567" w:leftChars="0" w:hanging="567" w:firstLineChars="0"/>
        <w:rPr>
          <w:rFonts w:hint="default" w:ascii="宋体" w:hAnsi="宋体" w:eastAsia="宋体" w:cs="Times New Roman"/>
          <w:kern w:val="2"/>
          <w:sz w:val="24"/>
          <w:szCs w:val="24"/>
          <w:lang w:val="en-US" w:eastAsia="zh-CN" w:bidi="ar"/>
        </w:rPr>
      </w:pPr>
      <w:r>
        <w:rPr>
          <w:rFonts w:hint="default" w:ascii="宋体" w:hAnsi="宋体" w:eastAsia="宋体" w:cs="Times New Roman"/>
          <w:kern w:val="2"/>
          <w:sz w:val="24"/>
          <w:szCs w:val="24"/>
          <w:lang w:val="en-US" w:eastAsia="zh-CN" w:bidi="ar"/>
        </w:rPr>
        <w:t>为加快推动项目整体研发进度，加工供应商需在5天内交付符合本项目的产品的软件开发服务</w:t>
      </w:r>
      <w:r>
        <w:rPr>
          <w:rFonts w:hint="eastAsia" w:ascii="宋体" w:hAnsi="宋体" w:eastAsia="宋体" w:cs="Times New Roman"/>
          <w:kern w:val="2"/>
          <w:sz w:val="24"/>
          <w:szCs w:val="24"/>
          <w:lang w:val="en-US" w:eastAsia="zh-CN" w:bidi="ar"/>
        </w:rPr>
        <w:t>，10</w:t>
      </w:r>
      <w:bookmarkStart w:id="0" w:name="_GoBack"/>
      <w:bookmarkEnd w:id="0"/>
      <w:r>
        <w:rPr>
          <w:rFonts w:hint="default" w:ascii="宋体" w:hAnsi="宋体" w:eastAsia="宋体" w:cs="Times New Roman"/>
          <w:kern w:val="2"/>
          <w:sz w:val="24"/>
          <w:szCs w:val="24"/>
          <w:lang w:val="en-US" w:eastAsia="zh-CN" w:bidi="ar"/>
        </w:rPr>
        <w:t>天内交付产品加工服务，并且配合甲方完成试点应用，提供及试点应用方案;</w:t>
      </w:r>
    </w:p>
    <w:p w14:paraId="34040333">
      <w:pPr>
        <w:numPr>
          <w:ilvl w:val="1"/>
          <w:numId w:val="1"/>
        </w:numPr>
        <w:ind w:left="567" w:leftChars="0" w:hanging="567" w:firstLineChars="0"/>
        <w:rPr>
          <w:rFonts w:hint="default" w:ascii="宋体" w:hAnsi="宋体" w:eastAsia="宋体" w:cs="Times New Roman"/>
          <w:kern w:val="2"/>
          <w:sz w:val="24"/>
          <w:szCs w:val="24"/>
          <w:lang w:val="en-US" w:eastAsia="zh-CN" w:bidi="ar"/>
        </w:rPr>
      </w:pPr>
      <w:r>
        <w:rPr>
          <w:rFonts w:hint="default" w:ascii="宋体" w:hAnsi="宋体" w:eastAsia="宋体" w:cs="Times New Roman"/>
          <w:kern w:val="2"/>
          <w:sz w:val="24"/>
          <w:szCs w:val="24"/>
          <w:lang w:val="en-US" w:eastAsia="zh-CN" w:bidi="ar"/>
        </w:rPr>
        <w:t>加工供应商需配合甲方至少完成1项发明专利技术交底书、并申请受理；</w:t>
      </w:r>
    </w:p>
    <w:p w14:paraId="53311B30">
      <w:pPr>
        <w:numPr>
          <w:ilvl w:val="1"/>
          <w:numId w:val="1"/>
        </w:numPr>
        <w:ind w:left="567" w:leftChars="0" w:hanging="567" w:firstLineChars="0"/>
        <w:rPr>
          <w:rFonts w:hint="default" w:ascii="宋体" w:hAnsi="宋体" w:eastAsia="宋体" w:cs="Times New Roman"/>
          <w:kern w:val="2"/>
          <w:sz w:val="24"/>
          <w:szCs w:val="24"/>
          <w:lang w:val="en-US" w:eastAsia="zh-CN" w:bidi="ar"/>
        </w:rPr>
      </w:pPr>
      <w:r>
        <w:rPr>
          <w:rFonts w:hint="default" w:ascii="宋体" w:hAnsi="宋体" w:eastAsia="宋体" w:cs="Times New Roman"/>
          <w:kern w:val="2"/>
          <w:sz w:val="24"/>
          <w:szCs w:val="24"/>
          <w:lang w:val="en-US" w:eastAsia="zh-CN" w:bidi="ar"/>
        </w:rPr>
        <w:t>加工供应商近3年承接过同类项目或产品的业绩，需提供至少10份业绩证明材料，证明材料需要包含发票、合同、验收单或检验报告；</w:t>
      </w:r>
    </w:p>
    <w:p w14:paraId="3FB10B25">
      <w:pPr>
        <w:numPr>
          <w:ilvl w:val="1"/>
          <w:numId w:val="1"/>
        </w:numPr>
        <w:ind w:left="567" w:leftChars="0" w:hanging="567" w:firstLineChars="0"/>
        <w:rPr>
          <w:rFonts w:hint="default" w:ascii="宋体" w:hAnsi="宋体" w:eastAsia="宋体" w:cs="Times New Roman"/>
          <w:kern w:val="2"/>
          <w:sz w:val="24"/>
          <w:szCs w:val="24"/>
          <w:lang w:val="en-US" w:eastAsia="zh-CN" w:bidi="ar"/>
        </w:rPr>
      </w:pPr>
      <w:r>
        <w:rPr>
          <w:rFonts w:hint="default" w:ascii="宋体" w:hAnsi="宋体" w:eastAsia="宋体" w:cs="Times New Roman"/>
          <w:kern w:val="2"/>
          <w:sz w:val="24"/>
          <w:szCs w:val="24"/>
          <w:lang w:val="en-US" w:eastAsia="zh-CN" w:bidi="ar"/>
        </w:rPr>
        <w:t>加工供应商需要提供加工的原理图或对应的产品原理算法；</w:t>
      </w:r>
    </w:p>
    <w:p w14:paraId="788FD75B">
      <w:pPr>
        <w:numPr>
          <w:ilvl w:val="1"/>
          <w:numId w:val="1"/>
        </w:numPr>
        <w:ind w:left="567" w:leftChars="0" w:hanging="567" w:firstLineChars="0"/>
        <w:rPr>
          <w:sz w:val="24"/>
          <w:szCs w:val="24"/>
        </w:rPr>
      </w:pPr>
      <w:r>
        <w:rPr>
          <w:rFonts w:hint="default" w:ascii="宋体" w:hAnsi="宋体" w:eastAsia="宋体" w:cs="Times New Roman"/>
          <w:kern w:val="2"/>
          <w:sz w:val="24"/>
          <w:szCs w:val="24"/>
          <w:lang w:val="en-US" w:eastAsia="zh-CN" w:bidi="ar"/>
        </w:rPr>
        <w:t>如因加工供应商自身原因，甲方出整改通知书后仍不能完成本项目加工任务，甲方执行《中国南方电网有限责任公司供应商失信扣分管理细则(2023年版)》附录C“南方电,网公司供应商扣分条款”第16021项执行的扣分，按四舍五入保留小数点后两位。</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DB1440"/>
    <w:multiLevelType w:val="multilevel"/>
    <w:tmpl w:val="5EDB1440"/>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814F00"/>
    <w:rsid w:val="3A4F76D5"/>
    <w:rsid w:val="6A54201C"/>
    <w:rsid w:val="6A814F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2025-12-05T01:31:00Z</dcterms:created>
  <dc:creator>weizifan</dc:creator>
  <cp:lastModifiedBy>weizifan</cp:lastModifiedBy>
  <dcterms:modified xsi:type="dcterms:W3CDTF">2025-12-05T01:51:36Z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A533A3329A8C41E58C3226F3039EBF34_11</vt:lpwstr>
  </property>
</Properties>
</file>