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83076">
      <w:pPr>
        <w:spacing w:line="360" w:lineRule="auto"/>
        <w:rPr>
          <w:sz w:val="24"/>
          <w:szCs w:val="24"/>
        </w:rPr>
      </w:pPr>
      <w:r>
        <w:drawing>
          <wp:anchor distT="0" distB="0" distL="114300" distR="114300" simplePos="0" relativeHeight="251659264" behindDoc="1" locked="0" layoutInCell="1" allowOverlap="1">
            <wp:simplePos x="0" y="0"/>
            <wp:positionH relativeFrom="column">
              <wp:posOffset>-1028700</wp:posOffset>
            </wp:positionH>
            <wp:positionV relativeFrom="paragraph">
              <wp:posOffset>-1080135</wp:posOffset>
            </wp:positionV>
            <wp:extent cx="7684135" cy="2734310"/>
            <wp:effectExtent l="19050" t="0" r="0" b="0"/>
            <wp:wrapTight wrapText="bothSides">
              <wp:wrapPolygon>
                <wp:start x="-54" y="0"/>
                <wp:lineTo x="-54" y="21520"/>
                <wp:lineTo x="21580" y="21520"/>
                <wp:lineTo x="21580" y="0"/>
                <wp:lineTo x="-54"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10" cstate="print"/>
                    <a:srcRect/>
                    <a:stretch>
                      <a:fillRect/>
                    </a:stretch>
                  </pic:blipFill>
                  <pic:spPr>
                    <a:xfrm>
                      <a:off x="0" y="0"/>
                      <a:ext cx="7684135" cy="2734310"/>
                    </a:xfrm>
                    <a:prstGeom prst="rect">
                      <a:avLst/>
                    </a:prstGeom>
                    <a:noFill/>
                  </pic:spPr>
                </pic:pic>
              </a:graphicData>
            </a:graphic>
          </wp:anchor>
        </w:drawing>
      </w:r>
    </w:p>
    <w:p w14:paraId="5A10C911">
      <w:pPr>
        <w:spacing w:line="360" w:lineRule="auto"/>
        <w:jc w:val="center"/>
        <w:rPr>
          <w:b/>
          <w:sz w:val="52"/>
        </w:rPr>
      </w:pPr>
    </w:p>
    <w:p w14:paraId="49D115FE">
      <w:pPr>
        <w:ind w:firstLine="522" w:firstLineChars="100"/>
        <w:jc w:val="center"/>
        <w:rPr>
          <w:rFonts w:eastAsia="黑体"/>
          <w:b/>
          <w:sz w:val="52"/>
        </w:rPr>
      </w:pPr>
      <w:bookmarkStart w:id="0" w:name="_Toc131133981"/>
      <w:bookmarkStart w:id="1" w:name="_Toc131168595"/>
      <w:bookmarkStart w:id="2" w:name="_Toc183578143"/>
      <w:bookmarkStart w:id="3" w:name="_Toc131134327"/>
      <w:bookmarkStart w:id="4" w:name="_Toc114028927"/>
      <w:bookmarkStart w:id="5" w:name="_Toc131134226"/>
    </w:p>
    <w:bookmarkEnd w:id="0"/>
    <w:bookmarkEnd w:id="1"/>
    <w:bookmarkEnd w:id="2"/>
    <w:bookmarkEnd w:id="3"/>
    <w:bookmarkEnd w:id="4"/>
    <w:bookmarkEnd w:id="5"/>
    <w:p w14:paraId="0EF45978">
      <w:pPr>
        <w:spacing w:line="360" w:lineRule="auto"/>
        <w:jc w:val="center"/>
        <w:rPr>
          <w:rFonts w:hint="eastAsia" w:ascii="黑体" w:hAnsi="黑体" w:eastAsia="黑体"/>
          <w:b/>
          <w:sz w:val="52"/>
          <w:lang w:val="en-US" w:eastAsia="zh-CN"/>
        </w:rPr>
      </w:pPr>
      <w:r>
        <w:rPr>
          <w:rFonts w:hint="eastAsia" w:ascii="黑体" w:hAnsi="黑体" w:eastAsia="黑体"/>
          <w:b/>
          <w:sz w:val="52"/>
        </w:rPr>
        <w:t>计量电压切换</w:t>
      </w:r>
      <w:r>
        <w:rPr>
          <w:rFonts w:hint="eastAsia" w:ascii="黑体" w:hAnsi="黑体" w:eastAsia="黑体"/>
          <w:b/>
          <w:sz w:val="52"/>
          <w:lang w:val="en-US" w:eastAsia="zh-CN"/>
        </w:rPr>
        <w:t>板</w:t>
      </w:r>
    </w:p>
    <w:p w14:paraId="334C7CCB">
      <w:pPr>
        <w:spacing w:line="360" w:lineRule="auto"/>
        <w:jc w:val="center"/>
        <w:rPr>
          <w:rFonts w:ascii="黑体" w:hAnsi="黑体" w:eastAsia="黑体"/>
          <w:b/>
          <w:sz w:val="52"/>
        </w:rPr>
      </w:pPr>
      <w:r>
        <w:rPr>
          <w:rFonts w:hint="eastAsia" w:ascii="黑体" w:hAnsi="黑体" w:eastAsia="黑体"/>
          <w:b/>
          <w:sz w:val="52"/>
        </w:rPr>
        <w:t>技术规范书</w:t>
      </w:r>
    </w:p>
    <w:p w14:paraId="4FDB21B5">
      <w:pPr>
        <w:spacing w:line="360" w:lineRule="auto"/>
        <w:jc w:val="center"/>
        <w:rPr>
          <w:rFonts w:eastAsia="楷体_GB2312"/>
          <w:b/>
          <w:sz w:val="28"/>
          <w:szCs w:val="28"/>
        </w:rPr>
      </w:pPr>
    </w:p>
    <w:p w14:paraId="3D58F7D2">
      <w:pPr>
        <w:spacing w:before="480" w:beforeLines="200" w:line="360" w:lineRule="auto"/>
        <w:jc w:val="center"/>
        <w:rPr>
          <w:rFonts w:ascii="宋体" w:hAnsi="Calibri" w:eastAsia="黑体" w:cs="黑体"/>
          <w:b/>
          <w:spacing w:val="10"/>
          <w:kern w:val="0"/>
          <w:sz w:val="36"/>
        </w:rPr>
      </w:pPr>
      <w:r>
        <w:rPr>
          <w:rFonts w:hint="eastAsia" w:ascii="宋体" w:hAnsi="Calibri" w:eastAsia="黑体" w:cs="黑体"/>
          <w:b/>
          <w:spacing w:val="10"/>
          <w:kern w:val="0"/>
          <w:sz w:val="36"/>
        </w:rPr>
        <w:t>编号：</w:t>
      </w:r>
    </w:p>
    <w:p w14:paraId="7B73EEAE">
      <w:pPr>
        <w:spacing w:before="480" w:beforeLines="200" w:line="360" w:lineRule="auto"/>
        <w:ind w:firstLine="763"/>
        <w:jc w:val="center"/>
        <w:rPr>
          <w:rFonts w:ascii="宋体" w:hAnsi="Calibri" w:eastAsia="黑体" w:cs="黑体"/>
          <w:b/>
          <w:spacing w:val="10"/>
          <w:kern w:val="0"/>
          <w:sz w:val="36"/>
        </w:rPr>
      </w:pPr>
    </w:p>
    <w:p w14:paraId="1553E08F">
      <w:pPr>
        <w:spacing w:before="480" w:beforeLines="200" w:line="360" w:lineRule="auto"/>
        <w:ind w:firstLine="763"/>
        <w:jc w:val="center"/>
        <w:rPr>
          <w:rFonts w:ascii="宋体" w:hAnsi="Calibri" w:eastAsia="黑体" w:cs="黑体"/>
          <w:b/>
          <w:spacing w:val="10"/>
          <w:kern w:val="0"/>
          <w:sz w:val="36"/>
        </w:rPr>
      </w:pPr>
    </w:p>
    <w:p w14:paraId="27246B36">
      <w:pPr>
        <w:spacing w:line="360" w:lineRule="auto"/>
        <w:jc w:val="center"/>
        <w:rPr>
          <w:rFonts w:eastAsia="楷体_GB2312"/>
          <w:b/>
          <w:sz w:val="28"/>
          <w:szCs w:val="28"/>
        </w:rPr>
      </w:pPr>
    </w:p>
    <w:p w14:paraId="0D6D8A66">
      <w:pPr>
        <w:spacing w:line="360" w:lineRule="auto"/>
        <w:jc w:val="center"/>
        <w:rPr>
          <w:rFonts w:eastAsia="楷体_GB2312"/>
          <w:b/>
          <w:sz w:val="28"/>
          <w:szCs w:val="28"/>
        </w:rPr>
      </w:pPr>
    </w:p>
    <w:p w14:paraId="50063F29">
      <w:pPr>
        <w:spacing w:line="360" w:lineRule="auto"/>
        <w:jc w:val="center"/>
        <w:rPr>
          <w:rFonts w:eastAsia="楷体_GB2312"/>
          <w:b/>
          <w:sz w:val="28"/>
          <w:szCs w:val="28"/>
        </w:rPr>
      </w:pPr>
    </w:p>
    <w:p w14:paraId="62898429">
      <w:pPr>
        <w:spacing w:line="360" w:lineRule="auto"/>
        <w:jc w:val="center"/>
        <w:rPr>
          <w:rFonts w:eastAsia="楷体_GB2312"/>
          <w:b/>
          <w:sz w:val="28"/>
          <w:szCs w:val="28"/>
        </w:rPr>
      </w:pPr>
    </w:p>
    <w:p w14:paraId="1FCBC5C1">
      <w:pPr>
        <w:spacing w:line="360" w:lineRule="auto"/>
        <w:jc w:val="center"/>
        <w:rPr>
          <w:rFonts w:eastAsia="楷体_GB2312"/>
          <w:b/>
          <w:sz w:val="28"/>
          <w:szCs w:val="28"/>
        </w:rPr>
      </w:pPr>
    </w:p>
    <w:p w14:paraId="385AC0E0">
      <w:pPr>
        <w:adjustRightInd w:val="0"/>
        <w:snapToGrid w:val="0"/>
        <w:spacing w:line="360" w:lineRule="auto"/>
        <w:jc w:val="center"/>
        <w:textAlignment w:val="baseline"/>
        <w:rPr>
          <w:rFonts w:hAnsi="宋体"/>
          <w:b/>
          <w:bCs/>
          <w:kern w:val="0"/>
          <w:sz w:val="32"/>
          <w:szCs w:val="32"/>
        </w:rPr>
      </w:pPr>
      <w:bookmarkStart w:id="6" w:name="_Toc524231956"/>
    </w:p>
    <w:p w14:paraId="28A1DA29">
      <w:pPr>
        <w:adjustRightInd w:val="0"/>
        <w:snapToGrid w:val="0"/>
        <w:spacing w:line="360" w:lineRule="auto"/>
        <w:jc w:val="center"/>
        <w:textAlignment w:val="baseline"/>
        <w:rPr>
          <w:rFonts w:hAnsi="宋体"/>
          <w:b/>
          <w:bCs/>
          <w:kern w:val="0"/>
          <w:sz w:val="32"/>
          <w:szCs w:val="32"/>
        </w:rPr>
      </w:pPr>
      <w:r>
        <w:rPr>
          <w:rFonts w:hAnsi="宋体"/>
          <w:b/>
          <w:bCs/>
          <w:kern w:val="0"/>
          <w:sz w:val="32"/>
          <w:szCs w:val="32"/>
        </w:rPr>
        <w:t>目</w:t>
      </w:r>
      <w:r>
        <w:rPr>
          <w:b/>
          <w:bCs/>
          <w:kern w:val="0"/>
          <w:sz w:val="32"/>
          <w:szCs w:val="32"/>
        </w:rPr>
        <w:t xml:space="preserve">    </w:t>
      </w:r>
      <w:r>
        <w:rPr>
          <w:rFonts w:hint="eastAsia" w:hAnsi="宋体"/>
          <w:b/>
          <w:bCs/>
          <w:kern w:val="0"/>
          <w:sz w:val="32"/>
          <w:szCs w:val="32"/>
        </w:rPr>
        <w:t>录</w:t>
      </w:r>
    </w:p>
    <w:p w14:paraId="7868E7A6">
      <w:pPr>
        <w:adjustRightInd w:val="0"/>
        <w:snapToGrid w:val="0"/>
        <w:spacing w:line="360" w:lineRule="auto"/>
        <w:jc w:val="center"/>
        <w:textAlignment w:val="baseline"/>
        <w:rPr>
          <w:bCs/>
          <w:kern w:val="0"/>
          <w:sz w:val="24"/>
          <w:szCs w:val="32"/>
        </w:rPr>
      </w:pPr>
    </w:p>
    <w:p w14:paraId="55D41320">
      <w:pPr>
        <w:pStyle w:val="11"/>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rPr>
          <w:rFonts w:asciiTheme="minorEastAsia" w:hAnsiTheme="minorEastAsia" w:eastAsiaTheme="minorEastAsia"/>
          <w:szCs w:val="28"/>
        </w:rPr>
        <w:fldChar w:fldCharType="begin"/>
      </w:r>
      <w:r>
        <w:rPr>
          <w:rFonts w:asciiTheme="minorEastAsia" w:hAnsiTheme="minorEastAsia" w:eastAsiaTheme="minorEastAsia"/>
          <w:szCs w:val="28"/>
        </w:rPr>
        <w:instrText xml:space="preserve"> HYPERLINK \l _Toc25837 </w:instrText>
      </w:r>
      <w:r>
        <w:rPr>
          <w:rFonts w:asciiTheme="minorEastAsia" w:hAnsiTheme="minorEastAsia" w:eastAsiaTheme="minorEastAsia"/>
          <w:szCs w:val="28"/>
        </w:rPr>
        <w:fldChar w:fldCharType="separate"/>
      </w:r>
      <w:r>
        <w:rPr>
          <w:rFonts w:hint="eastAsia" w:asciiTheme="minorEastAsia" w:hAnsiTheme="minorEastAsia" w:eastAsiaTheme="minorEastAsia"/>
          <w:kern w:val="0"/>
          <w:szCs w:val="28"/>
        </w:rPr>
        <w:t>1.总  则</w:t>
      </w:r>
      <w:r>
        <w:tab/>
      </w:r>
      <w:r>
        <w:fldChar w:fldCharType="begin"/>
      </w:r>
      <w:r>
        <w:instrText xml:space="preserve"> PAGEREF _Toc25837 \h </w:instrText>
      </w:r>
      <w:r>
        <w:fldChar w:fldCharType="separate"/>
      </w:r>
      <w:r>
        <w:t>1</w:t>
      </w:r>
      <w:r>
        <w:fldChar w:fldCharType="end"/>
      </w:r>
      <w:r>
        <w:rPr>
          <w:rFonts w:asciiTheme="minorEastAsia" w:hAnsiTheme="minorEastAsia" w:eastAsiaTheme="minorEastAsia"/>
          <w:szCs w:val="28"/>
        </w:rPr>
        <w:fldChar w:fldCharType="end"/>
      </w:r>
    </w:p>
    <w:p w14:paraId="07F08916">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_Toc19054 </w:instrText>
      </w:r>
      <w:r>
        <w:rPr>
          <w:rFonts w:asciiTheme="minorEastAsia" w:hAnsiTheme="minorEastAsia" w:eastAsiaTheme="minorEastAsia"/>
          <w:kern w:val="0"/>
          <w:szCs w:val="28"/>
        </w:rPr>
        <w:fldChar w:fldCharType="separate"/>
      </w:r>
      <w:r>
        <w:rPr>
          <w:rFonts w:hint="eastAsia" w:asciiTheme="minorEastAsia" w:hAnsiTheme="minorEastAsia" w:eastAsiaTheme="minorEastAsia"/>
          <w:kern w:val="0"/>
          <w:szCs w:val="28"/>
        </w:rPr>
        <w:t>2.技术要求</w:t>
      </w:r>
      <w:r>
        <w:tab/>
      </w:r>
      <w:r>
        <w:fldChar w:fldCharType="begin"/>
      </w:r>
      <w:r>
        <w:instrText xml:space="preserve"> PAGEREF _Toc19054 \h </w:instrText>
      </w:r>
      <w:r>
        <w:fldChar w:fldCharType="separate"/>
      </w:r>
      <w:r>
        <w:t>1</w:t>
      </w:r>
      <w:r>
        <w:fldChar w:fldCharType="end"/>
      </w:r>
      <w:r>
        <w:rPr>
          <w:rFonts w:asciiTheme="minorEastAsia" w:hAnsiTheme="minorEastAsia" w:eastAsiaTheme="minorEastAsia"/>
          <w:kern w:val="0"/>
          <w:szCs w:val="28"/>
        </w:rPr>
        <w:fldChar w:fldCharType="end"/>
      </w:r>
    </w:p>
    <w:p w14:paraId="1825FC65">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_Toc21885 </w:instrText>
      </w:r>
      <w:r>
        <w:rPr>
          <w:rFonts w:asciiTheme="minorEastAsia" w:hAnsiTheme="minorEastAsia" w:eastAsiaTheme="minorEastAsia"/>
          <w:kern w:val="0"/>
          <w:szCs w:val="28"/>
        </w:rPr>
        <w:fldChar w:fldCharType="separate"/>
      </w:r>
      <w:r>
        <w:rPr>
          <w:rFonts w:hint="eastAsia" w:asciiTheme="minorEastAsia" w:hAnsiTheme="minorEastAsia" w:eastAsiaTheme="minorEastAsia"/>
          <w:kern w:val="0"/>
          <w:szCs w:val="28"/>
        </w:rPr>
        <w:t>2.1  应遵循的主要标准</w:t>
      </w:r>
      <w:r>
        <w:tab/>
      </w:r>
      <w:r>
        <w:fldChar w:fldCharType="begin"/>
      </w:r>
      <w:r>
        <w:instrText xml:space="preserve"> PAGEREF _Toc21885 \h </w:instrText>
      </w:r>
      <w:r>
        <w:fldChar w:fldCharType="separate"/>
      </w:r>
      <w:r>
        <w:t>1</w:t>
      </w:r>
      <w:r>
        <w:fldChar w:fldCharType="end"/>
      </w:r>
      <w:r>
        <w:rPr>
          <w:rFonts w:asciiTheme="minorEastAsia" w:hAnsiTheme="minorEastAsia" w:eastAsiaTheme="minorEastAsia"/>
          <w:kern w:val="0"/>
          <w:szCs w:val="28"/>
        </w:rPr>
        <w:fldChar w:fldCharType="end"/>
      </w:r>
    </w:p>
    <w:p w14:paraId="2327D0B8">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_Toc26189 </w:instrText>
      </w:r>
      <w:r>
        <w:rPr>
          <w:rFonts w:asciiTheme="minorEastAsia" w:hAnsiTheme="minorEastAsia" w:eastAsiaTheme="minorEastAsia"/>
          <w:kern w:val="0"/>
          <w:szCs w:val="28"/>
        </w:rPr>
        <w:fldChar w:fldCharType="separate"/>
      </w:r>
      <w:r>
        <w:rPr>
          <w:rFonts w:hint="eastAsia" w:asciiTheme="minorEastAsia" w:hAnsiTheme="minorEastAsia" w:eastAsiaTheme="minorEastAsia"/>
          <w:kern w:val="0"/>
          <w:szCs w:val="28"/>
        </w:rPr>
        <w:t>2.2  环境条件</w:t>
      </w:r>
      <w:r>
        <w:tab/>
      </w:r>
      <w:r>
        <w:fldChar w:fldCharType="begin"/>
      </w:r>
      <w:r>
        <w:instrText xml:space="preserve"> PAGEREF _Toc26189 \h </w:instrText>
      </w:r>
      <w:r>
        <w:fldChar w:fldCharType="separate"/>
      </w:r>
      <w:r>
        <w:t>3</w:t>
      </w:r>
      <w:r>
        <w:fldChar w:fldCharType="end"/>
      </w:r>
      <w:r>
        <w:rPr>
          <w:rFonts w:asciiTheme="minorEastAsia" w:hAnsiTheme="minorEastAsia" w:eastAsiaTheme="minorEastAsia"/>
          <w:kern w:val="0"/>
          <w:szCs w:val="28"/>
        </w:rPr>
        <w:fldChar w:fldCharType="end"/>
      </w:r>
    </w:p>
    <w:p w14:paraId="67456A48">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_Toc12249 </w:instrText>
      </w:r>
      <w:r>
        <w:rPr>
          <w:rFonts w:asciiTheme="minorEastAsia" w:hAnsiTheme="minorEastAsia" w:eastAsiaTheme="minorEastAsia"/>
          <w:kern w:val="0"/>
          <w:szCs w:val="28"/>
        </w:rPr>
        <w:fldChar w:fldCharType="separate"/>
      </w:r>
      <w:r>
        <w:rPr>
          <w:rFonts w:hint="eastAsia" w:asciiTheme="minorEastAsia" w:hAnsiTheme="minorEastAsia" w:eastAsiaTheme="minorEastAsia"/>
          <w:kern w:val="0"/>
          <w:szCs w:val="28"/>
        </w:rPr>
        <w:t>2.3  电气额定值</w:t>
      </w:r>
      <w:r>
        <w:tab/>
      </w:r>
      <w:r>
        <w:fldChar w:fldCharType="begin"/>
      </w:r>
      <w:r>
        <w:instrText xml:space="preserve"> PAGEREF _Toc12249 \h </w:instrText>
      </w:r>
      <w:r>
        <w:fldChar w:fldCharType="separate"/>
      </w:r>
      <w:r>
        <w:t>4</w:t>
      </w:r>
      <w:r>
        <w:fldChar w:fldCharType="end"/>
      </w:r>
      <w:r>
        <w:rPr>
          <w:rFonts w:asciiTheme="minorEastAsia" w:hAnsiTheme="minorEastAsia" w:eastAsiaTheme="minorEastAsia"/>
          <w:kern w:val="0"/>
          <w:szCs w:val="28"/>
        </w:rPr>
        <w:fldChar w:fldCharType="end"/>
      </w:r>
    </w:p>
    <w:p w14:paraId="07BA107B">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_Toc26991 </w:instrText>
      </w:r>
      <w:r>
        <w:rPr>
          <w:rFonts w:asciiTheme="minorEastAsia" w:hAnsiTheme="minorEastAsia" w:eastAsiaTheme="minorEastAsia"/>
          <w:kern w:val="0"/>
          <w:szCs w:val="28"/>
        </w:rPr>
        <w:fldChar w:fldCharType="separate"/>
      </w:r>
      <w:r>
        <w:rPr>
          <w:rFonts w:hint="eastAsia" w:asciiTheme="minorEastAsia" w:hAnsiTheme="minorEastAsia" w:eastAsiaTheme="minorEastAsia"/>
          <w:kern w:val="0"/>
          <w:szCs w:val="28"/>
        </w:rPr>
        <w:t>2.4  技术性能</w:t>
      </w:r>
      <w:r>
        <w:tab/>
      </w:r>
      <w:r>
        <w:fldChar w:fldCharType="begin"/>
      </w:r>
      <w:r>
        <w:instrText xml:space="preserve"> PAGEREF _Toc26991 \h </w:instrText>
      </w:r>
      <w:r>
        <w:fldChar w:fldCharType="separate"/>
      </w:r>
      <w:r>
        <w:t>4</w:t>
      </w:r>
      <w:r>
        <w:fldChar w:fldCharType="end"/>
      </w:r>
      <w:r>
        <w:rPr>
          <w:rFonts w:asciiTheme="minorEastAsia" w:hAnsiTheme="minorEastAsia" w:eastAsiaTheme="minorEastAsia"/>
          <w:kern w:val="0"/>
          <w:szCs w:val="28"/>
        </w:rPr>
        <w:fldChar w:fldCharType="end"/>
      </w:r>
    </w:p>
    <w:p w14:paraId="6F56825D">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_Toc7023 </w:instrText>
      </w:r>
      <w:r>
        <w:rPr>
          <w:rFonts w:asciiTheme="minorEastAsia" w:hAnsiTheme="minorEastAsia" w:eastAsiaTheme="minorEastAsia"/>
          <w:kern w:val="0"/>
          <w:szCs w:val="28"/>
        </w:rPr>
        <w:fldChar w:fldCharType="separate"/>
      </w:r>
      <w:r>
        <w:rPr>
          <w:rFonts w:hint="eastAsia" w:asciiTheme="minorEastAsia" w:hAnsiTheme="minorEastAsia" w:eastAsiaTheme="minorEastAsia"/>
          <w:kern w:val="0"/>
          <w:szCs w:val="28"/>
        </w:rPr>
        <w:t>2.5技术要求</w:t>
      </w:r>
      <w:r>
        <w:tab/>
      </w:r>
      <w:r>
        <w:fldChar w:fldCharType="begin"/>
      </w:r>
      <w:r>
        <w:instrText xml:space="preserve"> PAGEREF _Toc7023 \h </w:instrText>
      </w:r>
      <w:r>
        <w:fldChar w:fldCharType="separate"/>
      </w:r>
      <w:r>
        <w:t>5</w:t>
      </w:r>
      <w:r>
        <w:fldChar w:fldCharType="end"/>
      </w:r>
      <w:r>
        <w:rPr>
          <w:rFonts w:asciiTheme="minorEastAsia" w:hAnsiTheme="minorEastAsia" w:eastAsiaTheme="minorEastAsia"/>
          <w:kern w:val="0"/>
          <w:szCs w:val="28"/>
        </w:rPr>
        <w:fldChar w:fldCharType="end"/>
      </w:r>
    </w:p>
    <w:p w14:paraId="73798EAE">
      <w:pPr>
        <w:pStyle w:val="11"/>
      </w:pPr>
      <w:r>
        <w:rPr>
          <w:rFonts w:asciiTheme="minorEastAsia" w:hAnsiTheme="minorEastAsia" w:eastAsiaTheme="minorEastAsia"/>
          <w:kern w:val="0"/>
          <w:szCs w:val="28"/>
        </w:rPr>
        <w:fldChar w:fldCharType="begin"/>
      </w:r>
      <w:r>
        <w:rPr>
          <w:rFonts w:asciiTheme="minorEastAsia" w:hAnsiTheme="minorEastAsia" w:eastAsiaTheme="minorEastAsia"/>
          <w:kern w:val="0"/>
          <w:szCs w:val="28"/>
        </w:rPr>
        <w:instrText xml:space="preserve"> HYPERLINK \l _Toc17623 </w:instrText>
      </w:r>
      <w:r>
        <w:rPr>
          <w:rFonts w:asciiTheme="minorEastAsia" w:hAnsiTheme="minorEastAsia" w:eastAsiaTheme="minorEastAsia"/>
          <w:kern w:val="0"/>
          <w:szCs w:val="28"/>
        </w:rPr>
        <w:fldChar w:fldCharType="separate"/>
      </w:r>
      <w:r>
        <w:rPr>
          <w:rFonts w:asciiTheme="minorEastAsia" w:hAnsiTheme="minorEastAsia" w:eastAsiaTheme="minorEastAsia"/>
          <w:kern w:val="0"/>
          <w:szCs w:val="28"/>
        </w:rPr>
        <w:t>3.</w:t>
      </w:r>
      <w:r>
        <w:rPr>
          <w:rFonts w:hint="eastAsia" w:asciiTheme="minorEastAsia" w:hAnsiTheme="minorEastAsia" w:eastAsiaTheme="minorEastAsia"/>
          <w:kern w:val="0"/>
          <w:szCs w:val="28"/>
        </w:rPr>
        <w:t>双方工作安排</w:t>
      </w:r>
      <w:r>
        <w:tab/>
      </w:r>
      <w:r>
        <w:fldChar w:fldCharType="begin"/>
      </w:r>
      <w:r>
        <w:instrText xml:space="preserve"> PAGEREF _Toc17623 \h </w:instrText>
      </w:r>
      <w:r>
        <w:fldChar w:fldCharType="separate"/>
      </w:r>
      <w:r>
        <w:t>6</w:t>
      </w:r>
      <w:r>
        <w:fldChar w:fldCharType="end"/>
      </w:r>
      <w:r>
        <w:rPr>
          <w:rFonts w:asciiTheme="minorEastAsia" w:hAnsiTheme="minorEastAsia" w:eastAsiaTheme="minorEastAsia"/>
          <w:kern w:val="0"/>
          <w:szCs w:val="28"/>
        </w:rPr>
        <w:fldChar w:fldCharType="end"/>
      </w:r>
    </w:p>
    <w:p w14:paraId="0BD23B4E">
      <w:pPr>
        <w:snapToGrid w:val="0"/>
        <w:spacing w:line="480" w:lineRule="atLeast"/>
        <w:rPr>
          <w:b/>
          <w:sz w:val="28"/>
          <w:szCs w:val="28"/>
        </w:rPr>
      </w:pPr>
      <w:r>
        <w:rPr>
          <w:rFonts w:asciiTheme="minorEastAsia" w:hAnsiTheme="minorEastAsia" w:eastAsiaTheme="minorEastAsia"/>
          <w:kern w:val="0"/>
          <w:szCs w:val="28"/>
        </w:rPr>
        <w:fldChar w:fldCharType="end"/>
      </w:r>
    </w:p>
    <w:p w14:paraId="4A978FB2">
      <w:pPr>
        <w:snapToGrid w:val="0"/>
        <w:spacing w:line="480" w:lineRule="atLeast"/>
        <w:rPr>
          <w:b/>
          <w:sz w:val="28"/>
          <w:szCs w:val="28"/>
        </w:rPr>
      </w:pPr>
    </w:p>
    <w:p w14:paraId="2A267132">
      <w:pPr>
        <w:snapToGrid w:val="0"/>
        <w:spacing w:line="480" w:lineRule="atLeast"/>
        <w:rPr>
          <w:b/>
          <w:sz w:val="28"/>
          <w:szCs w:val="28"/>
        </w:rPr>
      </w:pPr>
    </w:p>
    <w:p w14:paraId="1EA97944">
      <w:pPr>
        <w:snapToGrid w:val="0"/>
        <w:spacing w:line="480" w:lineRule="atLeast"/>
        <w:rPr>
          <w:b/>
          <w:sz w:val="28"/>
          <w:szCs w:val="28"/>
        </w:rPr>
      </w:pPr>
    </w:p>
    <w:p w14:paraId="41AD108D">
      <w:pPr>
        <w:snapToGrid w:val="0"/>
        <w:spacing w:line="480" w:lineRule="atLeast"/>
        <w:rPr>
          <w:b/>
          <w:sz w:val="28"/>
          <w:szCs w:val="28"/>
        </w:rPr>
      </w:pPr>
    </w:p>
    <w:p w14:paraId="61DA623E">
      <w:pPr>
        <w:snapToGrid w:val="0"/>
        <w:spacing w:line="480" w:lineRule="atLeast"/>
        <w:rPr>
          <w:b/>
          <w:sz w:val="28"/>
          <w:szCs w:val="28"/>
        </w:rPr>
      </w:pPr>
    </w:p>
    <w:p w14:paraId="7BAA61B2">
      <w:pPr>
        <w:snapToGrid w:val="0"/>
        <w:spacing w:line="480" w:lineRule="atLeast"/>
        <w:rPr>
          <w:b/>
          <w:sz w:val="28"/>
          <w:szCs w:val="28"/>
        </w:rPr>
      </w:pPr>
    </w:p>
    <w:p w14:paraId="5B373E3E">
      <w:pPr>
        <w:snapToGrid w:val="0"/>
        <w:spacing w:line="480" w:lineRule="atLeast"/>
        <w:rPr>
          <w:b/>
          <w:sz w:val="28"/>
          <w:szCs w:val="28"/>
        </w:rPr>
      </w:pPr>
    </w:p>
    <w:p w14:paraId="2CD85468">
      <w:pPr>
        <w:snapToGrid w:val="0"/>
        <w:spacing w:line="480" w:lineRule="atLeast"/>
        <w:rPr>
          <w:b/>
          <w:sz w:val="28"/>
          <w:szCs w:val="28"/>
        </w:rPr>
      </w:pPr>
    </w:p>
    <w:p w14:paraId="7E181CA4">
      <w:pPr>
        <w:snapToGrid w:val="0"/>
        <w:spacing w:line="480" w:lineRule="atLeast"/>
        <w:rPr>
          <w:b/>
          <w:sz w:val="28"/>
          <w:szCs w:val="28"/>
        </w:rPr>
      </w:pPr>
    </w:p>
    <w:p w14:paraId="5C5254E7">
      <w:pPr>
        <w:snapToGrid w:val="0"/>
        <w:spacing w:line="480" w:lineRule="atLeast"/>
        <w:rPr>
          <w:b/>
          <w:sz w:val="28"/>
          <w:szCs w:val="28"/>
        </w:rPr>
      </w:pPr>
    </w:p>
    <w:p w14:paraId="695809B6">
      <w:pPr>
        <w:snapToGrid w:val="0"/>
        <w:spacing w:line="480" w:lineRule="atLeast"/>
        <w:rPr>
          <w:b/>
          <w:sz w:val="28"/>
          <w:szCs w:val="28"/>
        </w:rPr>
      </w:pPr>
    </w:p>
    <w:p w14:paraId="46C99CB9">
      <w:pPr>
        <w:snapToGrid w:val="0"/>
        <w:spacing w:line="480" w:lineRule="atLeast"/>
        <w:rPr>
          <w:b/>
          <w:sz w:val="28"/>
          <w:szCs w:val="28"/>
        </w:rPr>
      </w:pPr>
    </w:p>
    <w:p w14:paraId="65212C7F">
      <w:pPr>
        <w:snapToGrid w:val="0"/>
        <w:spacing w:line="480" w:lineRule="atLeast"/>
        <w:rPr>
          <w:b/>
          <w:sz w:val="28"/>
          <w:szCs w:val="28"/>
        </w:rPr>
      </w:pPr>
    </w:p>
    <w:p w14:paraId="3D5081C1">
      <w:pPr>
        <w:snapToGrid w:val="0"/>
        <w:spacing w:line="480" w:lineRule="atLeast"/>
        <w:rPr>
          <w:b/>
          <w:sz w:val="28"/>
          <w:szCs w:val="28"/>
        </w:rPr>
      </w:pPr>
    </w:p>
    <w:p w14:paraId="1BB4F4C0">
      <w:pPr>
        <w:snapToGrid w:val="0"/>
        <w:spacing w:line="480" w:lineRule="atLeast"/>
        <w:rPr>
          <w:b/>
          <w:sz w:val="28"/>
          <w:szCs w:val="28"/>
        </w:rPr>
      </w:pPr>
      <w:bookmarkStart w:id="24" w:name="_GoBack"/>
      <w:bookmarkEnd w:id="24"/>
    </w:p>
    <w:p w14:paraId="408BDB5B">
      <w:pPr>
        <w:snapToGrid w:val="0"/>
        <w:spacing w:line="480" w:lineRule="atLeast"/>
        <w:rPr>
          <w:b/>
          <w:sz w:val="28"/>
          <w:szCs w:val="28"/>
        </w:rPr>
      </w:pPr>
    </w:p>
    <w:p w14:paraId="714036B9">
      <w:pPr>
        <w:snapToGrid w:val="0"/>
        <w:spacing w:line="480" w:lineRule="atLeast"/>
        <w:rPr>
          <w:rFonts w:hint="eastAsia"/>
          <w:b/>
          <w:sz w:val="28"/>
          <w:szCs w:val="28"/>
        </w:rPr>
      </w:pPr>
    </w:p>
    <w:p w14:paraId="34C539C0">
      <w:pPr>
        <w:snapToGrid w:val="0"/>
        <w:spacing w:line="480" w:lineRule="atLeast"/>
        <w:rPr>
          <w:rFonts w:hint="eastAsia"/>
          <w:b/>
          <w:sz w:val="28"/>
          <w:szCs w:val="28"/>
        </w:rPr>
      </w:pPr>
    </w:p>
    <w:p w14:paraId="6179533E">
      <w:pPr>
        <w:snapToGrid w:val="0"/>
        <w:spacing w:line="480" w:lineRule="atLeast"/>
        <w:rPr>
          <w:b/>
          <w:sz w:val="28"/>
          <w:szCs w:val="28"/>
        </w:rPr>
      </w:pPr>
      <w:r>
        <w:rPr>
          <w:rFonts w:hint="eastAsia"/>
          <w:b/>
          <w:sz w:val="28"/>
          <w:szCs w:val="28"/>
        </w:rPr>
        <w:t>供货范围表</w:t>
      </w:r>
    </w:p>
    <w:p w14:paraId="51BD1783">
      <w:pPr>
        <w:tabs>
          <w:tab w:val="left" w:pos="1440"/>
          <w:tab w:val="left" w:pos="3960"/>
        </w:tabs>
        <w:snapToGrid w:val="0"/>
        <w:spacing w:line="480" w:lineRule="atLeast"/>
        <w:ind w:firstLine="480" w:firstLineChars="200"/>
        <w:rPr>
          <w:rFonts w:hAnsi="宋体"/>
          <w:sz w:val="24"/>
          <w:szCs w:val="24"/>
        </w:rPr>
      </w:pPr>
      <w:bookmarkStart w:id="7" w:name="OLE_LINK2"/>
      <w:r>
        <w:rPr>
          <w:rFonts w:hAnsi="宋体"/>
          <w:sz w:val="24"/>
          <w:szCs w:val="24"/>
        </w:rPr>
        <w:t>投标方应确保供货范围完整，以能满足用户安装、运行要求为原则</w:t>
      </w:r>
      <w:r>
        <w:rPr>
          <w:rFonts w:hint="eastAsia" w:hAnsi="宋体"/>
          <w:sz w:val="24"/>
          <w:szCs w:val="24"/>
        </w:rPr>
        <w:t>，</w:t>
      </w:r>
      <w:r>
        <w:rPr>
          <w:rFonts w:hAnsi="宋体"/>
          <w:sz w:val="24"/>
          <w:szCs w:val="24"/>
        </w:rPr>
        <w:t>在技术规范中涉及的供货要求也作为本供货范围的补充，若在安装、调试、运行中发现缺项(属投标方供货范围)由投标方补充</w:t>
      </w:r>
      <w:r>
        <w:rPr>
          <w:rFonts w:hint="eastAsia" w:hAnsi="宋体"/>
          <w:sz w:val="24"/>
          <w:szCs w:val="24"/>
        </w:rPr>
        <w:t>。</w:t>
      </w:r>
      <w:bookmarkEnd w:id="7"/>
    </w:p>
    <w:tbl>
      <w:tblPr>
        <w:tblStyle w:val="13"/>
        <w:tblW w:w="9268"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643"/>
        <w:gridCol w:w="1229"/>
        <w:gridCol w:w="1291"/>
        <w:gridCol w:w="708"/>
        <w:gridCol w:w="997"/>
        <w:gridCol w:w="835"/>
        <w:gridCol w:w="720"/>
        <w:gridCol w:w="661"/>
        <w:gridCol w:w="644"/>
        <w:gridCol w:w="722"/>
      </w:tblGrid>
      <w:tr w14:paraId="74AF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5686" w:type="dxa"/>
            <w:gridSpan w:val="6"/>
            <w:vAlign w:val="center"/>
          </w:tcPr>
          <w:p w14:paraId="35BC43B8">
            <w:pPr>
              <w:widowControl/>
              <w:spacing w:line="360" w:lineRule="auto"/>
              <w:jc w:val="center"/>
              <w:rPr>
                <w:rFonts w:ascii="宋体" w:hAnsi="宋体" w:cs="宋体"/>
                <w:b/>
                <w:bCs/>
                <w:kern w:val="0"/>
                <w:sz w:val="24"/>
              </w:rPr>
            </w:pPr>
            <w:r>
              <w:rPr>
                <w:rFonts w:hAnsi="宋体"/>
                <w:b/>
              </w:rPr>
              <w:t>设备需求</w:t>
            </w:r>
          </w:p>
        </w:tc>
        <w:tc>
          <w:tcPr>
            <w:tcW w:w="3582" w:type="dxa"/>
            <w:gridSpan w:val="5"/>
            <w:vAlign w:val="center"/>
          </w:tcPr>
          <w:p w14:paraId="3B36F07D">
            <w:pPr>
              <w:snapToGrid w:val="0"/>
              <w:spacing w:line="360" w:lineRule="auto"/>
              <w:jc w:val="center"/>
              <w:rPr>
                <w:rFonts w:hAnsi="宋体"/>
                <w:b/>
              </w:rPr>
            </w:pPr>
            <w:r>
              <w:rPr>
                <w:rFonts w:hAnsi="宋体"/>
                <w:b/>
              </w:rPr>
              <w:t>投标人响应</w:t>
            </w:r>
          </w:p>
        </w:tc>
      </w:tr>
      <w:tr w14:paraId="14B9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818" w:type="dxa"/>
            <w:vAlign w:val="center"/>
          </w:tcPr>
          <w:p w14:paraId="340F6AC7">
            <w:pPr>
              <w:widowControl/>
              <w:spacing w:line="360" w:lineRule="auto"/>
              <w:jc w:val="center"/>
              <w:rPr>
                <w:rFonts w:ascii="宋体" w:hAnsi="宋体" w:cs="宋体"/>
                <w:b/>
                <w:bCs/>
                <w:kern w:val="0"/>
                <w:sz w:val="24"/>
              </w:rPr>
            </w:pPr>
            <w:r>
              <w:rPr>
                <w:rFonts w:hint="eastAsia" w:ascii="宋体" w:hAnsi="宋体" w:cs="宋体"/>
                <w:b/>
                <w:bCs/>
                <w:kern w:val="0"/>
                <w:sz w:val="24"/>
              </w:rPr>
              <w:t>序号</w:t>
            </w:r>
          </w:p>
        </w:tc>
        <w:tc>
          <w:tcPr>
            <w:tcW w:w="643" w:type="dxa"/>
          </w:tcPr>
          <w:p w14:paraId="123C89C6">
            <w:pPr>
              <w:snapToGrid w:val="0"/>
              <w:spacing w:line="360" w:lineRule="auto"/>
              <w:jc w:val="center"/>
              <w:rPr>
                <w:b/>
              </w:rPr>
            </w:pPr>
            <w:r>
              <w:rPr>
                <w:rFonts w:hAnsi="宋体"/>
                <w:b/>
              </w:rPr>
              <w:t>物资</w:t>
            </w:r>
          </w:p>
          <w:p w14:paraId="44297121">
            <w:pPr>
              <w:widowControl/>
              <w:spacing w:line="360" w:lineRule="auto"/>
              <w:jc w:val="center"/>
              <w:rPr>
                <w:rFonts w:ascii="宋体" w:hAnsi="宋体" w:cs="宋体"/>
                <w:b/>
                <w:bCs/>
                <w:kern w:val="0"/>
                <w:sz w:val="24"/>
              </w:rPr>
            </w:pPr>
            <w:r>
              <w:rPr>
                <w:rFonts w:hAnsi="宋体"/>
                <w:b/>
              </w:rPr>
              <w:t>编码</w:t>
            </w:r>
          </w:p>
        </w:tc>
        <w:tc>
          <w:tcPr>
            <w:tcW w:w="1229" w:type="dxa"/>
            <w:vAlign w:val="center"/>
          </w:tcPr>
          <w:p w14:paraId="5D0E586A">
            <w:pPr>
              <w:widowControl/>
              <w:spacing w:line="360" w:lineRule="auto"/>
              <w:jc w:val="center"/>
              <w:rPr>
                <w:rFonts w:ascii="宋体" w:hAnsi="宋体" w:cs="宋体"/>
                <w:b/>
                <w:bCs/>
                <w:kern w:val="0"/>
                <w:sz w:val="24"/>
              </w:rPr>
            </w:pPr>
            <w:r>
              <w:rPr>
                <w:rFonts w:hAnsi="宋体"/>
                <w:b/>
              </w:rPr>
              <w:t>名</w:t>
            </w:r>
            <w:r>
              <w:rPr>
                <w:rFonts w:hint="eastAsia" w:hAnsi="宋体"/>
                <w:b/>
              </w:rPr>
              <w:t xml:space="preserve">  </w:t>
            </w:r>
            <w:r>
              <w:rPr>
                <w:rFonts w:hAnsi="宋体"/>
                <w:b/>
              </w:rPr>
              <w:t>称</w:t>
            </w:r>
          </w:p>
        </w:tc>
        <w:tc>
          <w:tcPr>
            <w:tcW w:w="1291" w:type="dxa"/>
          </w:tcPr>
          <w:p w14:paraId="483AA2F5">
            <w:r>
              <w:rPr>
                <w:rFonts w:hAnsi="宋体"/>
                <w:b/>
              </w:rPr>
              <w:t>主要技术要求</w:t>
            </w:r>
          </w:p>
        </w:tc>
        <w:tc>
          <w:tcPr>
            <w:tcW w:w="708" w:type="dxa"/>
            <w:vAlign w:val="center"/>
          </w:tcPr>
          <w:p w14:paraId="122763AA">
            <w:pPr>
              <w:widowControl/>
              <w:spacing w:line="360" w:lineRule="auto"/>
              <w:jc w:val="center"/>
              <w:rPr>
                <w:rFonts w:ascii="宋体" w:hAnsi="宋体" w:cs="宋体"/>
                <w:b/>
                <w:bCs/>
                <w:kern w:val="0"/>
                <w:sz w:val="24"/>
              </w:rPr>
            </w:pPr>
            <w:r>
              <w:rPr>
                <w:rFonts w:hint="eastAsia" w:ascii="宋体" w:hAnsi="宋体" w:cs="宋体"/>
                <w:b/>
                <w:bCs/>
                <w:kern w:val="0"/>
                <w:sz w:val="24"/>
              </w:rPr>
              <w:t>单位</w:t>
            </w:r>
          </w:p>
        </w:tc>
        <w:tc>
          <w:tcPr>
            <w:tcW w:w="997" w:type="dxa"/>
            <w:vAlign w:val="center"/>
          </w:tcPr>
          <w:p w14:paraId="2A6001A5">
            <w:pPr>
              <w:widowControl/>
              <w:spacing w:line="360" w:lineRule="auto"/>
              <w:jc w:val="center"/>
              <w:rPr>
                <w:rFonts w:ascii="宋体" w:hAnsi="宋体" w:cs="宋体"/>
                <w:b/>
                <w:bCs/>
                <w:kern w:val="0"/>
                <w:sz w:val="24"/>
              </w:rPr>
            </w:pPr>
            <w:r>
              <w:rPr>
                <w:rFonts w:hint="eastAsia" w:ascii="宋体" w:hAnsi="宋体" w:cs="宋体"/>
                <w:b/>
                <w:bCs/>
                <w:kern w:val="0"/>
                <w:sz w:val="24"/>
              </w:rPr>
              <w:t>数量</w:t>
            </w:r>
          </w:p>
        </w:tc>
        <w:tc>
          <w:tcPr>
            <w:tcW w:w="835" w:type="dxa"/>
            <w:vAlign w:val="center"/>
          </w:tcPr>
          <w:p w14:paraId="4819E1EA">
            <w:pPr>
              <w:snapToGrid w:val="0"/>
              <w:spacing w:line="360" w:lineRule="auto"/>
              <w:jc w:val="center"/>
              <w:rPr>
                <w:b/>
              </w:rPr>
            </w:pPr>
            <w:r>
              <w:rPr>
                <w:rFonts w:hAnsi="宋体"/>
                <w:b/>
              </w:rPr>
              <w:t>主要技术要求</w:t>
            </w:r>
          </w:p>
        </w:tc>
        <w:tc>
          <w:tcPr>
            <w:tcW w:w="720" w:type="dxa"/>
            <w:vAlign w:val="center"/>
          </w:tcPr>
          <w:p w14:paraId="0A79C48E">
            <w:pPr>
              <w:snapToGrid w:val="0"/>
              <w:spacing w:line="360" w:lineRule="auto"/>
              <w:jc w:val="center"/>
              <w:rPr>
                <w:rFonts w:hAnsi="宋体"/>
                <w:b/>
              </w:rPr>
            </w:pPr>
            <w:r>
              <w:rPr>
                <w:rFonts w:hAnsi="宋体"/>
                <w:b/>
              </w:rPr>
              <w:t>型号</w:t>
            </w:r>
          </w:p>
          <w:p w14:paraId="37B26DBD">
            <w:pPr>
              <w:snapToGrid w:val="0"/>
              <w:spacing w:line="360" w:lineRule="auto"/>
              <w:jc w:val="center"/>
              <w:rPr>
                <w:b/>
              </w:rPr>
            </w:pPr>
            <w:r>
              <w:rPr>
                <w:rFonts w:hAnsi="宋体"/>
                <w:b/>
                <w:w w:val="85"/>
              </w:rPr>
              <w:t>及规范</w:t>
            </w:r>
          </w:p>
        </w:tc>
        <w:tc>
          <w:tcPr>
            <w:tcW w:w="661" w:type="dxa"/>
            <w:vAlign w:val="center"/>
          </w:tcPr>
          <w:p w14:paraId="3BD46A4A">
            <w:pPr>
              <w:snapToGrid w:val="0"/>
              <w:spacing w:line="360" w:lineRule="auto"/>
              <w:jc w:val="center"/>
              <w:rPr>
                <w:b/>
              </w:rPr>
            </w:pPr>
            <w:r>
              <w:rPr>
                <w:rFonts w:hAnsi="宋体"/>
                <w:b/>
              </w:rPr>
              <w:t>单位</w:t>
            </w:r>
          </w:p>
        </w:tc>
        <w:tc>
          <w:tcPr>
            <w:tcW w:w="644" w:type="dxa"/>
            <w:vAlign w:val="center"/>
          </w:tcPr>
          <w:p w14:paraId="1F4D50BD">
            <w:pPr>
              <w:snapToGrid w:val="0"/>
              <w:spacing w:line="360" w:lineRule="auto"/>
              <w:jc w:val="center"/>
              <w:rPr>
                <w:b/>
              </w:rPr>
            </w:pPr>
            <w:r>
              <w:rPr>
                <w:rFonts w:hAnsi="宋体"/>
                <w:b/>
              </w:rPr>
              <w:t>数量</w:t>
            </w:r>
          </w:p>
        </w:tc>
        <w:tc>
          <w:tcPr>
            <w:tcW w:w="722" w:type="dxa"/>
            <w:vAlign w:val="center"/>
          </w:tcPr>
          <w:p w14:paraId="5B83D0F6">
            <w:pPr>
              <w:snapToGrid w:val="0"/>
              <w:spacing w:line="360" w:lineRule="auto"/>
              <w:jc w:val="center"/>
              <w:rPr>
                <w:b/>
              </w:rPr>
            </w:pPr>
            <w:r>
              <w:rPr>
                <w:rFonts w:hAnsi="宋体"/>
                <w:b/>
              </w:rPr>
              <w:t>备注</w:t>
            </w:r>
          </w:p>
        </w:tc>
      </w:tr>
      <w:tr w14:paraId="18C0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818" w:type="dxa"/>
            <w:vAlign w:val="center"/>
          </w:tcPr>
          <w:p w14:paraId="5DB773E1">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1</w:t>
            </w:r>
          </w:p>
        </w:tc>
        <w:tc>
          <w:tcPr>
            <w:tcW w:w="643" w:type="dxa"/>
          </w:tcPr>
          <w:p w14:paraId="50773837">
            <w:pPr>
              <w:widowControl/>
              <w:jc w:val="left"/>
              <w:rPr>
                <w:rFonts w:ascii="宋体" w:hAnsi="宋体" w:cs="宋体"/>
                <w:color w:val="000000"/>
                <w:kern w:val="0"/>
                <w:sz w:val="24"/>
              </w:rPr>
            </w:pPr>
          </w:p>
        </w:tc>
        <w:tc>
          <w:tcPr>
            <w:tcW w:w="1229" w:type="dxa"/>
            <w:vAlign w:val="center"/>
          </w:tcPr>
          <w:p w14:paraId="24BFDEF2">
            <w:pPr>
              <w:widowControl/>
              <w:jc w:val="left"/>
              <w:rPr>
                <w:rFonts w:hint="eastAsia" w:ascii="宋体" w:hAnsi="宋体" w:eastAsia="宋体" w:cs="宋体"/>
                <w:color w:val="000000"/>
                <w:kern w:val="0"/>
                <w:sz w:val="24"/>
                <w:lang w:eastAsia="zh-CN"/>
              </w:rPr>
            </w:pPr>
            <w:r>
              <w:rPr>
                <w:rFonts w:hint="eastAsia" w:ascii="宋体" w:hAnsi="宋体" w:cs="宋体"/>
                <w:color w:val="000000"/>
                <w:kern w:val="0"/>
                <w:sz w:val="24"/>
              </w:rPr>
              <w:t>计量电压切换</w:t>
            </w:r>
            <w:r>
              <w:rPr>
                <w:rFonts w:hint="eastAsia" w:ascii="宋体" w:hAnsi="宋体" w:cs="宋体"/>
                <w:color w:val="000000"/>
                <w:kern w:val="0"/>
                <w:sz w:val="24"/>
                <w:lang w:val="en-US" w:eastAsia="zh-CN"/>
              </w:rPr>
              <w:t>插件</w:t>
            </w:r>
          </w:p>
        </w:tc>
        <w:tc>
          <w:tcPr>
            <w:tcW w:w="1291" w:type="dxa"/>
            <w:vAlign w:val="center"/>
          </w:tcPr>
          <w:p w14:paraId="4B209CB6">
            <w:pPr>
              <w:widowControl/>
              <w:jc w:val="left"/>
              <w:rPr>
                <w:rFonts w:ascii="宋体" w:hAnsi="宋体" w:cs="宋体"/>
                <w:color w:val="000000"/>
                <w:kern w:val="0"/>
                <w:sz w:val="24"/>
              </w:rPr>
            </w:pPr>
            <w:r>
              <w:rPr>
                <w:rFonts w:hint="eastAsia" w:ascii="宋体" w:hAnsi="宋体" w:cs="宋体"/>
                <w:color w:val="000000"/>
                <w:kern w:val="0"/>
                <w:sz w:val="24"/>
              </w:rPr>
              <w:t>计量电压切换</w:t>
            </w:r>
            <w:r>
              <w:rPr>
                <w:rFonts w:hint="eastAsia" w:ascii="宋体" w:hAnsi="宋体" w:cs="宋体"/>
                <w:color w:val="000000"/>
                <w:kern w:val="0"/>
                <w:sz w:val="24"/>
                <w:lang w:val="en-US" w:eastAsia="zh-CN"/>
              </w:rPr>
              <w:t>插件</w:t>
            </w:r>
            <w:r>
              <w:rPr>
                <w:rFonts w:hint="eastAsia" w:ascii="宋体" w:hAnsi="宋体" w:cs="宋体"/>
                <w:color w:val="000000"/>
                <w:kern w:val="0"/>
                <w:sz w:val="24"/>
              </w:rPr>
              <w:t>（具有独立的双母线电压切换功能）</w:t>
            </w:r>
          </w:p>
        </w:tc>
        <w:tc>
          <w:tcPr>
            <w:tcW w:w="708" w:type="dxa"/>
            <w:vAlign w:val="center"/>
          </w:tcPr>
          <w:p w14:paraId="3144C8FB">
            <w:pPr>
              <w:widowControl/>
              <w:jc w:val="center"/>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块</w:t>
            </w:r>
          </w:p>
        </w:tc>
        <w:tc>
          <w:tcPr>
            <w:tcW w:w="997" w:type="dxa"/>
            <w:vAlign w:val="center"/>
          </w:tcPr>
          <w:p w14:paraId="5A973CF1">
            <w:pPr>
              <w:widowControl/>
              <w:jc w:val="center"/>
              <w:rPr>
                <w:rFonts w:ascii="宋体" w:hAnsi="宋体" w:cs="宋体"/>
                <w:color w:val="000000"/>
                <w:kern w:val="0"/>
                <w:sz w:val="24"/>
              </w:rPr>
            </w:pPr>
          </w:p>
        </w:tc>
        <w:tc>
          <w:tcPr>
            <w:tcW w:w="835" w:type="dxa"/>
            <w:vAlign w:val="center"/>
          </w:tcPr>
          <w:p w14:paraId="032C7647">
            <w:pPr>
              <w:widowControl/>
              <w:spacing w:line="360" w:lineRule="auto"/>
              <w:jc w:val="center"/>
              <w:rPr>
                <w:rFonts w:ascii="宋体" w:hAnsi="宋体" w:cs="宋体"/>
                <w:kern w:val="0"/>
                <w:sz w:val="22"/>
                <w:szCs w:val="22"/>
              </w:rPr>
            </w:pPr>
          </w:p>
        </w:tc>
        <w:tc>
          <w:tcPr>
            <w:tcW w:w="720" w:type="dxa"/>
          </w:tcPr>
          <w:p w14:paraId="011F9546">
            <w:pPr>
              <w:widowControl/>
              <w:spacing w:line="360" w:lineRule="auto"/>
              <w:jc w:val="center"/>
              <w:rPr>
                <w:rFonts w:ascii="宋体" w:hAnsi="宋体" w:cs="宋体"/>
                <w:kern w:val="0"/>
                <w:sz w:val="22"/>
                <w:szCs w:val="22"/>
              </w:rPr>
            </w:pPr>
          </w:p>
        </w:tc>
        <w:tc>
          <w:tcPr>
            <w:tcW w:w="661" w:type="dxa"/>
          </w:tcPr>
          <w:p w14:paraId="1926E88A">
            <w:pPr>
              <w:widowControl/>
              <w:spacing w:line="360" w:lineRule="auto"/>
              <w:jc w:val="center"/>
              <w:rPr>
                <w:rFonts w:ascii="宋体" w:hAnsi="宋体" w:cs="宋体"/>
                <w:color w:val="FF0000"/>
                <w:kern w:val="0"/>
                <w:sz w:val="22"/>
                <w:szCs w:val="22"/>
              </w:rPr>
            </w:pPr>
          </w:p>
        </w:tc>
        <w:tc>
          <w:tcPr>
            <w:tcW w:w="644" w:type="dxa"/>
          </w:tcPr>
          <w:p w14:paraId="1D70FF2C">
            <w:pPr>
              <w:widowControl/>
              <w:spacing w:line="360" w:lineRule="auto"/>
              <w:jc w:val="center"/>
              <w:rPr>
                <w:rFonts w:ascii="宋体" w:hAnsi="宋体" w:cs="宋体"/>
                <w:color w:val="FF0000"/>
                <w:kern w:val="0"/>
                <w:sz w:val="22"/>
                <w:szCs w:val="22"/>
              </w:rPr>
            </w:pPr>
          </w:p>
        </w:tc>
        <w:tc>
          <w:tcPr>
            <w:tcW w:w="722" w:type="dxa"/>
          </w:tcPr>
          <w:p w14:paraId="219CBFF7">
            <w:pPr>
              <w:widowControl/>
              <w:spacing w:line="360" w:lineRule="auto"/>
              <w:jc w:val="center"/>
              <w:rPr>
                <w:rFonts w:ascii="宋体" w:hAnsi="宋体" w:cs="宋体"/>
                <w:color w:val="FF0000"/>
                <w:kern w:val="0"/>
                <w:sz w:val="22"/>
                <w:szCs w:val="22"/>
              </w:rPr>
            </w:pPr>
          </w:p>
        </w:tc>
      </w:tr>
      <w:tr w14:paraId="40953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8" w:type="dxa"/>
            <w:vAlign w:val="center"/>
          </w:tcPr>
          <w:p w14:paraId="27E3C734">
            <w:pPr>
              <w:spacing w:line="400" w:lineRule="exact"/>
              <w:jc w:val="center"/>
              <w:rPr>
                <w:rFonts w:ascii="Arial" w:hAnsi="Arial" w:cs="Arial"/>
                <w:szCs w:val="21"/>
                <w:shd w:val="clear" w:color="auto" w:fill="FFFFFF"/>
              </w:rPr>
            </w:pPr>
          </w:p>
        </w:tc>
        <w:tc>
          <w:tcPr>
            <w:tcW w:w="643" w:type="dxa"/>
            <w:vAlign w:val="center"/>
          </w:tcPr>
          <w:p w14:paraId="0A897477">
            <w:pPr>
              <w:snapToGrid w:val="0"/>
              <w:spacing w:line="480" w:lineRule="atLeast"/>
              <w:jc w:val="center"/>
              <w:rPr>
                <w:sz w:val="24"/>
              </w:rPr>
            </w:pPr>
          </w:p>
        </w:tc>
        <w:tc>
          <w:tcPr>
            <w:tcW w:w="1229" w:type="dxa"/>
            <w:vAlign w:val="center"/>
          </w:tcPr>
          <w:p w14:paraId="559E4459">
            <w:pPr>
              <w:jc w:val="left"/>
              <w:rPr>
                <w:sz w:val="22"/>
                <w:szCs w:val="22"/>
              </w:rPr>
            </w:pPr>
          </w:p>
        </w:tc>
        <w:tc>
          <w:tcPr>
            <w:tcW w:w="1291" w:type="dxa"/>
            <w:vAlign w:val="center"/>
          </w:tcPr>
          <w:p w14:paraId="704D9359">
            <w:pPr>
              <w:snapToGrid w:val="0"/>
              <w:spacing w:line="360" w:lineRule="auto"/>
              <w:jc w:val="left"/>
              <w:rPr>
                <w:sz w:val="22"/>
                <w:szCs w:val="22"/>
              </w:rPr>
            </w:pPr>
          </w:p>
        </w:tc>
        <w:tc>
          <w:tcPr>
            <w:tcW w:w="708" w:type="dxa"/>
            <w:vAlign w:val="center"/>
          </w:tcPr>
          <w:p w14:paraId="6A08E139">
            <w:pPr>
              <w:autoSpaceDE w:val="0"/>
              <w:autoSpaceDN w:val="0"/>
              <w:spacing w:line="360" w:lineRule="auto"/>
              <w:rPr>
                <w:sz w:val="22"/>
                <w:szCs w:val="22"/>
              </w:rPr>
            </w:pPr>
          </w:p>
        </w:tc>
        <w:tc>
          <w:tcPr>
            <w:tcW w:w="997" w:type="dxa"/>
            <w:vAlign w:val="center"/>
          </w:tcPr>
          <w:p w14:paraId="04338768">
            <w:pPr>
              <w:autoSpaceDE w:val="0"/>
              <w:autoSpaceDN w:val="0"/>
              <w:spacing w:line="360" w:lineRule="auto"/>
              <w:jc w:val="center"/>
              <w:rPr>
                <w:sz w:val="22"/>
                <w:szCs w:val="22"/>
              </w:rPr>
            </w:pPr>
          </w:p>
        </w:tc>
        <w:tc>
          <w:tcPr>
            <w:tcW w:w="835" w:type="dxa"/>
            <w:vAlign w:val="center"/>
          </w:tcPr>
          <w:p w14:paraId="227D2E64">
            <w:pPr>
              <w:widowControl/>
              <w:spacing w:line="360" w:lineRule="auto"/>
              <w:jc w:val="center"/>
              <w:rPr>
                <w:rFonts w:ascii="宋体" w:hAnsi="宋体" w:cs="宋体"/>
                <w:kern w:val="0"/>
                <w:sz w:val="22"/>
                <w:szCs w:val="22"/>
              </w:rPr>
            </w:pPr>
          </w:p>
        </w:tc>
        <w:tc>
          <w:tcPr>
            <w:tcW w:w="720" w:type="dxa"/>
          </w:tcPr>
          <w:p w14:paraId="394E3532">
            <w:pPr>
              <w:widowControl/>
              <w:spacing w:line="360" w:lineRule="auto"/>
              <w:jc w:val="center"/>
              <w:rPr>
                <w:rFonts w:ascii="宋体" w:hAnsi="宋体" w:cs="宋体"/>
                <w:kern w:val="0"/>
                <w:sz w:val="22"/>
                <w:szCs w:val="22"/>
              </w:rPr>
            </w:pPr>
          </w:p>
        </w:tc>
        <w:tc>
          <w:tcPr>
            <w:tcW w:w="661" w:type="dxa"/>
          </w:tcPr>
          <w:p w14:paraId="2F410085">
            <w:pPr>
              <w:widowControl/>
              <w:spacing w:line="360" w:lineRule="auto"/>
              <w:jc w:val="center"/>
              <w:rPr>
                <w:rFonts w:ascii="宋体" w:hAnsi="宋体" w:cs="宋体"/>
                <w:color w:val="FF0000"/>
                <w:kern w:val="0"/>
                <w:sz w:val="22"/>
                <w:szCs w:val="22"/>
              </w:rPr>
            </w:pPr>
          </w:p>
        </w:tc>
        <w:tc>
          <w:tcPr>
            <w:tcW w:w="644" w:type="dxa"/>
          </w:tcPr>
          <w:p w14:paraId="1D2104A4">
            <w:pPr>
              <w:widowControl/>
              <w:spacing w:line="360" w:lineRule="auto"/>
              <w:jc w:val="center"/>
              <w:rPr>
                <w:rFonts w:ascii="宋体" w:hAnsi="宋体" w:cs="宋体"/>
                <w:color w:val="FF0000"/>
                <w:kern w:val="0"/>
                <w:sz w:val="22"/>
                <w:szCs w:val="22"/>
              </w:rPr>
            </w:pPr>
          </w:p>
        </w:tc>
        <w:tc>
          <w:tcPr>
            <w:tcW w:w="722" w:type="dxa"/>
          </w:tcPr>
          <w:p w14:paraId="04094A2A">
            <w:pPr>
              <w:widowControl/>
              <w:spacing w:line="360" w:lineRule="auto"/>
              <w:jc w:val="center"/>
              <w:rPr>
                <w:rFonts w:ascii="宋体" w:hAnsi="宋体" w:cs="宋体"/>
                <w:color w:val="FF0000"/>
                <w:kern w:val="0"/>
                <w:sz w:val="22"/>
                <w:szCs w:val="22"/>
              </w:rPr>
            </w:pPr>
          </w:p>
        </w:tc>
      </w:tr>
      <w:tr w14:paraId="4B06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818" w:type="dxa"/>
            <w:vAlign w:val="center"/>
          </w:tcPr>
          <w:p w14:paraId="3A85FA90">
            <w:pPr>
              <w:spacing w:line="400" w:lineRule="exact"/>
              <w:jc w:val="center"/>
              <w:rPr>
                <w:rFonts w:ascii="Arial" w:hAnsi="Arial" w:cs="Arial"/>
                <w:szCs w:val="21"/>
                <w:shd w:val="clear" w:color="auto" w:fill="FFFFFF"/>
              </w:rPr>
            </w:pPr>
          </w:p>
        </w:tc>
        <w:tc>
          <w:tcPr>
            <w:tcW w:w="643" w:type="dxa"/>
            <w:vAlign w:val="center"/>
          </w:tcPr>
          <w:p w14:paraId="33B2D177">
            <w:pPr>
              <w:snapToGrid w:val="0"/>
              <w:spacing w:line="480" w:lineRule="atLeast"/>
              <w:jc w:val="center"/>
              <w:rPr>
                <w:sz w:val="24"/>
              </w:rPr>
            </w:pPr>
          </w:p>
        </w:tc>
        <w:tc>
          <w:tcPr>
            <w:tcW w:w="1229" w:type="dxa"/>
            <w:vAlign w:val="center"/>
          </w:tcPr>
          <w:p w14:paraId="28DA37D4">
            <w:pPr>
              <w:adjustRightInd w:val="0"/>
              <w:snapToGrid w:val="0"/>
              <w:jc w:val="center"/>
              <w:rPr>
                <w:rFonts w:ascii="宋体" w:hAnsi="宋体" w:cs="宋体"/>
                <w:szCs w:val="21"/>
              </w:rPr>
            </w:pPr>
          </w:p>
        </w:tc>
        <w:tc>
          <w:tcPr>
            <w:tcW w:w="1291" w:type="dxa"/>
            <w:vAlign w:val="center"/>
          </w:tcPr>
          <w:p w14:paraId="6E72BEAA">
            <w:pPr>
              <w:snapToGrid w:val="0"/>
              <w:ind w:left="105" w:leftChars="50" w:right="105" w:rightChars="50"/>
              <w:rPr>
                <w:rFonts w:ascii="宋体" w:hAnsi="宋体" w:cs="宋体"/>
                <w:szCs w:val="21"/>
              </w:rPr>
            </w:pPr>
          </w:p>
        </w:tc>
        <w:tc>
          <w:tcPr>
            <w:tcW w:w="708" w:type="dxa"/>
            <w:vAlign w:val="center"/>
          </w:tcPr>
          <w:p w14:paraId="3563C8BA">
            <w:pPr>
              <w:adjustRightInd w:val="0"/>
              <w:snapToGrid w:val="0"/>
              <w:jc w:val="center"/>
              <w:rPr>
                <w:rFonts w:ascii="宋体" w:hAnsi="宋体" w:cs="宋体"/>
                <w:szCs w:val="21"/>
              </w:rPr>
            </w:pPr>
          </w:p>
        </w:tc>
        <w:tc>
          <w:tcPr>
            <w:tcW w:w="997" w:type="dxa"/>
            <w:vAlign w:val="center"/>
          </w:tcPr>
          <w:p w14:paraId="67E8E529">
            <w:pPr>
              <w:spacing w:line="400" w:lineRule="exact"/>
              <w:jc w:val="center"/>
              <w:rPr>
                <w:rFonts w:ascii="宋体" w:hAnsi="宋体" w:cs="宋体"/>
                <w:szCs w:val="21"/>
              </w:rPr>
            </w:pPr>
          </w:p>
        </w:tc>
        <w:tc>
          <w:tcPr>
            <w:tcW w:w="835" w:type="dxa"/>
            <w:vAlign w:val="center"/>
          </w:tcPr>
          <w:p w14:paraId="0DFC0CDD">
            <w:pPr>
              <w:widowControl/>
              <w:spacing w:line="360" w:lineRule="auto"/>
              <w:jc w:val="center"/>
              <w:rPr>
                <w:rFonts w:ascii="宋体" w:hAnsi="宋体" w:cs="宋体"/>
                <w:kern w:val="0"/>
                <w:sz w:val="22"/>
                <w:szCs w:val="22"/>
              </w:rPr>
            </w:pPr>
          </w:p>
        </w:tc>
        <w:tc>
          <w:tcPr>
            <w:tcW w:w="720" w:type="dxa"/>
          </w:tcPr>
          <w:p w14:paraId="03E2B37E">
            <w:pPr>
              <w:widowControl/>
              <w:spacing w:line="360" w:lineRule="auto"/>
              <w:jc w:val="center"/>
              <w:rPr>
                <w:rFonts w:ascii="宋体" w:hAnsi="宋体" w:cs="宋体"/>
                <w:kern w:val="0"/>
                <w:sz w:val="22"/>
                <w:szCs w:val="22"/>
              </w:rPr>
            </w:pPr>
          </w:p>
        </w:tc>
        <w:tc>
          <w:tcPr>
            <w:tcW w:w="661" w:type="dxa"/>
          </w:tcPr>
          <w:p w14:paraId="49FF377F">
            <w:pPr>
              <w:widowControl/>
              <w:spacing w:line="360" w:lineRule="auto"/>
              <w:jc w:val="center"/>
              <w:rPr>
                <w:rFonts w:ascii="宋体" w:hAnsi="宋体" w:cs="宋体"/>
                <w:color w:val="FF0000"/>
                <w:kern w:val="0"/>
                <w:sz w:val="22"/>
                <w:szCs w:val="22"/>
              </w:rPr>
            </w:pPr>
          </w:p>
        </w:tc>
        <w:tc>
          <w:tcPr>
            <w:tcW w:w="644" w:type="dxa"/>
          </w:tcPr>
          <w:p w14:paraId="1B5901C7">
            <w:pPr>
              <w:widowControl/>
              <w:spacing w:line="360" w:lineRule="auto"/>
              <w:jc w:val="center"/>
              <w:rPr>
                <w:rFonts w:ascii="宋体" w:hAnsi="宋体" w:cs="宋体"/>
                <w:color w:val="FF0000"/>
                <w:kern w:val="0"/>
                <w:sz w:val="22"/>
                <w:szCs w:val="22"/>
              </w:rPr>
            </w:pPr>
          </w:p>
        </w:tc>
        <w:tc>
          <w:tcPr>
            <w:tcW w:w="722" w:type="dxa"/>
          </w:tcPr>
          <w:p w14:paraId="42E34A2E">
            <w:pPr>
              <w:widowControl/>
              <w:spacing w:line="360" w:lineRule="auto"/>
              <w:jc w:val="center"/>
              <w:rPr>
                <w:rFonts w:ascii="宋体" w:hAnsi="宋体" w:cs="宋体"/>
                <w:color w:val="FF0000"/>
                <w:kern w:val="0"/>
                <w:sz w:val="22"/>
                <w:szCs w:val="22"/>
              </w:rPr>
            </w:pPr>
          </w:p>
        </w:tc>
      </w:tr>
    </w:tbl>
    <w:p w14:paraId="5251F2E3">
      <w:pPr>
        <w:spacing w:line="360" w:lineRule="auto"/>
        <w:rPr>
          <w:rFonts w:ascii="宋体" w:hAnsi="宋体"/>
          <w:spacing w:val="10"/>
          <w:sz w:val="24"/>
          <w:szCs w:val="24"/>
        </w:rPr>
      </w:pPr>
    </w:p>
    <w:p w14:paraId="372FE47D">
      <w:pPr>
        <w:spacing w:line="360" w:lineRule="auto"/>
        <w:rPr>
          <w:rFonts w:ascii="宋体" w:hAnsi="宋体"/>
          <w:spacing w:val="10"/>
          <w:sz w:val="24"/>
          <w:szCs w:val="24"/>
        </w:rPr>
      </w:pPr>
    </w:p>
    <w:p w14:paraId="2F7FA482">
      <w:pPr>
        <w:tabs>
          <w:tab w:val="right" w:leader="dot" w:pos="9185"/>
        </w:tabs>
        <w:spacing w:line="360" w:lineRule="auto"/>
        <w:ind w:firstLine="704" w:firstLineChars="271"/>
        <w:rPr>
          <w:rFonts w:ascii="宋体" w:hAnsi="宋体"/>
          <w:spacing w:val="10"/>
          <w:sz w:val="24"/>
          <w:szCs w:val="24"/>
        </w:rPr>
      </w:pPr>
    </w:p>
    <w:p w14:paraId="4DBBB4F8">
      <w:pPr>
        <w:widowControl/>
        <w:spacing w:line="360" w:lineRule="auto"/>
        <w:jc w:val="left"/>
        <w:rPr>
          <w:rFonts w:ascii="宋体" w:hAnsi="宋体"/>
          <w:kern w:val="0"/>
          <w:sz w:val="24"/>
          <w:szCs w:val="24"/>
        </w:rPr>
        <w:sectPr>
          <w:headerReference r:id="rId5" w:type="first"/>
          <w:headerReference r:id="rId3" w:type="default"/>
          <w:footerReference r:id="rId6" w:type="default"/>
          <w:headerReference r:id="rId4" w:type="even"/>
          <w:footerReference r:id="rId7" w:type="even"/>
          <w:pgSz w:w="11907" w:h="16840"/>
          <w:pgMar w:top="1701" w:right="1021" w:bottom="1418" w:left="1588" w:header="720" w:footer="720" w:gutter="0"/>
          <w:pgNumType w:start="1"/>
          <w:cols w:space="720" w:num="1"/>
        </w:sectPr>
      </w:pPr>
    </w:p>
    <w:p w14:paraId="4C5AEEC9">
      <w:pPr>
        <w:adjustRightInd w:val="0"/>
        <w:snapToGrid w:val="0"/>
        <w:spacing w:line="360" w:lineRule="auto"/>
        <w:ind w:firstLine="562" w:firstLineChars="200"/>
        <w:textAlignment w:val="baseline"/>
        <w:outlineLvl w:val="0"/>
        <w:rPr>
          <w:rFonts w:asciiTheme="minorEastAsia" w:hAnsiTheme="minorEastAsia" w:eastAsiaTheme="minorEastAsia"/>
          <w:b/>
          <w:kern w:val="0"/>
          <w:sz w:val="28"/>
          <w:szCs w:val="28"/>
        </w:rPr>
      </w:pPr>
      <w:bookmarkStart w:id="8" w:name="_Toc25837"/>
      <w:r>
        <w:rPr>
          <w:rFonts w:hint="eastAsia" w:asciiTheme="minorEastAsia" w:hAnsiTheme="minorEastAsia" w:eastAsiaTheme="minorEastAsia"/>
          <w:b/>
          <w:kern w:val="0"/>
          <w:sz w:val="28"/>
          <w:szCs w:val="28"/>
        </w:rPr>
        <w:t>1.总  则</w:t>
      </w:r>
      <w:bookmarkEnd w:id="8"/>
    </w:p>
    <w:p w14:paraId="4B6FB2C2">
      <w:pPr>
        <w:spacing w:line="360" w:lineRule="auto"/>
        <w:rPr>
          <w:rFonts w:asciiTheme="minorEastAsia" w:hAnsiTheme="minorEastAsia" w:eastAsiaTheme="minorEastAsia"/>
          <w:kern w:val="0"/>
          <w:sz w:val="28"/>
          <w:szCs w:val="28"/>
        </w:rPr>
      </w:pPr>
      <w:r>
        <w:rPr>
          <w:rFonts w:hint="eastAsia" w:asciiTheme="minorEastAsia" w:hAnsiTheme="minorEastAsia" w:eastAsiaTheme="minorEastAsia"/>
          <w:kern w:val="0"/>
          <w:sz w:val="28"/>
          <w:szCs w:val="28"/>
        </w:rPr>
        <w:t>1.1  投标人资格</w:t>
      </w:r>
    </w:p>
    <w:p w14:paraId="4C030D42">
      <w:pPr>
        <w:autoSpaceDE w:val="0"/>
        <w:autoSpaceDN w:val="0"/>
        <w:adjustRightInd w:val="0"/>
        <w:spacing w:line="360" w:lineRule="auto"/>
        <w:jc w:val="left"/>
        <w:rPr>
          <w:rFonts w:asciiTheme="minorEastAsia" w:hAnsiTheme="minorEastAsia" w:eastAsiaTheme="minorEastAsia"/>
          <w:kern w:val="0"/>
          <w:sz w:val="28"/>
          <w:szCs w:val="28"/>
        </w:rPr>
      </w:pPr>
      <w:r>
        <w:rPr>
          <w:rFonts w:hint="eastAsia" w:asciiTheme="minorEastAsia" w:hAnsiTheme="minorEastAsia" w:eastAsiaTheme="minorEastAsia"/>
          <w:kern w:val="0"/>
          <w:sz w:val="28"/>
          <w:szCs w:val="28"/>
        </w:rPr>
        <w:t xml:space="preserve">    投标人必须具有3年以上电度表电压监测及电压切换装置的设计、制造经验，并有质检部门的认可文件、ISO-9001质量认证书或相当的认证文件、国家电力部门鉴定证书和生产许可证。投标的设备必须提供在电力系统商业运行的良好记录</w:t>
      </w:r>
      <w:r>
        <w:rPr>
          <w:rFonts w:hint="eastAsia" w:asciiTheme="minorEastAsia" w:hAnsiTheme="minorEastAsia" w:eastAsiaTheme="minorEastAsia"/>
          <w:sz w:val="28"/>
          <w:szCs w:val="28"/>
        </w:rPr>
        <w:t>，并且在一年有3套及以上</w:t>
      </w:r>
      <w:r>
        <w:rPr>
          <w:rFonts w:hint="eastAsia" w:asciiTheme="minorEastAsia" w:hAnsiTheme="minorEastAsia" w:eastAsiaTheme="minorEastAsia"/>
          <w:kern w:val="0"/>
          <w:sz w:val="28"/>
          <w:szCs w:val="28"/>
        </w:rPr>
        <w:t>电度表电压监测及电压切换装置</w:t>
      </w:r>
      <w:r>
        <w:rPr>
          <w:rFonts w:hint="eastAsia" w:asciiTheme="minorEastAsia" w:hAnsiTheme="minorEastAsia" w:eastAsiaTheme="minorEastAsia"/>
          <w:sz w:val="28"/>
          <w:szCs w:val="28"/>
        </w:rPr>
        <w:t>的运行业绩。</w:t>
      </w:r>
    </w:p>
    <w:p w14:paraId="1AD9D41B">
      <w:pPr>
        <w:spacing w:line="360" w:lineRule="auto"/>
        <w:rPr>
          <w:rFonts w:asciiTheme="minorEastAsia" w:hAnsiTheme="minorEastAsia" w:eastAsiaTheme="minorEastAsia"/>
          <w:kern w:val="0"/>
          <w:sz w:val="28"/>
          <w:szCs w:val="28"/>
        </w:rPr>
      </w:pPr>
      <w:r>
        <w:rPr>
          <w:rFonts w:hint="eastAsia" w:asciiTheme="minorEastAsia" w:hAnsiTheme="minorEastAsia" w:eastAsiaTheme="minorEastAsia"/>
          <w:kern w:val="0"/>
          <w:sz w:val="28"/>
          <w:szCs w:val="28"/>
        </w:rPr>
        <w:t>1.2  本设备技术规范书适用于变电站电度表电压监测及电压切换装置的功能设计、结构、性能、安装和试验等方面的技术要求。</w:t>
      </w:r>
    </w:p>
    <w:p w14:paraId="2CFD7EAA">
      <w:pPr>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1.3  本设备技术规范书提出的是最低限度的技术要求, 并未对一切技术细节作出规定, 也未充分引述有关标准和规范的条文, 投标人应提供符合本规范书和工业标准的优质产品。</w:t>
      </w:r>
    </w:p>
    <w:p w14:paraId="63FFA375">
      <w:pPr>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1.4  如果投标人没有以书面形式对本规范书的条文提出异议, 则意味着投标人提供的设备(或系统)完全符合本技术规范书的要求。如有异议, 不管是多么微小, 都应在投标文件中以</w:t>
      </w:r>
      <w:r>
        <w:rPr>
          <w:rFonts w:hint="eastAsia" w:asciiTheme="minorEastAsia" w:hAnsiTheme="minorEastAsia" w:eastAsiaTheme="minorEastAsia"/>
          <w:sz w:val="28"/>
          <w:szCs w:val="28"/>
          <w:lang w:val="zh-CN"/>
        </w:rPr>
        <w:t>“</w:t>
      </w:r>
      <w:r>
        <w:rPr>
          <w:rFonts w:hint="eastAsia" w:cs="宋体" w:asciiTheme="minorEastAsia" w:hAnsiTheme="minorEastAsia" w:eastAsiaTheme="minorEastAsia"/>
          <w:sz w:val="28"/>
          <w:szCs w:val="28"/>
          <w:lang w:val="zh-CN"/>
        </w:rPr>
        <w:t>对规范书的意见和同规范书的差异</w:t>
      </w:r>
      <w:r>
        <w:rPr>
          <w:rFonts w:hint="eastAsia" w:asciiTheme="minorEastAsia" w:hAnsiTheme="minorEastAsia" w:eastAsiaTheme="minorEastAsia"/>
          <w:sz w:val="28"/>
          <w:szCs w:val="28"/>
          <w:lang w:val="zh-CN"/>
        </w:rPr>
        <w:t>”</w:t>
      </w:r>
      <w:r>
        <w:rPr>
          <w:rFonts w:hint="eastAsia" w:cs="宋体" w:asciiTheme="minorEastAsia" w:hAnsiTheme="minorEastAsia" w:eastAsiaTheme="minorEastAsia"/>
          <w:sz w:val="28"/>
          <w:szCs w:val="28"/>
          <w:lang w:val="zh-CN"/>
        </w:rPr>
        <w:t>为标题的专门章节中加以详细描述。</w:t>
      </w:r>
    </w:p>
    <w:p w14:paraId="1B838D95">
      <w:pPr>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1.5  本设备技术规范书所使用的标准如遇与投标人所执行的标准不一致时，按较高标准执行。</w:t>
      </w:r>
    </w:p>
    <w:bookmarkEnd w:id="6"/>
    <w:p w14:paraId="16DB5097">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1.6  本设备规范书未尽事宜, 由招投标双方协商确定。</w:t>
      </w:r>
    </w:p>
    <w:p w14:paraId="70691B64">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1.7  投标人应按本规范书顺序逐条应答，并简要描述。</w:t>
      </w:r>
    </w:p>
    <w:p w14:paraId="528687D5">
      <w:pPr>
        <w:adjustRightInd w:val="0"/>
        <w:snapToGrid w:val="0"/>
        <w:spacing w:line="360" w:lineRule="auto"/>
        <w:ind w:firstLine="562" w:firstLineChars="200"/>
        <w:textAlignment w:val="baseline"/>
        <w:outlineLvl w:val="0"/>
        <w:rPr>
          <w:rFonts w:asciiTheme="minorEastAsia" w:hAnsiTheme="minorEastAsia" w:eastAsiaTheme="minorEastAsia"/>
          <w:b/>
          <w:kern w:val="0"/>
          <w:sz w:val="28"/>
          <w:szCs w:val="28"/>
        </w:rPr>
      </w:pPr>
      <w:bookmarkStart w:id="9" w:name="_Toc19054"/>
      <w:r>
        <w:rPr>
          <w:rFonts w:hint="eastAsia" w:asciiTheme="minorEastAsia" w:hAnsiTheme="minorEastAsia" w:eastAsiaTheme="minorEastAsia"/>
          <w:b/>
          <w:kern w:val="0"/>
          <w:sz w:val="28"/>
          <w:szCs w:val="28"/>
        </w:rPr>
        <w:t>2.技术要求</w:t>
      </w:r>
      <w:bookmarkEnd w:id="9"/>
    </w:p>
    <w:p w14:paraId="441B0208">
      <w:pPr>
        <w:adjustRightInd w:val="0"/>
        <w:snapToGrid w:val="0"/>
        <w:spacing w:line="360" w:lineRule="auto"/>
        <w:ind w:firstLine="560" w:firstLineChars="200"/>
        <w:textAlignment w:val="baseline"/>
        <w:outlineLvl w:val="0"/>
        <w:rPr>
          <w:rFonts w:asciiTheme="minorEastAsia" w:hAnsiTheme="minorEastAsia" w:eastAsiaTheme="minorEastAsia"/>
          <w:b/>
          <w:kern w:val="0"/>
          <w:sz w:val="28"/>
          <w:szCs w:val="28"/>
        </w:rPr>
      </w:pPr>
      <w:bookmarkStart w:id="10" w:name="_Toc21885"/>
      <w:r>
        <w:rPr>
          <w:rFonts w:hint="eastAsia" w:asciiTheme="minorEastAsia" w:hAnsiTheme="minorEastAsia" w:eastAsiaTheme="minorEastAsia"/>
          <w:kern w:val="0"/>
          <w:sz w:val="28"/>
          <w:szCs w:val="28"/>
        </w:rPr>
        <w:t>2.1  应遵循的主要标准</w:t>
      </w:r>
      <w:bookmarkEnd w:id="10"/>
    </w:p>
    <w:p w14:paraId="0F87F899">
      <w:pPr>
        <w:autoSpaceDE w:val="0"/>
        <w:autoSpaceDN w:val="0"/>
        <w:adjustRightInd w:val="0"/>
        <w:spacing w:line="360" w:lineRule="auto"/>
        <w:rPr>
          <w:rFonts w:asciiTheme="minorEastAsia" w:hAnsiTheme="minorEastAsia" w:eastAsiaTheme="minorEastAsia"/>
          <w:sz w:val="28"/>
          <w:szCs w:val="28"/>
        </w:rPr>
      </w:pPr>
      <w:r>
        <w:rPr>
          <w:rFonts w:hint="eastAsia" w:cs="宋体" w:asciiTheme="minorEastAsia" w:hAnsiTheme="minorEastAsia" w:eastAsiaTheme="minorEastAsia"/>
          <w:sz w:val="28"/>
          <w:szCs w:val="28"/>
          <w:lang w:val="zh-CN"/>
        </w:rPr>
        <w:t>2.1.1下列标准所包含的条文</w:t>
      </w:r>
      <w:r>
        <w:rPr>
          <w:rFonts w:asciiTheme="minorEastAsia" w:hAnsiTheme="minorEastAsia" w:eastAsiaTheme="minorEastAsia"/>
          <w:sz w:val="28"/>
          <w:szCs w:val="28"/>
        </w:rPr>
        <w:t xml:space="preserve">, </w:t>
      </w:r>
      <w:r>
        <w:rPr>
          <w:rFonts w:hint="eastAsia" w:cs="宋体" w:asciiTheme="minorEastAsia" w:hAnsiTheme="minorEastAsia" w:eastAsiaTheme="minorEastAsia"/>
          <w:sz w:val="28"/>
          <w:szCs w:val="28"/>
          <w:lang w:val="zh-CN"/>
        </w:rPr>
        <w:t>通过在本规范书中引用而构成本规范书的基本条文，所有标准都可能会被修订</w:t>
      </w:r>
      <w:r>
        <w:rPr>
          <w:rFonts w:asciiTheme="minorEastAsia" w:hAnsiTheme="minorEastAsia" w:eastAsiaTheme="minorEastAsia"/>
          <w:sz w:val="28"/>
          <w:szCs w:val="28"/>
        </w:rPr>
        <w:t xml:space="preserve">, </w:t>
      </w:r>
      <w:r>
        <w:rPr>
          <w:rFonts w:hint="eastAsia" w:cs="宋体" w:asciiTheme="minorEastAsia" w:hAnsiTheme="minorEastAsia" w:eastAsiaTheme="minorEastAsia"/>
          <w:sz w:val="28"/>
          <w:szCs w:val="28"/>
          <w:lang w:val="zh-CN"/>
        </w:rPr>
        <w:t>使用本规范书的各方应探讨使用下列标准最新版本的可能性</w:t>
      </w:r>
      <w:r>
        <w:rPr>
          <w:rFonts w:hint="eastAsia" w:cs="宋体" w:asciiTheme="minorEastAsia" w:hAnsiTheme="minorEastAsia" w:eastAsiaTheme="minorEastAsia"/>
          <w:spacing w:val="-1"/>
          <w:sz w:val="28"/>
          <w:szCs w:val="28"/>
          <w:lang w:val="zh-CN"/>
        </w:rPr>
        <w:t>，如引用标准条文重新修订时，以最新版本条文为准。</w:t>
      </w:r>
    </w:p>
    <w:p w14:paraId="1C9A6520">
      <w:pPr>
        <w:spacing w:line="360" w:lineRule="auto"/>
        <w:rPr>
          <w:rFonts w:asciiTheme="minorEastAsia" w:hAnsiTheme="minorEastAsia" w:eastAsiaTheme="minorEastAsia"/>
          <w:kern w:val="0"/>
          <w:sz w:val="28"/>
          <w:szCs w:val="28"/>
        </w:rPr>
      </w:pPr>
      <w:r>
        <w:rPr>
          <w:rFonts w:hint="eastAsia" w:cs="宋体" w:asciiTheme="minorEastAsia" w:hAnsiTheme="minorEastAsia" w:eastAsiaTheme="minorEastAsia"/>
          <w:sz w:val="28"/>
          <w:szCs w:val="28"/>
          <w:lang w:val="zh-CN"/>
        </w:rPr>
        <w:t>2.1.2投标的设备应符合本技术规范书的要求，本技术规范书未明示的按照下述标准执行。</w:t>
      </w:r>
    </w:p>
    <w:tbl>
      <w:tblPr>
        <w:tblStyle w:val="13"/>
        <w:tblW w:w="9074" w:type="dxa"/>
        <w:jc w:val="center"/>
        <w:tblLayout w:type="fixed"/>
        <w:tblCellMar>
          <w:top w:w="0" w:type="dxa"/>
          <w:left w:w="108" w:type="dxa"/>
          <w:bottom w:w="0" w:type="dxa"/>
          <w:right w:w="108" w:type="dxa"/>
        </w:tblCellMar>
      </w:tblPr>
      <w:tblGrid>
        <w:gridCol w:w="2434"/>
        <w:gridCol w:w="6640"/>
      </w:tblGrid>
      <w:tr w14:paraId="51631E48">
        <w:tblPrEx>
          <w:tblCellMar>
            <w:top w:w="0" w:type="dxa"/>
            <w:left w:w="108" w:type="dxa"/>
            <w:bottom w:w="0" w:type="dxa"/>
            <w:right w:w="108" w:type="dxa"/>
          </w:tblCellMar>
        </w:tblPrEx>
        <w:trPr>
          <w:jc w:val="center"/>
        </w:trPr>
        <w:tc>
          <w:tcPr>
            <w:tcW w:w="2434" w:type="dxa"/>
          </w:tcPr>
          <w:p w14:paraId="70F04B19">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 19520.12-2009</w:t>
            </w:r>
          </w:p>
        </w:tc>
        <w:tc>
          <w:tcPr>
            <w:tcW w:w="6640" w:type="dxa"/>
            <w:vAlign w:val="center"/>
          </w:tcPr>
          <w:p w14:paraId="3F02F8FF">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电子设备机械结构 482.6mm(19in)系列机械结构尺寸 第3-101部分：插箱及其插件</w:t>
            </w:r>
          </w:p>
        </w:tc>
      </w:tr>
      <w:tr w14:paraId="46E86C47">
        <w:tblPrEx>
          <w:tblCellMar>
            <w:top w:w="0" w:type="dxa"/>
            <w:left w:w="108" w:type="dxa"/>
            <w:bottom w:w="0" w:type="dxa"/>
            <w:right w:w="108" w:type="dxa"/>
          </w:tblCellMar>
        </w:tblPrEx>
        <w:trPr>
          <w:jc w:val="center"/>
        </w:trPr>
        <w:tc>
          <w:tcPr>
            <w:tcW w:w="2434" w:type="dxa"/>
          </w:tcPr>
          <w:p w14:paraId="22E1BE07">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2887-20</w:t>
            </w:r>
            <w:r>
              <w:rPr>
                <w:rFonts w:hint="eastAsia" w:asciiTheme="minorEastAsia" w:hAnsiTheme="minorEastAsia" w:eastAsiaTheme="minorEastAsia"/>
                <w:color w:val="000000"/>
                <w:sz w:val="24"/>
                <w:szCs w:val="24"/>
              </w:rPr>
              <w:t>11</w:t>
            </w:r>
          </w:p>
        </w:tc>
        <w:tc>
          <w:tcPr>
            <w:tcW w:w="6640" w:type="dxa"/>
            <w:vAlign w:val="center"/>
          </w:tcPr>
          <w:p w14:paraId="45BB4BF6">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计算机场地通用规范</w:t>
            </w:r>
          </w:p>
        </w:tc>
      </w:tr>
      <w:tr w14:paraId="6936744B">
        <w:tblPrEx>
          <w:tblCellMar>
            <w:top w:w="0" w:type="dxa"/>
            <w:left w:w="108" w:type="dxa"/>
            <w:bottom w:w="0" w:type="dxa"/>
            <w:right w:w="108" w:type="dxa"/>
          </w:tblCellMar>
        </w:tblPrEx>
        <w:trPr>
          <w:jc w:val="center"/>
        </w:trPr>
        <w:tc>
          <w:tcPr>
            <w:tcW w:w="2434" w:type="dxa"/>
          </w:tcPr>
          <w:p w14:paraId="51AA8A68">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9361-</w:t>
            </w:r>
            <w:r>
              <w:rPr>
                <w:rFonts w:hint="eastAsia" w:asciiTheme="minorEastAsia" w:hAnsiTheme="minorEastAsia" w:eastAsiaTheme="minorEastAsia"/>
                <w:color w:val="000000"/>
                <w:sz w:val="24"/>
                <w:szCs w:val="24"/>
              </w:rPr>
              <w:t>2011</w:t>
            </w:r>
          </w:p>
        </w:tc>
        <w:tc>
          <w:tcPr>
            <w:tcW w:w="6640" w:type="dxa"/>
            <w:vAlign w:val="center"/>
          </w:tcPr>
          <w:p w14:paraId="0A937449">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计算</w:t>
            </w:r>
            <w:r>
              <w:rPr>
                <w:rFonts w:hint="eastAsia" w:asciiTheme="minorEastAsia" w:hAnsiTheme="minorEastAsia" w:eastAsiaTheme="minorEastAsia"/>
                <w:color w:val="000000"/>
                <w:sz w:val="24"/>
                <w:szCs w:val="24"/>
              </w:rPr>
              <w:t>机</w:t>
            </w:r>
            <w:r>
              <w:rPr>
                <w:rFonts w:asciiTheme="minorEastAsia" w:hAnsiTheme="minorEastAsia" w:eastAsiaTheme="minorEastAsia"/>
                <w:color w:val="000000"/>
                <w:sz w:val="24"/>
                <w:szCs w:val="24"/>
              </w:rPr>
              <w:t>场地安全要求</w:t>
            </w:r>
          </w:p>
        </w:tc>
      </w:tr>
      <w:tr w14:paraId="6A8D1666">
        <w:tblPrEx>
          <w:tblCellMar>
            <w:top w:w="0" w:type="dxa"/>
            <w:left w:w="108" w:type="dxa"/>
            <w:bottom w:w="0" w:type="dxa"/>
            <w:right w:w="108" w:type="dxa"/>
          </w:tblCellMar>
        </w:tblPrEx>
        <w:trPr>
          <w:jc w:val="center"/>
        </w:trPr>
        <w:tc>
          <w:tcPr>
            <w:tcW w:w="2434" w:type="dxa"/>
          </w:tcPr>
          <w:p w14:paraId="1B3CB99A">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GB/T13729-2002</w:t>
            </w:r>
          </w:p>
        </w:tc>
        <w:tc>
          <w:tcPr>
            <w:tcW w:w="6640" w:type="dxa"/>
            <w:vAlign w:val="center"/>
          </w:tcPr>
          <w:p w14:paraId="0BDB66A3">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远动终端设备</w:t>
            </w:r>
          </w:p>
        </w:tc>
      </w:tr>
      <w:tr w14:paraId="75F5F0D1">
        <w:tblPrEx>
          <w:tblCellMar>
            <w:top w:w="0" w:type="dxa"/>
            <w:left w:w="108" w:type="dxa"/>
            <w:bottom w:w="0" w:type="dxa"/>
            <w:right w:w="108" w:type="dxa"/>
          </w:tblCellMar>
        </w:tblPrEx>
        <w:trPr>
          <w:jc w:val="center"/>
        </w:trPr>
        <w:tc>
          <w:tcPr>
            <w:tcW w:w="2434" w:type="dxa"/>
          </w:tcPr>
          <w:p w14:paraId="470FBB68">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15153.1-1998</w:t>
            </w:r>
          </w:p>
        </w:tc>
        <w:tc>
          <w:tcPr>
            <w:tcW w:w="6640" w:type="dxa"/>
            <w:vAlign w:val="center"/>
          </w:tcPr>
          <w:p w14:paraId="4A5401E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远动设备及系统 第2部分；工作条件 第1篇：电源和电磁兼容性</w:t>
            </w:r>
          </w:p>
        </w:tc>
      </w:tr>
      <w:tr w14:paraId="03445848">
        <w:tblPrEx>
          <w:tblCellMar>
            <w:top w:w="0" w:type="dxa"/>
            <w:left w:w="108" w:type="dxa"/>
            <w:bottom w:w="0" w:type="dxa"/>
            <w:right w:w="108" w:type="dxa"/>
          </w:tblCellMar>
        </w:tblPrEx>
        <w:trPr>
          <w:jc w:val="center"/>
        </w:trPr>
        <w:tc>
          <w:tcPr>
            <w:tcW w:w="2434" w:type="dxa"/>
          </w:tcPr>
          <w:p w14:paraId="0F9CE493">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15153.2-2000</w:t>
            </w:r>
          </w:p>
        </w:tc>
        <w:tc>
          <w:tcPr>
            <w:tcW w:w="6640" w:type="dxa"/>
            <w:vAlign w:val="center"/>
          </w:tcPr>
          <w:p w14:paraId="32C70044">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远动设备及系统 第2部分；工作条件 第2篇：环境条件</w:t>
            </w:r>
          </w:p>
        </w:tc>
      </w:tr>
      <w:tr w14:paraId="12CFFD81">
        <w:tblPrEx>
          <w:tblCellMar>
            <w:top w:w="0" w:type="dxa"/>
            <w:left w:w="108" w:type="dxa"/>
            <w:bottom w:w="0" w:type="dxa"/>
            <w:right w:w="108" w:type="dxa"/>
          </w:tblCellMar>
        </w:tblPrEx>
        <w:trPr>
          <w:jc w:val="center"/>
        </w:trPr>
        <w:tc>
          <w:tcPr>
            <w:tcW w:w="2434" w:type="dxa"/>
          </w:tcPr>
          <w:p w14:paraId="004C8D1B">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GB/T16435.1-1996</w:t>
            </w:r>
          </w:p>
        </w:tc>
        <w:tc>
          <w:tcPr>
            <w:tcW w:w="6640" w:type="dxa"/>
            <w:vAlign w:val="center"/>
          </w:tcPr>
          <w:p w14:paraId="78EAF76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远动设备及系统接口（电气特性）</w:t>
            </w:r>
          </w:p>
        </w:tc>
      </w:tr>
      <w:tr w14:paraId="1DCA6B46">
        <w:tblPrEx>
          <w:tblCellMar>
            <w:top w:w="0" w:type="dxa"/>
            <w:left w:w="108" w:type="dxa"/>
            <w:bottom w:w="0" w:type="dxa"/>
            <w:right w:w="108" w:type="dxa"/>
          </w:tblCellMar>
        </w:tblPrEx>
        <w:trPr>
          <w:jc w:val="center"/>
        </w:trPr>
        <w:tc>
          <w:tcPr>
            <w:tcW w:w="2434" w:type="dxa"/>
          </w:tcPr>
          <w:p w14:paraId="329EB3CA">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17626.2-2006</w:t>
            </w:r>
          </w:p>
        </w:tc>
        <w:tc>
          <w:tcPr>
            <w:tcW w:w="6640" w:type="dxa"/>
            <w:vAlign w:val="center"/>
          </w:tcPr>
          <w:p w14:paraId="2DF475B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《电磁兼容 试验和测量技术 静电放电抗扰度试验》</w:t>
            </w:r>
          </w:p>
        </w:tc>
      </w:tr>
      <w:tr w14:paraId="72A4EFFD">
        <w:tblPrEx>
          <w:tblCellMar>
            <w:top w:w="0" w:type="dxa"/>
            <w:left w:w="108" w:type="dxa"/>
            <w:bottom w:w="0" w:type="dxa"/>
            <w:right w:w="108" w:type="dxa"/>
          </w:tblCellMar>
        </w:tblPrEx>
        <w:trPr>
          <w:jc w:val="center"/>
        </w:trPr>
        <w:tc>
          <w:tcPr>
            <w:tcW w:w="2434" w:type="dxa"/>
          </w:tcPr>
          <w:p w14:paraId="5DF945E6">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17626.3-2006</w:t>
            </w:r>
          </w:p>
        </w:tc>
        <w:tc>
          <w:tcPr>
            <w:tcW w:w="6640" w:type="dxa"/>
            <w:vAlign w:val="center"/>
          </w:tcPr>
          <w:p w14:paraId="668732D5">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《电磁兼容 试验和测量技术 射频电磁场辐射抗扰度试验》</w:t>
            </w:r>
          </w:p>
        </w:tc>
      </w:tr>
      <w:tr w14:paraId="3E42E624">
        <w:tblPrEx>
          <w:tblCellMar>
            <w:top w:w="0" w:type="dxa"/>
            <w:left w:w="108" w:type="dxa"/>
            <w:bottom w:w="0" w:type="dxa"/>
            <w:right w:w="108" w:type="dxa"/>
          </w:tblCellMar>
        </w:tblPrEx>
        <w:trPr>
          <w:trHeight w:val="80" w:hRule="atLeast"/>
          <w:jc w:val="center"/>
        </w:trPr>
        <w:tc>
          <w:tcPr>
            <w:tcW w:w="2434" w:type="dxa"/>
          </w:tcPr>
          <w:p w14:paraId="6159C84F">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17626.4-2008</w:t>
            </w:r>
          </w:p>
        </w:tc>
        <w:tc>
          <w:tcPr>
            <w:tcW w:w="6640" w:type="dxa"/>
          </w:tcPr>
          <w:p w14:paraId="279F5366">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《电磁兼容 试验和测量技术 电快速瞬变脉冲群抗扰度试验》</w:t>
            </w:r>
          </w:p>
        </w:tc>
      </w:tr>
      <w:tr w14:paraId="000D81C5">
        <w:tblPrEx>
          <w:tblCellMar>
            <w:top w:w="0" w:type="dxa"/>
            <w:left w:w="108" w:type="dxa"/>
            <w:bottom w:w="0" w:type="dxa"/>
            <w:right w:w="108" w:type="dxa"/>
          </w:tblCellMar>
        </w:tblPrEx>
        <w:trPr>
          <w:jc w:val="center"/>
        </w:trPr>
        <w:tc>
          <w:tcPr>
            <w:tcW w:w="2434" w:type="dxa"/>
          </w:tcPr>
          <w:p w14:paraId="2D6E64D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17626.5-2008</w:t>
            </w:r>
          </w:p>
        </w:tc>
        <w:tc>
          <w:tcPr>
            <w:tcW w:w="6640" w:type="dxa"/>
            <w:vAlign w:val="center"/>
          </w:tcPr>
          <w:p w14:paraId="3865B8E3">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《电磁兼容 试验和测量技术 浪涌(冲击)抗扰度试验》</w:t>
            </w:r>
          </w:p>
        </w:tc>
      </w:tr>
      <w:tr w14:paraId="0C60BF89">
        <w:tblPrEx>
          <w:tblCellMar>
            <w:top w:w="0" w:type="dxa"/>
            <w:left w:w="108" w:type="dxa"/>
            <w:bottom w:w="0" w:type="dxa"/>
            <w:right w:w="108" w:type="dxa"/>
          </w:tblCellMar>
        </w:tblPrEx>
        <w:trPr>
          <w:jc w:val="center"/>
        </w:trPr>
        <w:tc>
          <w:tcPr>
            <w:tcW w:w="2434" w:type="dxa"/>
          </w:tcPr>
          <w:p w14:paraId="5FE33D5C">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17626.6-2008</w:t>
            </w:r>
          </w:p>
        </w:tc>
        <w:tc>
          <w:tcPr>
            <w:tcW w:w="6640" w:type="dxa"/>
            <w:vAlign w:val="center"/>
          </w:tcPr>
          <w:p w14:paraId="73FF211B">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《电磁兼容 试验和测量技术 射频场感应的传导骚扰抗扰度》</w:t>
            </w:r>
          </w:p>
        </w:tc>
      </w:tr>
      <w:tr w14:paraId="0D7FD3D6">
        <w:tblPrEx>
          <w:tblCellMar>
            <w:top w:w="0" w:type="dxa"/>
            <w:left w:w="108" w:type="dxa"/>
            <w:bottom w:w="0" w:type="dxa"/>
            <w:right w:w="108" w:type="dxa"/>
          </w:tblCellMar>
        </w:tblPrEx>
        <w:trPr>
          <w:jc w:val="center"/>
        </w:trPr>
        <w:tc>
          <w:tcPr>
            <w:tcW w:w="2434" w:type="dxa"/>
          </w:tcPr>
          <w:p w14:paraId="42B0CBD9">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17626.8-2006</w:t>
            </w:r>
          </w:p>
        </w:tc>
        <w:tc>
          <w:tcPr>
            <w:tcW w:w="6640" w:type="dxa"/>
            <w:vAlign w:val="center"/>
          </w:tcPr>
          <w:p w14:paraId="612BB396">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《电磁兼容 试验和测量技术 工频磁场的抗扰度试验》</w:t>
            </w:r>
          </w:p>
        </w:tc>
      </w:tr>
      <w:tr w14:paraId="69999000">
        <w:tblPrEx>
          <w:tblCellMar>
            <w:top w:w="0" w:type="dxa"/>
            <w:left w:w="108" w:type="dxa"/>
            <w:bottom w:w="0" w:type="dxa"/>
            <w:right w:w="108" w:type="dxa"/>
          </w:tblCellMar>
        </w:tblPrEx>
        <w:trPr>
          <w:jc w:val="center"/>
        </w:trPr>
        <w:tc>
          <w:tcPr>
            <w:tcW w:w="2434" w:type="dxa"/>
          </w:tcPr>
          <w:p w14:paraId="37F6ACBF">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17742-2008</w:t>
            </w:r>
          </w:p>
        </w:tc>
        <w:tc>
          <w:tcPr>
            <w:tcW w:w="6640" w:type="dxa"/>
            <w:vAlign w:val="center"/>
          </w:tcPr>
          <w:p w14:paraId="28983DF7">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《中国地震烈度表》</w:t>
            </w:r>
          </w:p>
        </w:tc>
      </w:tr>
      <w:tr w14:paraId="64C6C43D">
        <w:tblPrEx>
          <w:tblCellMar>
            <w:top w:w="0" w:type="dxa"/>
            <w:left w:w="108" w:type="dxa"/>
            <w:bottom w:w="0" w:type="dxa"/>
            <w:right w:w="108" w:type="dxa"/>
          </w:tblCellMar>
        </w:tblPrEx>
        <w:trPr>
          <w:jc w:val="center"/>
        </w:trPr>
        <w:tc>
          <w:tcPr>
            <w:tcW w:w="2434" w:type="dxa"/>
          </w:tcPr>
          <w:p w14:paraId="6FB81A17">
            <w:pPr>
              <w:spacing w:line="360" w:lineRule="auto"/>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GB/T 50063-2008</w:t>
            </w:r>
          </w:p>
        </w:tc>
        <w:tc>
          <w:tcPr>
            <w:tcW w:w="6640" w:type="dxa"/>
            <w:vAlign w:val="center"/>
          </w:tcPr>
          <w:p w14:paraId="3F452D29">
            <w:pPr>
              <w:spacing w:line="360" w:lineRule="auto"/>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《电力装置的电测量仪表装置设计规范》</w:t>
            </w:r>
          </w:p>
        </w:tc>
      </w:tr>
      <w:tr w14:paraId="126B41AD">
        <w:tblPrEx>
          <w:tblCellMar>
            <w:top w:w="0" w:type="dxa"/>
            <w:left w:w="108" w:type="dxa"/>
            <w:bottom w:w="0" w:type="dxa"/>
            <w:right w:w="108" w:type="dxa"/>
          </w:tblCellMar>
        </w:tblPrEx>
        <w:trPr>
          <w:jc w:val="center"/>
        </w:trPr>
        <w:tc>
          <w:tcPr>
            <w:tcW w:w="2434" w:type="dxa"/>
          </w:tcPr>
          <w:p w14:paraId="6B8F6EAB">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GB/T 18657-2002</w:t>
            </w:r>
          </w:p>
        </w:tc>
        <w:tc>
          <w:tcPr>
            <w:tcW w:w="6640" w:type="dxa"/>
            <w:vAlign w:val="center"/>
          </w:tcPr>
          <w:p w14:paraId="7CC99032">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《远动设备及系统 第5部分:传输规约》</w:t>
            </w:r>
          </w:p>
        </w:tc>
      </w:tr>
      <w:tr w14:paraId="6F55F2F9">
        <w:tblPrEx>
          <w:tblCellMar>
            <w:top w:w="0" w:type="dxa"/>
            <w:left w:w="108" w:type="dxa"/>
            <w:bottom w:w="0" w:type="dxa"/>
            <w:right w:w="108" w:type="dxa"/>
          </w:tblCellMar>
        </w:tblPrEx>
        <w:trPr>
          <w:jc w:val="center"/>
        </w:trPr>
        <w:tc>
          <w:tcPr>
            <w:tcW w:w="2434" w:type="dxa"/>
          </w:tcPr>
          <w:p w14:paraId="1A0DBB55">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DL/T621-1997</w:t>
            </w:r>
          </w:p>
        </w:tc>
        <w:tc>
          <w:tcPr>
            <w:tcW w:w="6640" w:type="dxa"/>
            <w:vAlign w:val="bottom"/>
          </w:tcPr>
          <w:p w14:paraId="284622F2">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交流电气装置的接地</w:t>
            </w:r>
          </w:p>
        </w:tc>
      </w:tr>
      <w:tr w14:paraId="17827771">
        <w:tblPrEx>
          <w:tblCellMar>
            <w:top w:w="0" w:type="dxa"/>
            <w:left w:w="108" w:type="dxa"/>
            <w:bottom w:w="0" w:type="dxa"/>
            <w:right w:w="108" w:type="dxa"/>
          </w:tblCellMar>
        </w:tblPrEx>
        <w:trPr>
          <w:jc w:val="center"/>
        </w:trPr>
        <w:tc>
          <w:tcPr>
            <w:tcW w:w="2434" w:type="dxa"/>
            <w:vAlign w:val="bottom"/>
          </w:tcPr>
          <w:p w14:paraId="13CA83E2">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DL5002-</w:t>
            </w:r>
            <w:r>
              <w:rPr>
                <w:rFonts w:hint="eastAsia" w:asciiTheme="minorEastAsia" w:hAnsiTheme="minorEastAsia" w:eastAsiaTheme="minorEastAsia"/>
                <w:color w:val="000000"/>
                <w:sz w:val="24"/>
                <w:szCs w:val="24"/>
              </w:rPr>
              <w:t>2005</w:t>
            </w:r>
          </w:p>
        </w:tc>
        <w:tc>
          <w:tcPr>
            <w:tcW w:w="6640" w:type="dxa"/>
            <w:vAlign w:val="bottom"/>
          </w:tcPr>
          <w:p w14:paraId="1DC05632">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地区电网调度自动化设计技术规程</w:t>
            </w:r>
          </w:p>
        </w:tc>
      </w:tr>
      <w:tr w14:paraId="58F1611D">
        <w:tblPrEx>
          <w:tblCellMar>
            <w:top w:w="0" w:type="dxa"/>
            <w:left w:w="108" w:type="dxa"/>
            <w:bottom w:w="0" w:type="dxa"/>
            <w:right w:w="108" w:type="dxa"/>
          </w:tblCellMar>
        </w:tblPrEx>
        <w:trPr>
          <w:jc w:val="center"/>
        </w:trPr>
        <w:tc>
          <w:tcPr>
            <w:tcW w:w="2434" w:type="dxa"/>
            <w:vAlign w:val="bottom"/>
          </w:tcPr>
          <w:p w14:paraId="4D6CC50F">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DL5003-</w:t>
            </w:r>
            <w:r>
              <w:rPr>
                <w:rFonts w:hint="eastAsia" w:asciiTheme="minorEastAsia" w:hAnsiTheme="minorEastAsia" w:eastAsiaTheme="minorEastAsia"/>
                <w:color w:val="000000"/>
                <w:sz w:val="24"/>
                <w:szCs w:val="24"/>
              </w:rPr>
              <w:t>2005</w:t>
            </w:r>
          </w:p>
        </w:tc>
        <w:tc>
          <w:tcPr>
            <w:tcW w:w="6640" w:type="dxa"/>
            <w:vAlign w:val="bottom"/>
          </w:tcPr>
          <w:p w14:paraId="53539DA4">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电力系统调度自动化设计技术规程</w:t>
            </w:r>
          </w:p>
        </w:tc>
      </w:tr>
      <w:tr w14:paraId="6D7ADDE3">
        <w:tblPrEx>
          <w:tblCellMar>
            <w:top w:w="0" w:type="dxa"/>
            <w:left w:w="108" w:type="dxa"/>
            <w:bottom w:w="0" w:type="dxa"/>
            <w:right w:w="108" w:type="dxa"/>
          </w:tblCellMar>
        </w:tblPrEx>
        <w:trPr>
          <w:jc w:val="center"/>
        </w:trPr>
        <w:tc>
          <w:tcPr>
            <w:tcW w:w="2434" w:type="dxa"/>
          </w:tcPr>
          <w:p w14:paraId="315E62C1">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DL/T634.5101-2002</w:t>
            </w:r>
          </w:p>
        </w:tc>
        <w:tc>
          <w:tcPr>
            <w:tcW w:w="6640" w:type="dxa"/>
            <w:vAlign w:val="bottom"/>
          </w:tcPr>
          <w:p w14:paraId="4DAB4954">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远动设备及系统 第5-101部分：传输规约 基本远动任务配套标准</w:t>
            </w:r>
          </w:p>
        </w:tc>
      </w:tr>
      <w:tr w14:paraId="2D508941">
        <w:tblPrEx>
          <w:tblCellMar>
            <w:top w:w="0" w:type="dxa"/>
            <w:left w:w="108" w:type="dxa"/>
            <w:bottom w:w="0" w:type="dxa"/>
            <w:right w:w="108" w:type="dxa"/>
          </w:tblCellMar>
        </w:tblPrEx>
        <w:trPr>
          <w:jc w:val="center"/>
        </w:trPr>
        <w:tc>
          <w:tcPr>
            <w:tcW w:w="2434" w:type="dxa"/>
          </w:tcPr>
          <w:p w14:paraId="10201421">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DL/T634.5104-2002</w:t>
            </w:r>
          </w:p>
        </w:tc>
        <w:tc>
          <w:tcPr>
            <w:tcW w:w="6640" w:type="dxa"/>
            <w:vAlign w:val="bottom"/>
          </w:tcPr>
          <w:p w14:paraId="2DD3B729">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远动设备及系统 第5-104部分：传输规约采用标准传输协议子集的IEC 60870-5-101网络访问</w:t>
            </w:r>
          </w:p>
        </w:tc>
      </w:tr>
      <w:tr w14:paraId="6D29F085">
        <w:tblPrEx>
          <w:tblCellMar>
            <w:top w:w="0" w:type="dxa"/>
            <w:left w:w="108" w:type="dxa"/>
            <w:bottom w:w="0" w:type="dxa"/>
            <w:right w:w="108" w:type="dxa"/>
          </w:tblCellMar>
        </w:tblPrEx>
        <w:trPr>
          <w:jc w:val="center"/>
        </w:trPr>
        <w:tc>
          <w:tcPr>
            <w:tcW w:w="2434" w:type="dxa"/>
          </w:tcPr>
          <w:p w14:paraId="6609EC24">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 667-1999</w:t>
            </w:r>
          </w:p>
        </w:tc>
        <w:tc>
          <w:tcPr>
            <w:tcW w:w="6640" w:type="dxa"/>
            <w:vAlign w:val="bottom"/>
          </w:tcPr>
          <w:p w14:paraId="38EAAE85">
            <w:pPr>
              <w:spacing w:line="360" w:lineRule="auto"/>
              <w:jc w:val="left"/>
              <w:rPr>
                <w:rFonts w:asciiTheme="minorEastAsia" w:hAnsiTheme="minorEastAsia" w:eastAsiaTheme="minorEastAsia"/>
                <w:color w:val="000000"/>
                <w:sz w:val="24"/>
                <w:szCs w:val="24"/>
              </w:rPr>
            </w:pPr>
            <w:r>
              <w:fldChar w:fldCharType="begin"/>
            </w:r>
            <w:r>
              <w:instrText xml:space="preserve"> HYPERLINK "http://10.193.4.14/qwk/dlbz/" </w:instrText>
            </w:r>
            <w:r>
              <w:fldChar w:fldCharType="separate"/>
            </w:r>
            <w:r>
              <w:rPr>
                <w:rFonts w:asciiTheme="minorEastAsia" w:hAnsiTheme="minorEastAsia" w:eastAsiaTheme="minorEastAsia"/>
                <w:color w:val="000000"/>
                <w:sz w:val="24"/>
                <w:szCs w:val="24"/>
              </w:rPr>
              <w:t>远动设备及系统 第5-103部分：传输规约 继电保护设备信息接口配套标准</w:t>
            </w:r>
            <w:r>
              <w:rPr>
                <w:rFonts w:asciiTheme="minorEastAsia" w:hAnsiTheme="minorEastAsia" w:eastAsiaTheme="minorEastAsia"/>
                <w:color w:val="000000"/>
                <w:sz w:val="24"/>
                <w:szCs w:val="24"/>
              </w:rPr>
              <w:fldChar w:fldCharType="end"/>
            </w:r>
          </w:p>
        </w:tc>
      </w:tr>
      <w:tr w14:paraId="420374C8">
        <w:tblPrEx>
          <w:tblCellMar>
            <w:top w:w="0" w:type="dxa"/>
            <w:left w:w="108" w:type="dxa"/>
            <w:bottom w:w="0" w:type="dxa"/>
            <w:right w:w="108" w:type="dxa"/>
          </w:tblCellMar>
        </w:tblPrEx>
        <w:trPr>
          <w:jc w:val="center"/>
        </w:trPr>
        <w:tc>
          <w:tcPr>
            <w:tcW w:w="2434" w:type="dxa"/>
            <w:vAlign w:val="bottom"/>
          </w:tcPr>
          <w:p w14:paraId="100871D6">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DL/T672-1999</w:t>
            </w:r>
          </w:p>
        </w:tc>
        <w:tc>
          <w:tcPr>
            <w:tcW w:w="6640" w:type="dxa"/>
            <w:vAlign w:val="bottom"/>
          </w:tcPr>
          <w:p w14:paraId="745E787A">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变电站电压无功调节控制装置定货技术条件</w:t>
            </w:r>
          </w:p>
        </w:tc>
      </w:tr>
      <w:tr w14:paraId="772636CB">
        <w:tblPrEx>
          <w:tblCellMar>
            <w:top w:w="0" w:type="dxa"/>
            <w:left w:w="108" w:type="dxa"/>
            <w:bottom w:w="0" w:type="dxa"/>
            <w:right w:w="108" w:type="dxa"/>
          </w:tblCellMar>
        </w:tblPrEx>
        <w:trPr>
          <w:jc w:val="center"/>
        </w:trPr>
        <w:tc>
          <w:tcPr>
            <w:tcW w:w="2434" w:type="dxa"/>
          </w:tcPr>
          <w:p w14:paraId="6DCAB5D5">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 720-2000</w:t>
            </w:r>
          </w:p>
        </w:tc>
        <w:tc>
          <w:tcPr>
            <w:tcW w:w="6640" w:type="dxa"/>
            <w:vAlign w:val="bottom"/>
          </w:tcPr>
          <w:p w14:paraId="448F1EC1">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电力系统继电保护柜、屏通用技术条件</w:t>
            </w:r>
          </w:p>
        </w:tc>
      </w:tr>
      <w:tr w14:paraId="088934E2">
        <w:tblPrEx>
          <w:tblCellMar>
            <w:top w:w="0" w:type="dxa"/>
            <w:left w:w="108" w:type="dxa"/>
            <w:bottom w:w="0" w:type="dxa"/>
            <w:right w:w="108" w:type="dxa"/>
          </w:tblCellMar>
        </w:tblPrEx>
        <w:trPr>
          <w:jc w:val="center"/>
        </w:trPr>
        <w:tc>
          <w:tcPr>
            <w:tcW w:w="2434" w:type="dxa"/>
          </w:tcPr>
          <w:p w14:paraId="4603DC4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 860-2004</w:t>
            </w:r>
          </w:p>
        </w:tc>
        <w:tc>
          <w:tcPr>
            <w:tcW w:w="6640" w:type="dxa"/>
            <w:vAlign w:val="bottom"/>
          </w:tcPr>
          <w:p w14:paraId="0E1C440D">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变电站通信网络和系统</w:t>
            </w:r>
          </w:p>
        </w:tc>
      </w:tr>
      <w:tr w14:paraId="2CB015F4">
        <w:tblPrEx>
          <w:tblCellMar>
            <w:top w:w="0" w:type="dxa"/>
            <w:left w:w="108" w:type="dxa"/>
            <w:bottom w:w="0" w:type="dxa"/>
            <w:right w:w="108" w:type="dxa"/>
          </w:tblCellMar>
        </w:tblPrEx>
        <w:trPr>
          <w:jc w:val="center"/>
        </w:trPr>
        <w:tc>
          <w:tcPr>
            <w:tcW w:w="2434" w:type="dxa"/>
          </w:tcPr>
          <w:p w14:paraId="496EFD97">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 5136-20</w:t>
            </w:r>
            <w:r>
              <w:rPr>
                <w:rFonts w:hint="eastAsia" w:asciiTheme="minorEastAsia" w:hAnsiTheme="minorEastAsia" w:eastAsiaTheme="minorEastAsia"/>
                <w:color w:val="000000"/>
                <w:sz w:val="24"/>
                <w:szCs w:val="24"/>
              </w:rPr>
              <w:t>12</w:t>
            </w:r>
          </w:p>
        </w:tc>
        <w:tc>
          <w:tcPr>
            <w:tcW w:w="6640" w:type="dxa"/>
            <w:vAlign w:val="bottom"/>
          </w:tcPr>
          <w:p w14:paraId="6EC0EC7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火力发电厂、变电</w:t>
            </w:r>
            <w:r>
              <w:rPr>
                <w:rFonts w:hint="eastAsia" w:asciiTheme="minorEastAsia" w:hAnsiTheme="minorEastAsia" w:eastAsiaTheme="minorEastAsia"/>
                <w:color w:val="000000"/>
                <w:sz w:val="24"/>
                <w:szCs w:val="24"/>
              </w:rPr>
              <w:t>站</w:t>
            </w:r>
            <w:r>
              <w:rPr>
                <w:rFonts w:asciiTheme="minorEastAsia" w:hAnsiTheme="minorEastAsia" w:eastAsiaTheme="minorEastAsia"/>
                <w:color w:val="000000"/>
                <w:sz w:val="24"/>
                <w:szCs w:val="24"/>
              </w:rPr>
              <w:t>二次接线设计技术规程</w:t>
            </w:r>
          </w:p>
        </w:tc>
      </w:tr>
      <w:tr w14:paraId="36DCFBEA">
        <w:tblPrEx>
          <w:tblCellMar>
            <w:top w:w="0" w:type="dxa"/>
            <w:left w:w="108" w:type="dxa"/>
            <w:bottom w:w="0" w:type="dxa"/>
            <w:right w:w="108" w:type="dxa"/>
          </w:tblCellMar>
        </w:tblPrEx>
        <w:trPr>
          <w:jc w:val="center"/>
        </w:trPr>
        <w:tc>
          <w:tcPr>
            <w:tcW w:w="2434" w:type="dxa"/>
            <w:vAlign w:val="bottom"/>
          </w:tcPr>
          <w:p w14:paraId="2FB5984E">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DL/T 5149-2001</w:t>
            </w:r>
          </w:p>
        </w:tc>
        <w:tc>
          <w:tcPr>
            <w:tcW w:w="6640" w:type="dxa"/>
            <w:vAlign w:val="bottom"/>
          </w:tcPr>
          <w:p w14:paraId="04556BF0">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220-500kV变电所计算机监控系统设计技术规程</w:t>
            </w:r>
          </w:p>
        </w:tc>
      </w:tr>
      <w:tr w14:paraId="5CA41C5A">
        <w:tblPrEx>
          <w:tblCellMar>
            <w:top w:w="0" w:type="dxa"/>
            <w:left w:w="108" w:type="dxa"/>
            <w:bottom w:w="0" w:type="dxa"/>
            <w:right w:w="108" w:type="dxa"/>
          </w:tblCellMar>
        </w:tblPrEx>
        <w:trPr>
          <w:jc w:val="center"/>
        </w:trPr>
        <w:tc>
          <w:tcPr>
            <w:tcW w:w="2434" w:type="dxa"/>
          </w:tcPr>
          <w:p w14:paraId="399ACA79">
            <w:pPr>
              <w:spacing w:line="360" w:lineRule="auto"/>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Q/CSG 1203005-2015</w:t>
            </w:r>
          </w:p>
          <w:p w14:paraId="5B00E7DD">
            <w:pPr>
              <w:spacing w:line="360" w:lineRule="auto"/>
              <w:jc w:val="left"/>
              <w:rPr>
                <w:rFonts w:asciiTheme="minorEastAsia" w:hAnsiTheme="minorEastAsia" w:eastAsiaTheme="minorEastAsia"/>
                <w:color w:val="000000"/>
                <w:kern w:val="0"/>
                <w:sz w:val="24"/>
                <w:szCs w:val="24"/>
              </w:rPr>
            </w:pPr>
            <w:r>
              <w:rPr>
                <w:rFonts w:asciiTheme="minorEastAsia" w:hAnsiTheme="minorEastAsia" w:eastAsiaTheme="minorEastAsia"/>
                <w:color w:val="000000"/>
                <w:sz w:val="24"/>
                <w:szCs w:val="24"/>
              </w:rPr>
              <w:t>Q/CSG 110007 -201</w:t>
            </w:r>
            <w:r>
              <w:rPr>
                <w:rFonts w:asciiTheme="minorEastAsia" w:hAnsiTheme="minorEastAsia" w:eastAsiaTheme="minorEastAsia"/>
                <w:color w:val="000000"/>
                <w:kern w:val="0"/>
                <w:sz w:val="24"/>
                <w:szCs w:val="24"/>
              </w:rPr>
              <w:t>2</w:t>
            </w:r>
          </w:p>
          <w:p w14:paraId="65F937DC">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Q/CSG 110006 -2012</w:t>
            </w:r>
          </w:p>
          <w:p w14:paraId="02627290">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Q/CSG212045-2011</w:t>
            </w:r>
          </w:p>
          <w:p w14:paraId="623C5585">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Q/CSG212032-2011</w:t>
            </w:r>
          </w:p>
        </w:tc>
        <w:tc>
          <w:tcPr>
            <w:tcW w:w="6640" w:type="dxa"/>
          </w:tcPr>
          <w:p w14:paraId="0E234D79">
            <w:pPr>
              <w:spacing w:line="360" w:lineRule="auto"/>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南方电网电力二次装备技术导则</w:t>
            </w:r>
          </w:p>
          <w:p w14:paraId="444F8111">
            <w:pPr>
              <w:spacing w:line="360" w:lineRule="auto"/>
              <w:jc w:val="lef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南方电网</w:t>
            </w:r>
            <w:r>
              <w:rPr>
                <w:rFonts w:asciiTheme="minorEastAsia" w:hAnsiTheme="minorEastAsia" w:eastAsiaTheme="minorEastAsia"/>
                <w:color w:val="000000"/>
                <w:kern w:val="0"/>
                <w:sz w:val="24"/>
                <w:szCs w:val="24"/>
              </w:rPr>
              <w:t>DL634.5.101-2002</w:t>
            </w:r>
            <w:r>
              <w:rPr>
                <w:rFonts w:hint="eastAsia" w:cs="宋体" w:asciiTheme="minorEastAsia" w:hAnsiTheme="minorEastAsia" w:eastAsiaTheme="minorEastAsia"/>
                <w:color w:val="000000"/>
                <w:kern w:val="0"/>
                <w:sz w:val="24"/>
                <w:szCs w:val="24"/>
              </w:rPr>
              <w:t>远动协议实施细则</w:t>
            </w:r>
          </w:p>
          <w:p w14:paraId="39E9934E">
            <w:pPr>
              <w:spacing w:line="360" w:lineRule="auto"/>
              <w:jc w:val="left"/>
              <w:rPr>
                <w:rFonts w:cs="宋体" w:asciiTheme="minorEastAsia" w:hAnsiTheme="minorEastAsia" w:eastAsiaTheme="minorEastAsia"/>
                <w:color w:val="000000"/>
                <w:kern w:val="0"/>
                <w:sz w:val="24"/>
                <w:szCs w:val="24"/>
              </w:rPr>
            </w:pPr>
            <w:r>
              <w:rPr>
                <w:rFonts w:hint="eastAsia" w:cs="宋体" w:asciiTheme="minorEastAsia" w:hAnsiTheme="minorEastAsia" w:eastAsiaTheme="minorEastAsia"/>
                <w:color w:val="000000"/>
                <w:kern w:val="0"/>
                <w:sz w:val="24"/>
                <w:szCs w:val="24"/>
              </w:rPr>
              <w:t>南方电网</w:t>
            </w:r>
            <w:r>
              <w:rPr>
                <w:rFonts w:asciiTheme="minorEastAsia" w:hAnsiTheme="minorEastAsia" w:eastAsiaTheme="minorEastAsia"/>
                <w:color w:val="000000"/>
                <w:kern w:val="0"/>
                <w:sz w:val="24"/>
                <w:szCs w:val="24"/>
              </w:rPr>
              <w:t>DL634.5.104-2002</w:t>
            </w:r>
            <w:r>
              <w:rPr>
                <w:rFonts w:hint="eastAsia" w:cs="宋体" w:asciiTheme="minorEastAsia" w:hAnsiTheme="minorEastAsia" w:eastAsiaTheme="minorEastAsia"/>
                <w:color w:val="000000"/>
                <w:kern w:val="0"/>
                <w:sz w:val="24"/>
                <w:szCs w:val="24"/>
              </w:rPr>
              <w:t>远动协议实施细则</w:t>
            </w:r>
          </w:p>
          <w:p w14:paraId="389B343B">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中国南方电网电力调度管理规程</w:t>
            </w:r>
          </w:p>
          <w:p w14:paraId="2C0B2BDC">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中国南方电网调度自动化管理规定</w:t>
            </w:r>
          </w:p>
        </w:tc>
      </w:tr>
      <w:tr w14:paraId="6489DA7A">
        <w:tblPrEx>
          <w:tblCellMar>
            <w:top w:w="0" w:type="dxa"/>
            <w:left w:w="108" w:type="dxa"/>
            <w:bottom w:w="0" w:type="dxa"/>
            <w:right w:w="108" w:type="dxa"/>
          </w:tblCellMar>
        </w:tblPrEx>
        <w:trPr>
          <w:jc w:val="center"/>
        </w:trPr>
        <w:tc>
          <w:tcPr>
            <w:tcW w:w="2434" w:type="dxa"/>
            <w:vAlign w:val="bottom"/>
          </w:tcPr>
          <w:p w14:paraId="61E3B676">
            <w:pPr>
              <w:spacing w:line="360" w:lineRule="auto"/>
              <w:jc w:val="left"/>
              <w:rPr>
                <w:rFonts w:asciiTheme="minorEastAsia" w:hAnsiTheme="minorEastAsia" w:eastAsiaTheme="minorEastAsia"/>
                <w:color w:val="000000"/>
                <w:sz w:val="24"/>
                <w:szCs w:val="24"/>
              </w:rPr>
            </w:pPr>
            <w:r>
              <w:rPr>
                <w:rFonts w:asciiTheme="minorEastAsia" w:hAnsiTheme="minorEastAsia" w:eastAsiaTheme="minorEastAsia"/>
                <w:color w:val="000000"/>
                <w:w w:val="95"/>
                <w:sz w:val="24"/>
                <w:szCs w:val="24"/>
              </w:rPr>
              <w:t>Q/CSG12040092-2015</w:t>
            </w:r>
          </w:p>
        </w:tc>
        <w:tc>
          <w:tcPr>
            <w:tcW w:w="6640" w:type="dxa"/>
            <w:vAlign w:val="bottom"/>
          </w:tcPr>
          <w:p w14:paraId="4E96D0C7">
            <w:pPr>
              <w:spacing w:line="360" w:lineRule="auto"/>
              <w:jc w:val="left"/>
              <w:rPr>
                <w:rFonts w:asciiTheme="minorEastAsia" w:hAnsiTheme="minorEastAsia" w:eastAsiaTheme="minorEastAsia"/>
                <w:color w:val="000000"/>
                <w:sz w:val="24"/>
                <w:szCs w:val="24"/>
              </w:rPr>
            </w:pPr>
            <w:r>
              <w:rPr>
                <w:rFonts w:hint="eastAsia" w:cs="宋体" w:asciiTheme="minorEastAsia" w:hAnsiTheme="minorEastAsia" w:eastAsiaTheme="minorEastAsia"/>
                <w:color w:val="000000"/>
                <w:kern w:val="0"/>
                <w:sz w:val="24"/>
                <w:szCs w:val="24"/>
              </w:rPr>
              <w:t>中国南方电网电力监控系统安全防护技术规范</w:t>
            </w:r>
          </w:p>
        </w:tc>
      </w:tr>
    </w:tbl>
    <w:p w14:paraId="40243DEC">
      <w:pPr>
        <w:spacing w:line="360" w:lineRule="auto"/>
        <w:ind w:left="-282" w:leftChars="-135" w:hanging="1"/>
        <w:jc w:val="lef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Q/CSG1203029-20</w:t>
      </w:r>
      <w:r>
        <w:rPr>
          <w:rFonts w:hint="eastAsia" w:asciiTheme="minorEastAsia" w:hAnsiTheme="minorEastAsia" w:eastAsiaTheme="minorEastAsia"/>
          <w:color w:val="000000"/>
          <w:sz w:val="24"/>
          <w:szCs w:val="24"/>
        </w:rPr>
        <w:t xml:space="preserve">20   </w:t>
      </w:r>
      <w:r>
        <w:rPr>
          <w:rFonts w:asciiTheme="minorEastAsia" w:hAnsiTheme="minorEastAsia" w:eastAsiaTheme="minorEastAsia"/>
          <w:color w:val="000000"/>
          <w:sz w:val="24"/>
          <w:szCs w:val="24"/>
        </w:rPr>
        <w:t>南方电网220</w:t>
      </w:r>
      <w:r>
        <w:rPr>
          <w:rFonts w:hint="eastAsia" w:asciiTheme="minorEastAsia" w:hAnsiTheme="minorEastAsia" w:eastAsiaTheme="minorEastAsia"/>
          <w:color w:val="000000"/>
          <w:sz w:val="24"/>
          <w:szCs w:val="24"/>
        </w:rPr>
        <w:t>kV~</w:t>
      </w:r>
      <w:r>
        <w:rPr>
          <w:rFonts w:asciiTheme="minorEastAsia" w:hAnsiTheme="minorEastAsia" w:eastAsiaTheme="minorEastAsia"/>
          <w:color w:val="000000"/>
          <w:sz w:val="24"/>
          <w:szCs w:val="24"/>
        </w:rPr>
        <w:t>500kV</w:t>
      </w:r>
      <w:r>
        <w:rPr>
          <w:rFonts w:hint="eastAsia" w:asciiTheme="minorEastAsia" w:hAnsiTheme="minorEastAsia" w:eastAsiaTheme="minorEastAsia"/>
          <w:color w:val="000000"/>
          <w:sz w:val="24"/>
          <w:szCs w:val="24"/>
        </w:rPr>
        <w:t>变电站计算机监控系统技术规范</w:t>
      </w:r>
    </w:p>
    <w:p w14:paraId="6454FF42">
      <w:pPr>
        <w:spacing w:line="360" w:lineRule="auto"/>
        <w:ind w:left="-282" w:leftChars="-135" w:hanging="1"/>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Q/CSG 110023-2012    南方电网公司变电站防止电气误操作闭锁装置技术规范</w:t>
      </w:r>
    </w:p>
    <w:p w14:paraId="7A813125">
      <w:pPr>
        <w:spacing w:line="360" w:lineRule="auto"/>
        <w:ind w:left="-282" w:leftChars="-135" w:hanging="1"/>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发改委〔2014〕14号  电力监控系统安全防护规定</w:t>
      </w:r>
    </w:p>
    <w:p w14:paraId="0A12A236">
      <w:pPr>
        <w:spacing w:line="360" w:lineRule="auto"/>
        <w:ind w:left="-282" w:leftChars="-135" w:hanging="1"/>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国能安全〔2015〕36号电力监控系统安全防护总体方案</w:t>
      </w:r>
    </w:p>
    <w:p w14:paraId="3A4C7E30">
      <w:pPr>
        <w:spacing w:line="360" w:lineRule="auto"/>
        <w:ind w:left="-282" w:leftChars="-135" w:hanging="1"/>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电监信息[2012]62号   电力行业信息系统安全等级保护基本要求</w:t>
      </w:r>
    </w:p>
    <w:p w14:paraId="53215492">
      <w:pPr>
        <w:spacing w:line="360" w:lineRule="auto"/>
        <w:ind w:left="-282" w:leftChars="-135" w:hanging="1"/>
        <w:jc w:val="lef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南方电网生技〔2021〕13号文《南方电网公司反事故措施（2021版）》</w:t>
      </w:r>
    </w:p>
    <w:p w14:paraId="2B6C738D">
      <w:pPr>
        <w:spacing w:line="360" w:lineRule="auto"/>
        <w:rPr>
          <w:rFonts w:asciiTheme="minorEastAsia" w:hAnsiTheme="minorEastAsia" w:eastAsiaTheme="minorEastAsia"/>
          <w:kern w:val="0"/>
          <w:sz w:val="28"/>
          <w:szCs w:val="28"/>
        </w:rPr>
      </w:pPr>
      <w:r>
        <w:rPr>
          <w:rFonts w:hint="eastAsia" w:asciiTheme="minorEastAsia" w:hAnsiTheme="minorEastAsia" w:eastAsiaTheme="minorEastAsia"/>
          <w:kern w:val="0"/>
          <w:sz w:val="28"/>
          <w:szCs w:val="28"/>
        </w:rPr>
        <w:t>2.1.3  上述标准和规范仅规定了通用要求，只要投标人认为有必要并提请招标人认可，即可超越这些标准，采用更好、更经济的设计和材料，使投标人的设备持续稳定地运行。</w:t>
      </w:r>
    </w:p>
    <w:p w14:paraId="1C484F3E">
      <w:pPr>
        <w:adjustRightInd w:val="0"/>
        <w:snapToGrid w:val="0"/>
        <w:spacing w:line="360" w:lineRule="auto"/>
        <w:ind w:firstLine="560" w:firstLineChars="200"/>
        <w:textAlignment w:val="baseline"/>
        <w:outlineLvl w:val="0"/>
        <w:rPr>
          <w:rFonts w:asciiTheme="minorEastAsia" w:hAnsiTheme="minorEastAsia" w:eastAsiaTheme="minorEastAsia"/>
          <w:kern w:val="0"/>
          <w:sz w:val="28"/>
          <w:szCs w:val="28"/>
        </w:rPr>
      </w:pPr>
      <w:bookmarkStart w:id="11" w:name="_Toc26189"/>
      <w:r>
        <w:rPr>
          <w:rFonts w:hint="eastAsia" w:asciiTheme="minorEastAsia" w:hAnsiTheme="minorEastAsia" w:eastAsiaTheme="minorEastAsia"/>
          <w:kern w:val="0"/>
          <w:sz w:val="28"/>
          <w:szCs w:val="28"/>
        </w:rPr>
        <w:t>2.2  环境条件</w:t>
      </w:r>
      <w:bookmarkEnd w:id="11"/>
    </w:p>
    <w:p w14:paraId="2C4EEFF6">
      <w:pPr>
        <w:tabs>
          <w:tab w:val="left" w:pos="3960"/>
        </w:tabs>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2.2.1 外部空气温度</w:t>
      </w:r>
    </w:p>
    <w:p w14:paraId="7754E844">
      <w:pPr>
        <w:tabs>
          <w:tab w:val="left" w:pos="3960"/>
        </w:tabs>
        <w:autoSpaceDE w:val="0"/>
        <w:autoSpaceDN w:val="0"/>
        <w:adjustRightInd w:val="0"/>
        <w:spacing w:line="360" w:lineRule="auto"/>
        <w:ind w:firstLine="1069" w:firstLineChars="382"/>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最高温度:</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45℃</w:t>
      </w:r>
    </w:p>
    <w:p w14:paraId="5AC4A4E0">
      <w:pPr>
        <w:tabs>
          <w:tab w:val="left" w:pos="3960"/>
        </w:tabs>
        <w:autoSpaceDE w:val="0"/>
        <w:autoSpaceDN w:val="0"/>
        <w:adjustRightInd w:val="0"/>
        <w:spacing w:line="360" w:lineRule="auto"/>
        <w:ind w:firstLine="560"/>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   最低温度:</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-10℃</w:t>
      </w:r>
    </w:p>
    <w:p w14:paraId="2A76BAC9">
      <w:pPr>
        <w:tabs>
          <w:tab w:val="left" w:pos="3960"/>
        </w:tabs>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2.2.2  最大相对湿度: </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95%</w:t>
      </w:r>
    </w:p>
    <w:p w14:paraId="04366A76">
      <w:pPr>
        <w:tabs>
          <w:tab w:val="left" w:pos="3960"/>
        </w:tabs>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2.2.3  海拔高度: </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1000m≤海拔高度≤2000m</w:t>
      </w:r>
    </w:p>
    <w:p w14:paraId="18F2537F">
      <w:pPr>
        <w:tabs>
          <w:tab w:val="left" w:pos="3960"/>
        </w:tabs>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2.2.4  地震烈度:</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8度</w:t>
      </w:r>
    </w:p>
    <w:p w14:paraId="2F089513">
      <w:pPr>
        <w:tabs>
          <w:tab w:val="left" w:pos="1026"/>
          <w:tab w:val="left" w:pos="3960"/>
        </w:tabs>
        <w:autoSpaceDE w:val="0"/>
        <w:autoSpaceDN w:val="0"/>
        <w:adjustRightInd w:val="0"/>
        <w:spacing w:line="360" w:lineRule="auto"/>
        <w:ind w:firstLine="560"/>
        <w:rPr>
          <w:rFonts w:cs="宋体" w:asciiTheme="minorEastAsia" w:hAnsiTheme="minorEastAsia" w:eastAsiaTheme="minorEastAsia"/>
          <w:sz w:val="28"/>
          <w:szCs w:val="28"/>
          <w:lang w:val="zh-CN"/>
        </w:rPr>
      </w:pPr>
      <w:r>
        <w:rPr>
          <w:rFonts w:hint="eastAsia"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水平加速度:</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0.25g</w:t>
      </w:r>
    </w:p>
    <w:p w14:paraId="0558E451">
      <w:pPr>
        <w:tabs>
          <w:tab w:val="left" w:pos="1026"/>
          <w:tab w:val="left" w:pos="3960"/>
        </w:tabs>
        <w:autoSpaceDE w:val="0"/>
        <w:autoSpaceDN w:val="0"/>
        <w:adjustRightInd w:val="0"/>
        <w:spacing w:line="360" w:lineRule="auto"/>
        <w:ind w:firstLine="560"/>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垂直加速度:</w:t>
      </w:r>
      <w:r>
        <w:rPr>
          <w:rFonts w:hint="eastAsia" w:cs="宋体"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0.125g</w:t>
      </w:r>
    </w:p>
    <w:p w14:paraId="030C2D74">
      <w:pPr>
        <w:tabs>
          <w:tab w:val="left" w:pos="1440"/>
          <w:tab w:val="left" w:pos="3960"/>
        </w:tabs>
        <w:spacing w:line="360" w:lineRule="auto"/>
        <w:rPr>
          <w:rFonts w:asciiTheme="minorEastAsia" w:hAnsiTheme="minorEastAsia" w:eastAsiaTheme="minorEastAsia"/>
          <w:spacing w:val="10"/>
          <w:sz w:val="28"/>
          <w:szCs w:val="28"/>
        </w:rPr>
      </w:pPr>
      <w:r>
        <w:rPr>
          <w:rFonts w:hint="eastAsia" w:cs="宋体" w:asciiTheme="minorEastAsia" w:hAnsiTheme="minorEastAsia" w:eastAsiaTheme="minorEastAsia"/>
          <w:sz w:val="28"/>
          <w:szCs w:val="28"/>
          <w:lang w:val="zh-CN"/>
        </w:rPr>
        <w:t>2.2.5  防护等级</w:t>
      </w:r>
      <w:r>
        <w:rPr>
          <w:rFonts w:hint="eastAsia" w:asciiTheme="minorEastAsia" w:hAnsiTheme="minorEastAsia" w:eastAsiaTheme="minorEastAsia"/>
          <w:sz w:val="28"/>
          <w:szCs w:val="28"/>
          <w:lang w:val="zh-CN"/>
        </w:rPr>
        <w:tab/>
      </w:r>
      <w:r>
        <w:rPr>
          <w:rFonts w:hint="eastAsia" w:cs="宋体" w:asciiTheme="minorEastAsia" w:hAnsiTheme="minorEastAsia" w:eastAsiaTheme="minorEastAsia"/>
          <w:sz w:val="28"/>
          <w:szCs w:val="28"/>
          <w:lang w:val="zh-CN"/>
        </w:rPr>
        <w:t>IP40</w:t>
      </w:r>
    </w:p>
    <w:p w14:paraId="16505EA6">
      <w:pPr>
        <w:adjustRightInd w:val="0"/>
        <w:snapToGrid w:val="0"/>
        <w:spacing w:line="360" w:lineRule="auto"/>
        <w:ind w:firstLine="560" w:firstLineChars="200"/>
        <w:textAlignment w:val="baseline"/>
        <w:outlineLvl w:val="0"/>
        <w:rPr>
          <w:rFonts w:asciiTheme="minorEastAsia" w:hAnsiTheme="minorEastAsia" w:eastAsiaTheme="minorEastAsia"/>
          <w:kern w:val="0"/>
          <w:sz w:val="28"/>
          <w:szCs w:val="28"/>
        </w:rPr>
      </w:pPr>
      <w:bookmarkStart w:id="12" w:name="_Toc12249"/>
      <w:r>
        <w:rPr>
          <w:rFonts w:hint="eastAsia" w:asciiTheme="minorEastAsia" w:hAnsiTheme="minorEastAsia" w:eastAsiaTheme="minorEastAsia"/>
          <w:kern w:val="0"/>
          <w:sz w:val="28"/>
          <w:szCs w:val="28"/>
        </w:rPr>
        <w:t>2.3  电气额定值</w:t>
      </w:r>
      <w:bookmarkEnd w:id="12"/>
    </w:p>
    <w:p w14:paraId="696C49FE">
      <w:pPr>
        <w:spacing w:line="360" w:lineRule="auto"/>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xml:space="preserve">    ·交流二次电压</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100V</w:t>
      </w:r>
    </w:p>
    <w:p w14:paraId="31D24CC5">
      <w:pPr>
        <w:spacing w:line="360" w:lineRule="auto"/>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xml:space="preserve">    ·交流二次电流</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1A</w:t>
      </w:r>
    </w:p>
    <w:p w14:paraId="5820D9FA">
      <w:pPr>
        <w:numPr>
          <w:ilvl w:val="12"/>
          <w:numId w:val="0"/>
        </w:numPr>
        <w:spacing w:line="360" w:lineRule="auto"/>
        <w:ind w:left="534" w:hanging="109"/>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xml:space="preserve"> ·频  率</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50Hz</w:t>
      </w:r>
    </w:p>
    <w:p w14:paraId="03CACFA8">
      <w:pPr>
        <w:spacing w:line="360" w:lineRule="auto"/>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xml:space="preserve">    ·直流电压</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DC220V</w:t>
      </w:r>
    </w:p>
    <w:p w14:paraId="4C25F7F9">
      <w:pPr>
        <w:spacing w:line="360" w:lineRule="auto"/>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xml:space="preserve">    ·每套装置交流电压回路功耗: 不大于1VA/相</w:t>
      </w:r>
    </w:p>
    <w:p w14:paraId="514D2BEF">
      <w:pPr>
        <w:spacing w:line="360" w:lineRule="auto"/>
        <w:ind w:firstLine="57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·每套装置交流电流回路功耗: 不大于0.5VA/相In=1A</w:t>
      </w:r>
    </w:p>
    <w:p w14:paraId="69CABCE1">
      <w:pPr>
        <w:spacing w:line="360" w:lineRule="auto"/>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xml:space="preserve">    ·每套装置外接辅助电源功耗: 不大于10VA</w:t>
      </w:r>
    </w:p>
    <w:p w14:paraId="780FD9D9">
      <w:pPr>
        <w:spacing w:line="360" w:lineRule="auto"/>
        <w:ind w:firstLine="600" w:firstLineChars="2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·设备工频耐压</w:t>
      </w:r>
    </w:p>
    <w:p w14:paraId="3A4BE032">
      <w:pPr>
        <w:spacing w:line="360" w:lineRule="auto"/>
        <w:ind w:firstLine="6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交流回路对地</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2kV/分</w:t>
      </w:r>
    </w:p>
    <w:p w14:paraId="555240EC">
      <w:pPr>
        <w:spacing w:line="360" w:lineRule="auto"/>
        <w:ind w:firstLine="6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直流回路对地</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1.5kV/分</w:t>
      </w:r>
    </w:p>
    <w:p w14:paraId="6E2E34A3">
      <w:pPr>
        <w:spacing w:line="360" w:lineRule="auto"/>
        <w:ind w:firstLine="600"/>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 交流回路对直流回路</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2kV/分</w:t>
      </w:r>
    </w:p>
    <w:p w14:paraId="44B881AD">
      <w:pPr>
        <w:spacing w:line="360" w:lineRule="auto"/>
        <w:ind w:firstLine="600"/>
        <w:rPr>
          <w:rFonts w:asciiTheme="minorEastAsia" w:hAnsiTheme="minorEastAsia" w:eastAsiaTheme="minorEastAsia"/>
          <w:kern w:val="0"/>
          <w:sz w:val="28"/>
          <w:szCs w:val="28"/>
        </w:rPr>
      </w:pPr>
      <w:r>
        <w:rPr>
          <w:rFonts w:hint="eastAsia" w:asciiTheme="minorEastAsia" w:hAnsiTheme="minorEastAsia" w:eastAsiaTheme="minorEastAsia"/>
          <w:spacing w:val="10"/>
          <w:sz w:val="28"/>
          <w:szCs w:val="28"/>
        </w:rPr>
        <w:t>─ 浪涌电压冲击试验</w:t>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ab/>
      </w:r>
      <w:r>
        <w:rPr>
          <w:rFonts w:hint="eastAsia" w:asciiTheme="minorEastAsia" w:hAnsiTheme="minorEastAsia" w:eastAsiaTheme="minorEastAsia"/>
          <w:spacing w:val="10"/>
          <w:sz w:val="28"/>
          <w:szCs w:val="28"/>
        </w:rPr>
        <w:t xml:space="preserve"> 5kV  1.2/50</w:t>
      </w:r>
      <w:r>
        <w:rPr>
          <w:rFonts w:asciiTheme="minorEastAsia" w:hAnsiTheme="minorEastAsia" w:eastAsiaTheme="minorEastAsia"/>
          <w:spacing w:val="10"/>
          <w:sz w:val="28"/>
          <w:szCs w:val="28"/>
        </w:rPr>
        <w:sym w:font="Symbol" w:char="006D"/>
      </w:r>
      <w:r>
        <w:rPr>
          <w:rFonts w:hint="eastAsia" w:asciiTheme="minorEastAsia" w:hAnsiTheme="minorEastAsia" w:eastAsiaTheme="minorEastAsia"/>
          <w:spacing w:val="10"/>
          <w:sz w:val="28"/>
          <w:szCs w:val="28"/>
        </w:rPr>
        <w:t>s</w:t>
      </w:r>
    </w:p>
    <w:p w14:paraId="442913C4">
      <w:pPr>
        <w:adjustRightInd w:val="0"/>
        <w:snapToGrid w:val="0"/>
        <w:spacing w:line="360" w:lineRule="auto"/>
        <w:ind w:firstLine="560" w:firstLineChars="200"/>
        <w:textAlignment w:val="baseline"/>
        <w:outlineLvl w:val="0"/>
        <w:rPr>
          <w:rFonts w:hint="eastAsia" w:asciiTheme="minorEastAsia" w:hAnsiTheme="minorEastAsia" w:eastAsiaTheme="minorEastAsia"/>
          <w:kern w:val="0"/>
          <w:sz w:val="28"/>
          <w:szCs w:val="28"/>
        </w:rPr>
      </w:pPr>
      <w:bookmarkStart w:id="13" w:name="_Toc26991"/>
      <w:r>
        <w:rPr>
          <w:rFonts w:hint="eastAsia" w:asciiTheme="minorEastAsia" w:hAnsiTheme="minorEastAsia" w:eastAsiaTheme="minorEastAsia"/>
          <w:kern w:val="0"/>
          <w:sz w:val="28"/>
          <w:szCs w:val="28"/>
        </w:rPr>
        <w:t>2.4  技术性能</w:t>
      </w:r>
      <w:bookmarkEnd w:id="13"/>
    </w:p>
    <w:p w14:paraId="5B67D95A">
      <w:pPr>
        <w:bidi w:val="0"/>
        <w:jc w:val="center"/>
        <w:rPr>
          <w:rFonts w:hint="eastAsia" w:ascii="Times New Roman" w:hAnsi="Times New Roman" w:eastAsia="宋体" w:cs="Times New Roman"/>
          <w:kern w:val="2"/>
          <w:sz w:val="21"/>
          <w:szCs w:val="20"/>
          <w:lang w:val="en-US" w:eastAsia="zh-CN" w:bidi="ar-SA"/>
        </w:rPr>
      </w:pPr>
    </w:p>
    <w:p w14:paraId="3EBD6BE2">
      <w:pPr>
        <w:spacing w:line="360" w:lineRule="auto"/>
        <w:rPr>
          <w:rFonts w:asciiTheme="minorEastAsia" w:hAnsiTheme="minorEastAsia" w:eastAsiaTheme="minorEastAsia"/>
          <w:spacing w:val="10"/>
          <w:sz w:val="28"/>
          <w:szCs w:val="28"/>
        </w:rPr>
      </w:pPr>
      <w:r>
        <w:rPr>
          <w:rFonts w:hint="eastAsia" w:asciiTheme="minorEastAsia" w:hAnsiTheme="minorEastAsia" w:eastAsiaTheme="minorEastAsia"/>
          <w:spacing w:val="10"/>
          <w:sz w:val="28"/>
          <w:szCs w:val="28"/>
        </w:rPr>
        <w:t>2.4.1  交流站用电源</w:t>
      </w:r>
    </w:p>
    <w:p w14:paraId="31B8F62B">
      <w:pPr>
        <w:adjustRightInd w:val="0"/>
        <w:snapToGri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    站用电源为3相4线，50赫兹， 400/230伏的交流电源。辅助设备的端电压分别为380伏和220伏。由站用电源供电的所有设备和装置应能承受20%的电压波动和±10%的频率变化。</w:t>
      </w:r>
    </w:p>
    <w:p w14:paraId="4F4B7FB3">
      <w:pPr>
        <w:adjustRightInd w:val="0"/>
        <w:snapToGrid w:val="0"/>
        <w:spacing w:line="360" w:lineRule="auto"/>
        <w:rPr>
          <w:rFonts w:asciiTheme="minorEastAsia" w:hAnsiTheme="minorEastAsia" w:eastAsiaTheme="minorEastAsia"/>
          <w:snapToGrid w:val="0"/>
          <w:spacing w:val="10"/>
          <w:sz w:val="28"/>
          <w:szCs w:val="28"/>
        </w:rPr>
      </w:pPr>
      <w:r>
        <w:rPr>
          <w:rFonts w:hint="eastAsia" w:asciiTheme="minorEastAsia" w:hAnsiTheme="minorEastAsia" w:eastAsiaTheme="minorEastAsia"/>
          <w:spacing w:val="10"/>
          <w:sz w:val="28"/>
          <w:szCs w:val="28"/>
        </w:rPr>
        <w:t>2.4.2 直流站用电源</w:t>
      </w:r>
    </w:p>
    <w:p w14:paraId="2D9AB461">
      <w:pPr>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由招标人提供的直流控制电源是由固定的蓄电池组供电的。</w:t>
      </w:r>
    </w:p>
    <w:p w14:paraId="446956C0">
      <w:pPr>
        <w:autoSpaceDE w:val="0"/>
        <w:autoSpaceDN w:val="0"/>
        <w:adjustRightInd w:val="0"/>
        <w:spacing w:line="360" w:lineRule="auto"/>
        <w:rPr>
          <w:rFonts w:asciiTheme="minorEastAsia" w:hAnsiTheme="minorEastAsia" w:eastAsiaTheme="minorEastAsia"/>
          <w:sz w:val="28"/>
          <w:szCs w:val="28"/>
          <w:lang w:val="zh-CN"/>
        </w:rPr>
      </w:pPr>
      <w:r>
        <w:rPr>
          <w:rFonts w:hint="eastAsia" w:asciiTheme="minorEastAsia" w:hAnsiTheme="minorEastAsia" w:eastAsiaTheme="minorEastAsia"/>
          <w:sz w:val="28"/>
          <w:szCs w:val="28"/>
          <w:lang w:val="zh-CN"/>
        </w:rPr>
        <w:t xml:space="preserve">    </w:t>
      </w:r>
      <w:r>
        <w:rPr>
          <w:rFonts w:hint="eastAsia" w:cs="宋体" w:asciiTheme="minorEastAsia" w:hAnsiTheme="minorEastAsia" w:eastAsiaTheme="minorEastAsia"/>
          <w:sz w:val="28"/>
          <w:szCs w:val="28"/>
          <w:lang w:val="zh-CN"/>
        </w:rPr>
        <w:t>（1）直流电源电压在80～115％额定值范围内变化时，装置应正确工作。</w:t>
      </w:r>
    </w:p>
    <w:p w14:paraId="7A36CD7B">
      <w:pPr>
        <w:autoSpaceDE w:val="0"/>
        <w:autoSpaceDN w:val="0"/>
        <w:adjustRightInd w:val="0"/>
        <w:spacing w:line="360" w:lineRule="auto"/>
        <w:rPr>
          <w:rFonts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    （2）直流电源波纹系数≤5％时，装置应正确工作。</w:t>
      </w:r>
    </w:p>
    <w:p w14:paraId="26203CDE">
      <w:pPr>
        <w:autoSpaceDE w:val="0"/>
        <w:autoSpaceDN w:val="0"/>
        <w:adjustRightInd w:val="0"/>
        <w:spacing w:line="360" w:lineRule="auto"/>
        <w:rPr>
          <w:rFonts w:asciiTheme="minorEastAsia" w:hAnsiTheme="minorEastAsia" w:eastAsiaTheme="minorEastAsia"/>
          <w:sz w:val="28"/>
          <w:szCs w:val="28"/>
          <w:lang w:val="zh-CN"/>
        </w:rPr>
      </w:pPr>
      <w:r>
        <w:rPr>
          <w:rFonts w:hint="eastAsia" w:asciiTheme="minorEastAsia" w:hAnsiTheme="minorEastAsia" w:eastAsiaTheme="minorEastAsia"/>
          <w:sz w:val="28"/>
          <w:szCs w:val="28"/>
          <w:lang w:val="zh-CN"/>
        </w:rPr>
        <w:t xml:space="preserve">    </w:t>
      </w:r>
      <w:r>
        <w:rPr>
          <w:rFonts w:hint="eastAsia" w:cs="宋体" w:asciiTheme="minorEastAsia" w:hAnsiTheme="minorEastAsia" w:eastAsiaTheme="minorEastAsia"/>
          <w:sz w:val="28"/>
          <w:szCs w:val="28"/>
          <w:lang w:val="zh-CN"/>
        </w:rPr>
        <w:t>（3）拉合直流电源以及插拔熔丝发生重复击穿火花时，直流回路一点接地情况下，装置不应异常。</w:t>
      </w:r>
    </w:p>
    <w:p w14:paraId="50FAD796">
      <w:pPr>
        <w:adjustRightInd w:val="0"/>
        <w:snapToGrid w:val="0"/>
        <w:spacing w:line="360" w:lineRule="auto"/>
        <w:textAlignment w:val="baseline"/>
        <w:outlineLvl w:val="0"/>
        <w:rPr>
          <w:rFonts w:asciiTheme="minorEastAsia" w:hAnsiTheme="minorEastAsia" w:eastAsiaTheme="minorEastAsia"/>
          <w:kern w:val="0"/>
          <w:sz w:val="28"/>
          <w:szCs w:val="28"/>
        </w:rPr>
      </w:pPr>
      <w:bookmarkStart w:id="14" w:name="_Toc7023"/>
      <w:bookmarkStart w:id="15" w:name="_Toc524231977"/>
      <w:r>
        <w:rPr>
          <w:rFonts w:hint="eastAsia" w:asciiTheme="minorEastAsia" w:hAnsiTheme="minorEastAsia" w:eastAsiaTheme="minorEastAsia"/>
          <w:kern w:val="0"/>
          <w:sz w:val="28"/>
          <w:szCs w:val="28"/>
        </w:rPr>
        <w:t>2.5技术要求</w:t>
      </w:r>
      <w:bookmarkEnd w:id="14"/>
    </w:p>
    <w:bookmarkEnd w:id="15"/>
    <w:p w14:paraId="3FE9D544">
      <w:pPr>
        <w:spacing w:line="360" w:lineRule="auto"/>
        <w:ind w:firstLine="420" w:firstLineChars="150"/>
        <w:rPr>
          <w:rFonts w:asciiTheme="minorEastAsia" w:hAnsiTheme="minorEastAsia" w:eastAsiaTheme="minorEastAsia"/>
          <w:sz w:val="28"/>
          <w:szCs w:val="28"/>
        </w:rPr>
      </w:pPr>
      <w:r>
        <w:rPr>
          <w:rFonts w:hint="eastAsia" w:asciiTheme="minorEastAsia" w:hAnsiTheme="minorEastAsia" w:eastAsiaTheme="minorEastAsia"/>
          <w:kern w:val="0"/>
          <w:sz w:val="28"/>
          <w:szCs w:val="28"/>
        </w:rPr>
        <w:t xml:space="preserve">  2.5.</w:t>
      </w:r>
      <w:r>
        <w:rPr>
          <w:rFonts w:hint="eastAsia" w:asciiTheme="minorEastAsia" w:hAnsiTheme="minorEastAsia" w:eastAsiaTheme="minorEastAsia"/>
          <w:kern w:val="0"/>
          <w:sz w:val="28"/>
          <w:szCs w:val="28"/>
          <w:lang w:val="en-US" w:eastAsia="zh-CN"/>
        </w:rPr>
        <w:t>1</w:t>
      </w:r>
      <w:r>
        <w:rPr>
          <w:rFonts w:hint="eastAsia" w:asciiTheme="minorEastAsia" w:hAnsiTheme="minorEastAsia" w:eastAsiaTheme="minorEastAsia"/>
          <w:sz w:val="28"/>
          <w:szCs w:val="28"/>
        </w:rPr>
        <w:t>采用数字式电压切换装置，实现双母线接线方式下TV二次切换功能。电压切换装置的功能配置满足以下要求：</w:t>
      </w:r>
    </w:p>
    <w:p w14:paraId="45A071F5">
      <w:pPr>
        <w:snapToGrid w:val="0"/>
        <w:spacing w:line="360" w:lineRule="auto"/>
        <w:ind w:left="420" w:leftChars="200"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1）最多可同时完成不少于九个回路的电压切换功能。</w:t>
      </w:r>
    </w:p>
    <w:p w14:paraId="437F9D59">
      <w:pPr>
        <w:snapToGrid w:val="0"/>
        <w:spacing w:line="360" w:lineRule="auto"/>
        <w:ind w:left="420" w:leftChars="200"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2）回路继电器为磁保持继电器，控制电源消失后不会造成误动。</w:t>
      </w:r>
    </w:p>
    <w:p w14:paraId="2C1CA9E6">
      <w:pPr>
        <w:spacing w:line="360" w:lineRule="auto"/>
        <w:ind w:firstLine="770" w:firstLineChars="275"/>
        <w:rPr>
          <w:rFonts w:asciiTheme="minorEastAsia" w:hAnsiTheme="minorEastAsia" w:eastAsiaTheme="minorEastAsia"/>
          <w:sz w:val="28"/>
          <w:szCs w:val="28"/>
        </w:rPr>
      </w:pPr>
      <w:r>
        <w:rPr>
          <w:rFonts w:hint="eastAsia" w:asciiTheme="minorEastAsia" w:hAnsiTheme="minorEastAsia" w:eastAsiaTheme="minorEastAsia"/>
          <w:sz w:val="28"/>
          <w:szCs w:val="28"/>
        </w:rPr>
        <w:t>3）面板设有信号灯指示工作状态。</w:t>
      </w:r>
    </w:p>
    <w:p w14:paraId="517650A9">
      <w:pPr>
        <w:spacing w:line="360" w:lineRule="auto"/>
        <w:ind w:firstLine="770" w:firstLineChars="275"/>
        <w:rPr>
          <w:rFonts w:asciiTheme="minorEastAsia" w:hAnsiTheme="minorEastAsia" w:eastAsiaTheme="minorEastAsia"/>
          <w:sz w:val="28"/>
          <w:szCs w:val="28"/>
        </w:rPr>
      </w:pPr>
      <w:r>
        <w:rPr>
          <w:rFonts w:hint="eastAsia" w:asciiTheme="minorEastAsia" w:hAnsiTheme="minorEastAsia" w:eastAsiaTheme="minorEastAsia"/>
          <w:sz w:val="28"/>
          <w:szCs w:val="28"/>
        </w:rPr>
        <w:t>4）控制电源监视功能。</w:t>
      </w:r>
    </w:p>
    <w:p w14:paraId="497E9C98">
      <w:pPr>
        <w:spacing w:line="360" w:lineRule="auto"/>
        <w:ind w:firstLine="770" w:firstLineChars="275"/>
        <w:rPr>
          <w:rFonts w:asciiTheme="minorEastAsia" w:hAnsiTheme="minorEastAsia" w:eastAsiaTheme="minorEastAsia"/>
          <w:sz w:val="28"/>
          <w:szCs w:val="28"/>
        </w:rPr>
      </w:pPr>
      <w:r>
        <w:rPr>
          <w:rFonts w:hint="eastAsia" w:asciiTheme="minorEastAsia" w:hAnsiTheme="minorEastAsia" w:eastAsiaTheme="minorEastAsia"/>
          <w:sz w:val="28"/>
          <w:szCs w:val="28"/>
        </w:rPr>
        <w:t>5）工作状态及切换信号可以通过通信方式上传或通过信号接点指示；远动功能</w:t>
      </w:r>
      <w:r>
        <w:rPr>
          <w:rFonts w:hint="eastAsia" w:asciiTheme="minorEastAsia" w:hAnsiTheme="minorEastAsia" w:eastAsiaTheme="minorEastAsia"/>
          <w:snapToGrid w:val="0"/>
          <w:kern w:val="21"/>
          <w:sz w:val="28"/>
          <w:szCs w:val="28"/>
        </w:rPr>
        <w:t>遥信量主要有：8路遥信开入,遥信分辨率小于1ms。</w:t>
      </w:r>
    </w:p>
    <w:p w14:paraId="40126591">
      <w:pPr>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另外具有GPS时钟同步对时功能，采用差分电平方式，可以自动适应IRIG-B格式和秒脉冲方式，可以自适应接线。</w:t>
      </w:r>
    </w:p>
    <w:p w14:paraId="0C08F00B">
      <w:pPr>
        <w:spacing w:line="360" w:lineRule="auto"/>
        <w:rPr>
          <w:rFonts w:asciiTheme="minorEastAsia" w:hAnsiTheme="minorEastAsia" w:eastAsiaTheme="minorEastAsia"/>
          <w:sz w:val="28"/>
          <w:szCs w:val="28"/>
        </w:rPr>
      </w:pPr>
      <w:r>
        <w:rPr>
          <w:rFonts w:hint="eastAsia" w:asciiTheme="minorEastAsia" w:hAnsiTheme="minorEastAsia" w:eastAsiaTheme="minorEastAsia"/>
          <w:kern w:val="0"/>
          <w:sz w:val="28"/>
          <w:szCs w:val="28"/>
        </w:rPr>
        <w:t>2.5.</w:t>
      </w:r>
      <w:r>
        <w:rPr>
          <w:rFonts w:hint="eastAsia" w:asciiTheme="minorEastAsia" w:hAnsiTheme="minorEastAsia" w:eastAsiaTheme="minorEastAsia"/>
          <w:kern w:val="0"/>
          <w:sz w:val="28"/>
          <w:szCs w:val="28"/>
          <w:lang w:val="en-US" w:eastAsia="zh-CN"/>
        </w:rPr>
        <w:t>2</w:t>
      </w:r>
      <w:r>
        <w:rPr>
          <w:rFonts w:hint="eastAsia" w:asciiTheme="minorEastAsia" w:hAnsiTheme="minorEastAsia" w:eastAsiaTheme="minorEastAsia"/>
          <w:sz w:val="28"/>
          <w:szCs w:val="28"/>
        </w:rPr>
        <w:t>电压监测装置及切换装置必须具备良好的抗干扰性能，具体要求如下：</w:t>
      </w:r>
    </w:p>
    <w:p w14:paraId="4B71D86B">
      <w:pPr>
        <w:spacing w:line="360" w:lineRule="auto"/>
        <w:rPr>
          <w:rFonts w:asciiTheme="minorEastAsia" w:hAnsiTheme="minorEastAsia" w:eastAsiaTheme="minorEastAsia"/>
          <w:sz w:val="28"/>
          <w:szCs w:val="28"/>
        </w:rPr>
      </w:pPr>
      <w:bookmarkStart w:id="16" w:name="_Toc44438582"/>
      <w:r>
        <w:rPr>
          <w:rFonts w:hint="eastAsia" w:asciiTheme="minorEastAsia" w:hAnsiTheme="minorEastAsia" w:eastAsiaTheme="minorEastAsia"/>
          <w:sz w:val="28"/>
          <w:szCs w:val="28"/>
        </w:rPr>
        <w:t xml:space="preserve">    静电放电干扰</w:t>
      </w:r>
      <w:bookmarkEnd w:id="16"/>
    </w:p>
    <w:p w14:paraId="073D17C1">
      <w:pPr>
        <w:spacing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符合GB/T14598.14-1998中4.2规定的严酷等级为Ⅳ级的静电放电试验的要求。</w:t>
      </w:r>
    </w:p>
    <w:p w14:paraId="6B1D3087">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w:t>
      </w:r>
      <w:bookmarkStart w:id="17" w:name="_Toc44438583"/>
      <w:r>
        <w:rPr>
          <w:rFonts w:hint="eastAsia" w:asciiTheme="minorEastAsia" w:hAnsiTheme="minorEastAsia" w:eastAsiaTheme="minorEastAsia"/>
          <w:sz w:val="28"/>
          <w:szCs w:val="28"/>
        </w:rPr>
        <w:t>快速瞬变干扰</w:t>
      </w:r>
      <w:bookmarkEnd w:id="17"/>
    </w:p>
    <w:p w14:paraId="1EEC4AE3">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符合GB/T14598.10-1996中4.1规定的严酷等级为Ⅳ级的快速瞬变干扰试验的要求。</w:t>
      </w:r>
    </w:p>
    <w:p w14:paraId="372E96CD">
      <w:pPr>
        <w:spacing w:line="360" w:lineRule="auto"/>
        <w:rPr>
          <w:rFonts w:asciiTheme="minorEastAsia" w:hAnsiTheme="minorEastAsia" w:eastAsiaTheme="minorEastAsia"/>
          <w:sz w:val="28"/>
          <w:szCs w:val="28"/>
        </w:rPr>
      </w:pPr>
      <w:bookmarkStart w:id="18" w:name="_Toc44438584"/>
      <w:r>
        <w:rPr>
          <w:rFonts w:hint="eastAsia" w:asciiTheme="minorEastAsia" w:hAnsiTheme="minorEastAsia" w:eastAsiaTheme="minorEastAsia"/>
          <w:sz w:val="28"/>
          <w:szCs w:val="28"/>
        </w:rPr>
        <w:t xml:space="preserve">    浪涌（冲击）干扰</w:t>
      </w:r>
      <w:bookmarkEnd w:id="18"/>
    </w:p>
    <w:p w14:paraId="2EBD7893">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符合GB/T17626.5-1999中5规定的严酷等级为Ⅲ级的浪涌（冲击）干扰试验的要求。</w:t>
      </w:r>
    </w:p>
    <w:p w14:paraId="7EA6E129">
      <w:pPr>
        <w:spacing w:line="360" w:lineRule="auto"/>
        <w:rPr>
          <w:rFonts w:asciiTheme="minorEastAsia" w:hAnsiTheme="minorEastAsia" w:eastAsiaTheme="minorEastAsia"/>
          <w:sz w:val="28"/>
          <w:szCs w:val="28"/>
        </w:rPr>
      </w:pPr>
      <w:bookmarkStart w:id="19" w:name="_Toc44438585"/>
      <w:r>
        <w:rPr>
          <w:rFonts w:hint="eastAsia" w:asciiTheme="minorEastAsia" w:hAnsiTheme="minorEastAsia" w:eastAsiaTheme="minorEastAsia"/>
          <w:sz w:val="28"/>
          <w:szCs w:val="28"/>
        </w:rPr>
        <w:t xml:space="preserve">    脉冲群干扰</w:t>
      </w:r>
      <w:bookmarkEnd w:id="19"/>
    </w:p>
    <w:p w14:paraId="1E8A59C9">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符合GB/T14598.13-1998中3.1.1规定的严酷等级为Ⅲ级的1MHz及100KHz脉群干扰试验的要求。</w:t>
      </w:r>
    </w:p>
    <w:p w14:paraId="46515E24">
      <w:pPr>
        <w:spacing w:line="360" w:lineRule="auto"/>
        <w:rPr>
          <w:rFonts w:asciiTheme="minorEastAsia" w:hAnsiTheme="minorEastAsia" w:eastAsiaTheme="minorEastAsia"/>
          <w:sz w:val="28"/>
          <w:szCs w:val="28"/>
        </w:rPr>
      </w:pPr>
      <w:bookmarkStart w:id="20" w:name="_Toc44438586"/>
      <w:r>
        <w:rPr>
          <w:rFonts w:hint="eastAsia" w:asciiTheme="minorEastAsia" w:hAnsiTheme="minorEastAsia" w:eastAsiaTheme="minorEastAsia"/>
          <w:sz w:val="28"/>
          <w:szCs w:val="28"/>
        </w:rPr>
        <w:t xml:space="preserve">    辐射电磁场干扰</w:t>
      </w:r>
      <w:bookmarkEnd w:id="20"/>
    </w:p>
    <w:p w14:paraId="24F3345A">
      <w:pPr>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符合GB/T14598.9-1995中4.1.1规定的严酷等级为Ⅲ级的辐射电磁场干扰试验的要求。</w:t>
      </w:r>
    </w:p>
    <w:p w14:paraId="675588D0">
      <w:pPr>
        <w:adjustRightInd w:val="0"/>
        <w:snapToGrid w:val="0"/>
        <w:spacing w:line="360" w:lineRule="auto"/>
        <w:textAlignment w:val="baseline"/>
        <w:outlineLvl w:val="0"/>
        <w:rPr>
          <w:rFonts w:asciiTheme="minorEastAsia" w:hAnsiTheme="minorEastAsia" w:eastAsiaTheme="minorEastAsia"/>
          <w:b/>
          <w:kern w:val="0"/>
          <w:sz w:val="28"/>
          <w:szCs w:val="28"/>
        </w:rPr>
      </w:pPr>
      <w:bookmarkStart w:id="21" w:name="_Toc17623"/>
      <w:bookmarkStart w:id="22" w:name="_Toc419518940"/>
      <w:bookmarkStart w:id="23" w:name="_Toc524231980"/>
      <w:r>
        <w:rPr>
          <w:rFonts w:asciiTheme="minorEastAsia" w:hAnsiTheme="minorEastAsia" w:eastAsiaTheme="minorEastAsia"/>
          <w:b/>
          <w:kern w:val="0"/>
          <w:sz w:val="28"/>
          <w:szCs w:val="28"/>
        </w:rPr>
        <w:t>3.</w:t>
      </w:r>
      <w:r>
        <w:rPr>
          <w:rFonts w:hint="eastAsia" w:asciiTheme="minorEastAsia" w:hAnsiTheme="minorEastAsia" w:eastAsiaTheme="minorEastAsia"/>
          <w:b/>
          <w:kern w:val="0"/>
          <w:sz w:val="28"/>
          <w:szCs w:val="28"/>
        </w:rPr>
        <w:t>双方工作安排</w:t>
      </w:r>
      <w:bookmarkEnd w:id="21"/>
    </w:p>
    <w:p w14:paraId="49D8FAE9">
      <w:pPr>
        <w:tabs>
          <w:tab w:val="left" w:pos="2259"/>
        </w:tabs>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3</w:t>
      </w:r>
      <w:r>
        <w:rPr>
          <w:rFonts w:hint="eastAsia" w:cs="宋体" w:asciiTheme="minorEastAsia" w:hAnsiTheme="minorEastAsia" w:eastAsiaTheme="minorEastAsia"/>
          <w:sz w:val="28"/>
          <w:szCs w:val="28"/>
          <w:lang w:val="zh-CN"/>
        </w:rPr>
        <w:t>.</w:t>
      </w:r>
      <w:r>
        <w:rPr>
          <w:rFonts w:hint="eastAsia" w:asciiTheme="minorEastAsia" w:hAnsiTheme="minorEastAsia" w:eastAsiaTheme="minorEastAsia"/>
          <w:sz w:val="28"/>
          <w:szCs w:val="28"/>
        </w:rPr>
        <w:t xml:space="preserve">1  </w:t>
      </w:r>
      <w:r>
        <w:rPr>
          <w:rFonts w:hint="eastAsia" w:cs="宋体" w:asciiTheme="minorEastAsia" w:hAnsiTheme="minorEastAsia" w:eastAsiaTheme="minorEastAsia"/>
          <w:sz w:val="28"/>
          <w:szCs w:val="28"/>
          <w:lang w:val="zh-CN"/>
        </w:rPr>
        <w:t>招标人应向投标人提供有特殊要求的设备技术文件。</w:t>
      </w:r>
    </w:p>
    <w:p w14:paraId="52EE0A0B">
      <w:pPr>
        <w:tabs>
          <w:tab w:val="left" w:pos="2259"/>
        </w:tabs>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3</w:t>
      </w:r>
      <w:r>
        <w:rPr>
          <w:rFonts w:hint="eastAsia" w:cs="宋体" w:asciiTheme="minorEastAsia" w:hAnsiTheme="minorEastAsia" w:eastAsiaTheme="minorEastAsia"/>
          <w:sz w:val="28"/>
          <w:szCs w:val="28"/>
          <w:lang w:val="zh-CN"/>
        </w:rPr>
        <w:t>.</w:t>
      </w:r>
      <w:r>
        <w:rPr>
          <w:rFonts w:hint="eastAsia" w:asciiTheme="minorEastAsia" w:hAnsiTheme="minorEastAsia" w:eastAsiaTheme="minorEastAsia"/>
          <w:sz w:val="28"/>
          <w:szCs w:val="28"/>
        </w:rPr>
        <w:t>2  投标人应承诺在</w:t>
      </w:r>
      <w:r>
        <w:rPr>
          <w:rFonts w:hint="eastAsia" w:cs="宋体" w:asciiTheme="minorEastAsia" w:hAnsiTheme="minorEastAsia" w:eastAsiaTheme="minorEastAsia"/>
          <w:sz w:val="28"/>
          <w:szCs w:val="28"/>
          <w:lang w:val="zh-CN"/>
        </w:rPr>
        <w:t>设备安装调试过程中</w:t>
      </w:r>
      <w:r>
        <w:rPr>
          <w:rFonts w:hint="eastAsia" w:asciiTheme="minorEastAsia" w:hAnsiTheme="minorEastAsia" w:eastAsiaTheme="minorEastAsia"/>
          <w:sz w:val="28"/>
          <w:szCs w:val="28"/>
        </w:rPr>
        <w:t>, 应</w:t>
      </w:r>
      <w:r>
        <w:rPr>
          <w:rFonts w:hint="eastAsia" w:cs="宋体" w:asciiTheme="minorEastAsia" w:hAnsiTheme="minorEastAsia" w:eastAsiaTheme="minorEastAsia"/>
          <w:sz w:val="28"/>
          <w:szCs w:val="28"/>
          <w:lang w:val="zh-CN"/>
        </w:rPr>
        <w:t>招标人的要求，提供技术服务。</w:t>
      </w:r>
    </w:p>
    <w:p w14:paraId="79F50019">
      <w:pPr>
        <w:tabs>
          <w:tab w:val="left" w:pos="2259"/>
        </w:tabs>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3</w:t>
      </w:r>
      <w:r>
        <w:rPr>
          <w:rFonts w:hint="eastAsia" w:cs="宋体" w:asciiTheme="minorEastAsia" w:hAnsiTheme="minorEastAsia" w:eastAsiaTheme="minorEastAsia"/>
          <w:sz w:val="28"/>
          <w:szCs w:val="28"/>
          <w:lang w:val="zh-CN"/>
        </w:rPr>
        <w:t>.</w:t>
      </w:r>
      <w:r>
        <w:rPr>
          <w:rFonts w:hint="eastAsia" w:asciiTheme="minorEastAsia" w:hAnsiTheme="minorEastAsia" w:eastAsiaTheme="minorEastAsia"/>
          <w:sz w:val="28"/>
          <w:szCs w:val="28"/>
        </w:rPr>
        <w:t xml:space="preserve">3  </w:t>
      </w:r>
      <w:r>
        <w:rPr>
          <w:rFonts w:hint="eastAsia" w:cs="宋体" w:asciiTheme="minorEastAsia" w:hAnsiTheme="minorEastAsia" w:eastAsiaTheme="minorEastAsia"/>
          <w:sz w:val="28"/>
          <w:szCs w:val="28"/>
          <w:lang w:val="zh-CN"/>
        </w:rPr>
        <w:t>设备制造过程中</w:t>
      </w:r>
      <w:r>
        <w:rPr>
          <w:rFonts w:hint="eastAsia" w:asciiTheme="minorEastAsia" w:hAnsiTheme="minorEastAsia" w:eastAsiaTheme="minorEastAsia"/>
          <w:sz w:val="28"/>
          <w:szCs w:val="28"/>
        </w:rPr>
        <w:t xml:space="preserve">, </w:t>
      </w:r>
      <w:r>
        <w:rPr>
          <w:rFonts w:hint="eastAsia" w:cs="宋体" w:asciiTheme="minorEastAsia" w:hAnsiTheme="minorEastAsia" w:eastAsiaTheme="minorEastAsia"/>
          <w:sz w:val="28"/>
          <w:szCs w:val="28"/>
          <w:lang w:val="zh-CN"/>
        </w:rPr>
        <w:t>招标人可派人进行监造和验收</w:t>
      </w:r>
      <w:r>
        <w:rPr>
          <w:rFonts w:hint="eastAsia" w:asciiTheme="minorEastAsia" w:hAnsiTheme="minorEastAsia" w:eastAsiaTheme="minorEastAsia"/>
          <w:sz w:val="28"/>
          <w:szCs w:val="28"/>
        </w:rPr>
        <w:t xml:space="preserve">, </w:t>
      </w:r>
      <w:r>
        <w:rPr>
          <w:rFonts w:hint="eastAsia" w:cs="宋体" w:asciiTheme="minorEastAsia" w:hAnsiTheme="minorEastAsia" w:eastAsiaTheme="minorEastAsia"/>
          <w:sz w:val="28"/>
          <w:szCs w:val="28"/>
          <w:lang w:val="zh-CN"/>
        </w:rPr>
        <w:t>投标人应积极配合。</w:t>
      </w:r>
    </w:p>
    <w:p w14:paraId="33ECC87F">
      <w:pPr>
        <w:tabs>
          <w:tab w:val="left" w:pos="2259"/>
        </w:tabs>
        <w:autoSpaceDE w:val="0"/>
        <w:autoSpaceDN w:val="0"/>
        <w:adjustRightInd w:val="0"/>
        <w:spacing w:line="360" w:lineRule="auto"/>
        <w:rPr>
          <w:rFonts w:cs="宋体" w:asciiTheme="minorEastAsia" w:hAnsiTheme="minorEastAsia" w:eastAsiaTheme="minorEastAsia"/>
          <w:sz w:val="28"/>
          <w:szCs w:val="28"/>
          <w:lang w:val="zh-CN"/>
        </w:rPr>
      </w:pPr>
      <w:r>
        <w:rPr>
          <w:rFonts w:hint="eastAsia" w:asciiTheme="minorEastAsia" w:hAnsiTheme="minorEastAsia" w:eastAsiaTheme="minorEastAsia"/>
          <w:sz w:val="28"/>
          <w:szCs w:val="28"/>
        </w:rPr>
        <w:t>3</w:t>
      </w:r>
      <w:r>
        <w:rPr>
          <w:rFonts w:hint="eastAsia" w:cs="宋体" w:asciiTheme="minorEastAsia" w:hAnsiTheme="minorEastAsia" w:eastAsiaTheme="minorEastAsia"/>
          <w:sz w:val="28"/>
          <w:szCs w:val="28"/>
          <w:lang w:val="zh-CN"/>
        </w:rPr>
        <w:t>.</w:t>
      </w:r>
      <w:r>
        <w:rPr>
          <w:rFonts w:hint="eastAsia" w:asciiTheme="minorEastAsia" w:hAnsiTheme="minorEastAsia" w:eastAsiaTheme="minorEastAsia"/>
          <w:sz w:val="28"/>
          <w:szCs w:val="28"/>
        </w:rPr>
        <w:t xml:space="preserve">4  </w:t>
      </w:r>
      <w:r>
        <w:rPr>
          <w:rFonts w:hint="eastAsia" w:cs="宋体" w:asciiTheme="minorEastAsia" w:hAnsiTheme="minorEastAsia" w:eastAsiaTheme="minorEastAsia"/>
          <w:sz w:val="28"/>
          <w:szCs w:val="28"/>
          <w:lang w:val="zh-CN"/>
        </w:rPr>
        <w:t xml:space="preserve">技术文件                                                     </w:t>
      </w:r>
    </w:p>
    <w:p w14:paraId="156B2C73">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    1）投标人在订货前向招标人提供一般性资料如：鉴定证书、典型说明书、柜布置图、系统原理图和主要技术参数。</w:t>
      </w:r>
    </w:p>
    <w:p w14:paraId="158EB860">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    2）在技术协议签定 10 天内，投标人向招标人提供下列技术文件</w:t>
      </w:r>
      <w:r>
        <w:rPr>
          <w:rFonts w:hint="eastAsia" w:cs="宋体" w:asciiTheme="minorEastAsia" w:hAnsiTheme="minorEastAsia" w:eastAsiaTheme="minorEastAsia"/>
          <w:sz w:val="28"/>
          <w:szCs w:val="28"/>
          <w:u w:val="single"/>
          <w:lang w:val="zh-CN"/>
        </w:rPr>
        <w:t xml:space="preserve"> 1  </w:t>
      </w:r>
      <w:r>
        <w:rPr>
          <w:rFonts w:hint="eastAsia" w:cs="宋体" w:asciiTheme="minorEastAsia" w:hAnsiTheme="minorEastAsia" w:eastAsiaTheme="minorEastAsia"/>
          <w:sz w:val="28"/>
          <w:szCs w:val="28"/>
          <w:lang w:val="zh-CN"/>
        </w:rPr>
        <w:t>份。</w:t>
      </w:r>
    </w:p>
    <w:p w14:paraId="19F2AC40">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装置布置图：应表示外型尺寸、设备布置及总重量、运输尺寸和重量及其它附件。</w:t>
      </w:r>
    </w:p>
    <w:p w14:paraId="396DB92A">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基础图：应注明装置的尺寸、基础螺栓的位置和尺寸等。</w:t>
      </w:r>
    </w:p>
    <w:p w14:paraId="38B74776">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电气原理图：应包括装置的原理框图、系统接线图、内部接线图，端子排等。如有多张电气原理图，还应注明各图之间有关线圈与触点的相互对应编号，必要时，应提供所有特殊装置或程序的概要操作说明。</w:t>
      </w:r>
    </w:p>
    <w:p w14:paraId="1C5528D7">
      <w:pPr>
        <w:autoSpaceDE w:val="0"/>
        <w:autoSpaceDN w:val="0"/>
        <w:adjustRightInd w:val="0"/>
        <w:spacing w:line="360" w:lineRule="auto"/>
        <w:rPr>
          <w:rFonts w:cs="宋体" w:asciiTheme="minorEastAsia" w:hAnsiTheme="minorEastAsia" w:eastAsiaTheme="minorEastAsia"/>
          <w:sz w:val="28"/>
          <w:szCs w:val="28"/>
          <w:lang w:val="zh-CN"/>
        </w:rPr>
      </w:pPr>
      <w:r>
        <w:rPr>
          <w:rFonts w:hint="eastAsia" w:cs="宋体" w:asciiTheme="minorEastAsia" w:hAnsiTheme="minorEastAsia" w:eastAsiaTheme="minorEastAsia"/>
          <w:sz w:val="28"/>
          <w:szCs w:val="28"/>
          <w:lang w:val="zh-CN"/>
        </w:rPr>
        <w:t xml:space="preserve">    3）设备供货时提供下列资料（共6套）：设备的开箱资料，除2）所述图纸（含电子版）外还应包括安装、运行、维护、修理说明书、部件清单资料、工厂试验报告、产品合格证等。</w:t>
      </w:r>
    </w:p>
    <w:p w14:paraId="041A745A">
      <w:pPr>
        <w:tabs>
          <w:tab w:val="left" w:pos="2259"/>
        </w:tabs>
        <w:autoSpaceDE w:val="0"/>
        <w:autoSpaceDN w:val="0"/>
        <w:adjustRightInd w:val="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3</w:t>
      </w:r>
      <w:r>
        <w:rPr>
          <w:rFonts w:hint="eastAsia" w:cs="宋体" w:asciiTheme="minorEastAsia" w:hAnsiTheme="minorEastAsia" w:eastAsiaTheme="minorEastAsia"/>
          <w:sz w:val="28"/>
          <w:szCs w:val="28"/>
          <w:lang w:val="zh-CN"/>
        </w:rPr>
        <w:t>.</w:t>
      </w:r>
      <w:r>
        <w:rPr>
          <w:rFonts w:hint="eastAsia" w:asciiTheme="minorEastAsia" w:hAnsiTheme="minorEastAsia" w:eastAsiaTheme="minorEastAsia"/>
          <w:sz w:val="28"/>
          <w:szCs w:val="28"/>
        </w:rPr>
        <w:t xml:space="preserve">5  </w:t>
      </w:r>
      <w:r>
        <w:rPr>
          <w:rFonts w:hint="eastAsia" w:cs="宋体" w:asciiTheme="minorEastAsia" w:hAnsiTheme="minorEastAsia" w:eastAsiaTheme="minorEastAsia"/>
          <w:sz w:val="28"/>
          <w:szCs w:val="28"/>
          <w:lang w:val="zh-CN"/>
        </w:rPr>
        <w:t>根据工程需要</w:t>
      </w:r>
      <w:r>
        <w:rPr>
          <w:rFonts w:hint="eastAsia" w:asciiTheme="minorEastAsia" w:hAnsiTheme="minorEastAsia" w:eastAsiaTheme="minorEastAsia"/>
          <w:sz w:val="28"/>
          <w:szCs w:val="28"/>
        </w:rPr>
        <w:t xml:space="preserve">, </w:t>
      </w:r>
      <w:r>
        <w:rPr>
          <w:rFonts w:hint="eastAsia" w:cs="宋体" w:asciiTheme="minorEastAsia" w:hAnsiTheme="minorEastAsia" w:eastAsiaTheme="minorEastAsia"/>
          <w:sz w:val="28"/>
          <w:szCs w:val="28"/>
          <w:lang w:val="zh-CN"/>
        </w:rPr>
        <w:t>可召开设计联络会或以其他形式解决设计制造中的问题。</w:t>
      </w:r>
    </w:p>
    <w:p w14:paraId="25B0F9E7">
      <w:pPr>
        <w:tabs>
          <w:tab w:val="left" w:pos="2259"/>
        </w:tabs>
        <w:autoSpaceDE w:val="0"/>
        <w:autoSpaceDN w:val="0"/>
        <w:adjustRightInd w:val="0"/>
        <w:spacing w:line="360" w:lineRule="auto"/>
        <w:rPr>
          <w:rFonts w:asciiTheme="minorEastAsia" w:hAnsiTheme="minorEastAsia" w:eastAsiaTheme="minorEastAsia"/>
          <w:kern w:val="0"/>
          <w:sz w:val="28"/>
          <w:szCs w:val="28"/>
        </w:rPr>
      </w:pPr>
      <w:r>
        <w:rPr>
          <w:rFonts w:hint="eastAsia" w:asciiTheme="minorEastAsia" w:hAnsiTheme="minorEastAsia" w:eastAsiaTheme="minorEastAsia"/>
          <w:sz w:val="28"/>
          <w:szCs w:val="28"/>
        </w:rPr>
        <w:t>3</w:t>
      </w:r>
      <w:r>
        <w:rPr>
          <w:rFonts w:hint="eastAsia" w:cs="宋体" w:asciiTheme="minorEastAsia" w:hAnsiTheme="minorEastAsia" w:eastAsiaTheme="minorEastAsia"/>
          <w:sz w:val="28"/>
          <w:szCs w:val="28"/>
          <w:lang w:val="zh-CN"/>
        </w:rPr>
        <w:t>.</w:t>
      </w:r>
      <w:r>
        <w:rPr>
          <w:rFonts w:hint="eastAsia" w:asciiTheme="minorEastAsia" w:hAnsiTheme="minorEastAsia" w:eastAsiaTheme="minorEastAsia"/>
          <w:sz w:val="28"/>
          <w:szCs w:val="28"/>
        </w:rPr>
        <w:t xml:space="preserve">6  </w:t>
      </w:r>
      <w:r>
        <w:rPr>
          <w:rFonts w:hint="eastAsia" w:cs="宋体" w:asciiTheme="minorEastAsia" w:hAnsiTheme="minorEastAsia" w:eastAsiaTheme="minorEastAsia"/>
          <w:sz w:val="28"/>
          <w:szCs w:val="28"/>
          <w:lang w:val="zh-CN"/>
        </w:rPr>
        <w:t>投标人提供的设备参数或配置接线有变化时</w:t>
      </w:r>
      <w:r>
        <w:rPr>
          <w:rFonts w:hint="eastAsia" w:asciiTheme="minorEastAsia" w:hAnsiTheme="minorEastAsia" w:eastAsiaTheme="minorEastAsia"/>
          <w:sz w:val="28"/>
          <w:szCs w:val="28"/>
        </w:rPr>
        <w:t xml:space="preserve">, </w:t>
      </w:r>
      <w:r>
        <w:rPr>
          <w:rFonts w:hint="eastAsia" w:cs="宋体" w:asciiTheme="minorEastAsia" w:hAnsiTheme="minorEastAsia" w:eastAsiaTheme="minorEastAsia"/>
          <w:sz w:val="28"/>
          <w:szCs w:val="28"/>
          <w:lang w:val="zh-CN"/>
        </w:rPr>
        <w:t>应及时书面通知招标人</w:t>
      </w:r>
      <w:r>
        <w:rPr>
          <w:rFonts w:hint="eastAsia" w:asciiTheme="minorEastAsia" w:hAnsiTheme="minorEastAsia" w:eastAsiaTheme="minorEastAsia"/>
          <w:sz w:val="28"/>
          <w:szCs w:val="28"/>
        </w:rPr>
        <w:t>，</w:t>
      </w:r>
      <w:r>
        <w:rPr>
          <w:rFonts w:hint="eastAsia" w:cs="宋体" w:asciiTheme="minorEastAsia" w:hAnsiTheme="minorEastAsia" w:eastAsiaTheme="minorEastAsia"/>
          <w:sz w:val="28"/>
          <w:szCs w:val="28"/>
          <w:lang w:val="zh-CN"/>
        </w:rPr>
        <w:t>否则由此引</w:t>
      </w:r>
      <w:r>
        <w:rPr>
          <w:rFonts w:hint="eastAsia" w:cs="宋体" w:asciiTheme="minorEastAsia" w:hAnsiTheme="minorEastAsia" w:eastAsiaTheme="minorEastAsia"/>
          <w:kern w:val="0"/>
          <w:sz w:val="28"/>
          <w:szCs w:val="28"/>
          <w:lang w:val="zh-CN"/>
        </w:rPr>
        <w:t>起的一切后果将由投标人承担。</w:t>
      </w:r>
    </w:p>
    <w:bookmarkEnd w:id="22"/>
    <w:bookmarkEnd w:id="23"/>
    <w:p w14:paraId="2203D704">
      <w:pPr>
        <w:spacing w:line="360" w:lineRule="auto"/>
        <w:rPr>
          <w:rFonts w:asciiTheme="minorEastAsia" w:hAnsiTheme="minorEastAsia" w:eastAsiaTheme="minorEastAsia"/>
          <w:sz w:val="28"/>
          <w:szCs w:val="28"/>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BA746">
    <w:pPr>
      <w:pStyle w:val="9"/>
      <w:jc w:val="center"/>
    </w:pPr>
  </w:p>
  <w:p w14:paraId="065D0EDD">
    <w:pPr>
      <w:pStyle w:val="26"/>
      <w:rPr>
        <w:rStyle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BA9A3">
    <w:pPr>
      <w:pStyle w:val="28"/>
      <w:rPr>
        <w:rStyle w:val="15"/>
      </w:rPr>
    </w:pPr>
    <w:r>
      <w:fldChar w:fldCharType="begin"/>
    </w:r>
    <w:r>
      <w:rPr>
        <w:rStyle w:val="15"/>
      </w:rPr>
      <w:instrText xml:space="preserve">PAGE  </w:instrText>
    </w:r>
    <w:r>
      <w:fldChar w:fldCharType="separate"/>
    </w:r>
    <w:r>
      <w:rPr>
        <w:rStyle w:val="15"/>
      </w:rPr>
      <w:t>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607406"/>
      <w:docPartObj>
        <w:docPartGallery w:val="autotext"/>
      </w:docPartObj>
    </w:sdtPr>
    <w:sdtContent>
      <w:p w14:paraId="0DA010ED">
        <w:pPr>
          <w:pStyle w:val="9"/>
          <w:jc w:val="center"/>
        </w:pPr>
        <w:r>
          <w:fldChar w:fldCharType="begin"/>
        </w:r>
        <w:r>
          <w:instrText xml:space="preserve"> PAGE   \* MERGEFORMAT </w:instrText>
        </w:r>
        <w:r>
          <w:fldChar w:fldCharType="separate"/>
        </w:r>
        <w:r>
          <w:rPr>
            <w:lang w:val="zh-CN"/>
          </w:rPr>
          <w:t>10</w:t>
        </w:r>
        <w:r>
          <w:rPr>
            <w:lang w:val="zh-CN"/>
          </w:rPr>
          <w:fldChar w:fldCharType="end"/>
        </w:r>
      </w:p>
    </w:sdtContent>
  </w:sdt>
  <w:p w14:paraId="0B0D59F7">
    <w:pPr>
      <w:pStyle w:val="26"/>
      <w:rPr>
        <w:rStyle w:val="15"/>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8E041">
    <w:pPr>
      <w:pStyle w:val="25"/>
      <w:ind w:right="10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BCD35">
    <w:pPr>
      <w:pStyle w:val="10"/>
      <w:framePr w:wrap="around" w:vAnchor="text" w:hAnchor="margin" w:xAlign="right" w:y="1"/>
      <w:rPr>
        <w:rStyle w:val="15"/>
      </w:rPr>
    </w:pPr>
    <w:r>
      <w:fldChar w:fldCharType="begin"/>
    </w:r>
    <w:r>
      <w:rPr>
        <w:rStyle w:val="15"/>
      </w:rPr>
      <w:instrText xml:space="preserve">PAGE  </w:instrText>
    </w:r>
    <w:r>
      <w:fldChar w:fldCharType="end"/>
    </w:r>
  </w:p>
  <w:p w14:paraId="1A2CC7A4">
    <w:pPr>
      <w:pStyle w:val="24"/>
      <w:ind w:right="360"/>
    </w:pPr>
    <w:r>
      <w:t>11111/T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1B3A">
    <w:pPr>
      <w:pStyle w:val="27"/>
    </w:pPr>
    <w:r>
      <w:rPr>
        <w:rFonts w:hint="eastAsia"/>
      </w:rPr>
      <w:t>中国南方电网有限责任公司 交流不间断电源系统（UPS）标准技术标书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8D1"/>
    <w:rsid w:val="00041AE1"/>
    <w:rsid w:val="00060296"/>
    <w:rsid w:val="000A19AD"/>
    <w:rsid w:val="00101E15"/>
    <w:rsid w:val="00114EB6"/>
    <w:rsid w:val="00150F23"/>
    <w:rsid w:val="001D1260"/>
    <w:rsid w:val="00215F47"/>
    <w:rsid w:val="0024227B"/>
    <w:rsid w:val="00272798"/>
    <w:rsid w:val="002A58DC"/>
    <w:rsid w:val="002C1716"/>
    <w:rsid w:val="002C42A8"/>
    <w:rsid w:val="003202A1"/>
    <w:rsid w:val="00327090"/>
    <w:rsid w:val="00331D4E"/>
    <w:rsid w:val="00380295"/>
    <w:rsid w:val="003C0E6A"/>
    <w:rsid w:val="00407CB5"/>
    <w:rsid w:val="004D35EA"/>
    <w:rsid w:val="004D6CEE"/>
    <w:rsid w:val="004E1B79"/>
    <w:rsid w:val="00521602"/>
    <w:rsid w:val="00543705"/>
    <w:rsid w:val="00546562"/>
    <w:rsid w:val="0054730E"/>
    <w:rsid w:val="0055153C"/>
    <w:rsid w:val="005B58D1"/>
    <w:rsid w:val="005C1C72"/>
    <w:rsid w:val="005C6EBC"/>
    <w:rsid w:val="005D382A"/>
    <w:rsid w:val="005E3A1A"/>
    <w:rsid w:val="00605856"/>
    <w:rsid w:val="00643CD2"/>
    <w:rsid w:val="00653125"/>
    <w:rsid w:val="00664734"/>
    <w:rsid w:val="00683A24"/>
    <w:rsid w:val="006C3621"/>
    <w:rsid w:val="006D4F40"/>
    <w:rsid w:val="006F55A3"/>
    <w:rsid w:val="00714C8A"/>
    <w:rsid w:val="007608F3"/>
    <w:rsid w:val="00793CE4"/>
    <w:rsid w:val="0086624C"/>
    <w:rsid w:val="00880A29"/>
    <w:rsid w:val="00884891"/>
    <w:rsid w:val="0088632D"/>
    <w:rsid w:val="00894135"/>
    <w:rsid w:val="008A6307"/>
    <w:rsid w:val="008C502B"/>
    <w:rsid w:val="00954EE8"/>
    <w:rsid w:val="00963B3B"/>
    <w:rsid w:val="009E4AED"/>
    <w:rsid w:val="00A12672"/>
    <w:rsid w:val="00A16590"/>
    <w:rsid w:val="00A90679"/>
    <w:rsid w:val="00AA4B1B"/>
    <w:rsid w:val="00AB3DFD"/>
    <w:rsid w:val="00B03E6B"/>
    <w:rsid w:val="00BC7381"/>
    <w:rsid w:val="00BD4AF8"/>
    <w:rsid w:val="00BE5EDA"/>
    <w:rsid w:val="00BE76C1"/>
    <w:rsid w:val="00BF5E6B"/>
    <w:rsid w:val="00C12EE3"/>
    <w:rsid w:val="00C81FA8"/>
    <w:rsid w:val="00D033D2"/>
    <w:rsid w:val="00D17A47"/>
    <w:rsid w:val="00D63C64"/>
    <w:rsid w:val="00DD0686"/>
    <w:rsid w:val="00DD5FCA"/>
    <w:rsid w:val="00E125B6"/>
    <w:rsid w:val="00E16897"/>
    <w:rsid w:val="00E60E8F"/>
    <w:rsid w:val="00EA0D6C"/>
    <w:rsid w:val="00EE1028"/>
    <w:rsid w:val="00F042E9"/>
    <w:rsid w:val="00F30AD1"/>
    <w:rsid w:val="00F41DE8"/>
    <w:rsid w:val="00F759F6"/>
    <w:rsid w:val="00F974D1"/>
    <w:rsid w:val="00FC23CF"/>
    <w:rsid w:val="00FF6616"/>
    <w:rsid w:val="14AF0462"/>
    <w:rsid w:val="3D782814"/>
    <w:rsid w:val="4F787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2"/>
    <w:basedOn w:val="1"/>
    <w:next w:val="3"/>
    <w:link w:val="17"/>
    <w:semiHidden/>
    <w:unhideWhenUsed/>
    <w:qFormat/>
    <w:uiPriority w:val="0"/>
    <w:pPr>
      <w:keepNext/>
      <w:keepLines/>
      <w:spacing w:before="260" w:after="260" w:line="415" w:lineRule="auto"/>
      <w:outlineLvl w:val="1"/>
    </w:pPr>
    <w:rPr>
      <w:rFonts w:ascii="Arial" w:hAnsi="Arial" w:eastAsia="黑体"/>
      <w:sz w:val="32"/>
    </w:rPr>
  </w:style>
  <w:style w:type="paragraph" w:styleId="4">
    <w:name w:val="heading 3"/>
    <w:basedOn w:val="1"/>
    <w:next w:val="1"/>
    <w:link w:val="18"/>
    <w:unhideWhenUsed/>
    <w:qFormat/>
    <w:uiPriority w:val="0"/>
    <w:pPr>
      <w:adjustRightInd w:val="0"/>
      <w:spacing w:line="460" w:lineRule="exact"/>
      <w:jc w:val="left"/>
      <w:outlineLvl w:val="2"/>
    </w:pPr>
    <w:rPr>
      <w:kern w:val="0"/>
      <w:sz w:val="24"/>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semiHidden/>
    <w:unhideWhenUsed/>
    <w:qFormat/>
    <w:uiPriority w:val="99"/>
    <w:pPr>
      <w:ind w:firstLine="420" w:firstLineChars="200"/>
    </w:pPr>
  </w:style>
  <w:style w:type="paragraph" w:styleId="5">
    <w:name w:val="Document Map"/>
    <w:basedOn w:val="1"/>
    <w:link w:val="20"/>
    <w:semiHidden/>
    <w:unhideWhenUsed/>
    <w:qFormat/>
    <w:uiPriority w:val="99"/>
    <w:rPr>
      <w:rFonts w:ascii="宋体"/>
      <w:sz w:val="18"/>
      <w:szCs w:val="18"/>
    </w:rPr>
  </w:style>
  <w:style w:type="paragraph" w:styleId="6">
    <w:name w:val="Body Text"/>
    <w:basedOn w:val="1"/>
    <w:link w:val="19"/>
    <w:semiHidden/>
    <w:unhideWhenUsed/>
    <w:qFormat/>
    <w:uiPriority w:val="0"/>
    <w:pPr>
      <w:spacing w:line="460" w:lineRule="exact"/>
    </w:pPr>
    <w:rPr>
      <w:sz w:val="24"/>
    </w:rPr>
  </w:style>
  <w:style w:type="paragraph" w:styleId="7">
    <w:name w:val="toc 3"/>
    <w:basedOn w:val="1"/>
    <w:next w:val="1"/>
    <w:autoRedefine/>
    <w:unhideWhenUsed/>
    <w:qFormat/>
    <w:uiPriority w:val="39"/>
    <w:pPr>
      <w:ind w:left="840" w:leftChars="400"/>
    </w:pPr>
  </w:style>
  <w:style w:type="paragraph" w:styleId="8">
    <w:name w:val="Balloon Text"/>
    <w:basedOn w:val="1"/>
    <w:link w:val="31"/>
    <w:semiHidden/>
    <w:unhideWhenUsed/>
    <w:qFormat/>
    <w:uiPriority w:val="99"/>
    <w:rPr>
      <w:sz w:val="18"/>
      <w:szCs w:val="18"/>
    </w:rPr>
  </w:style>
  <w:style w:type="paragraph" w:styleId="9">
    <w:name w:val="footer"/>
    <w:basedOn w:val="1"/>
    <w:link w:val="30"/>
    <w:unhideWhenUsed/>
    <w:qFormat/>
    <w:uiPriority w:val="99"/>
    <w:pPr>
      <w:tabs>
        <w:tab w:val="center" w:pos="4153"/>
        <w:tab w:val="right" w:pos="8306"/>
      </w:tabs>
      <w:snapToGrid w:val="0"/>
      <w:jc w:val="left"/>
    </w:pPr>
    <w:rPr>
      <w:sz w:val="18"/>
      <w:szCs w:val="18"/>
    </w:rPr>
  </w:style>
  <w:style w:type="paragraph" w:styleId="10">
    <w:name w:val="header"/>
    <w:basedOn w:val="1"/>
    <w:link w:val="21"/>
    <w:qFormat/>
    <w:uiPriority w:val="99"/>
    <w:pPr>
      <w:pBdr>
        <w:bottom w:val="single" w:color="auto" w:sz="6" w:space="1"/>
      </w:pBdr>
      <w:tabs>
        <w:tab w:val="center" w:pos="4153"/>
        <w:tab w:val="right" w:pos="8306"/>
      </w:tabs>
      <w:adjustRightInd w:val="0"/>
      <w:snapToGrid w:val="0"/>
      <w:spacing w:line="240" w:lineRule="atLeast"/>
      <w:jc w:val="center"/>
      <w:textAlignment w:val="baseline"/>
    </w:pPr>
    <w:rPr>
      <w:rFonts w:asciiTheme="minorHAnsi" w:hAnsiTheme="minorHAnsi" w:eastAsiaTheme="minorEastAsia" w:cstheme="minorBidi"/>
      <w:sz w:val="18"/>
      <w:szCs w:val="22"/>
    </w:rPr>
  </w:style>
  <w:style w:type="paragraph" w:styleId="11">
    <w:name w:val="toc 1"/>
    <w:basedOn w:val="1"/>
    <w:next w:val="1"/>
    <w:autoRedefine/>
    <w:unhideWhenUsed/>
    <w:qFormat/>
    <w:uiPriority w:val="39"/>
    <w:pPr>
      <w:tabs>
        <w:tab w:val="right" w:leader="dot" w:pos="9298"/>
      </w:tabs>
      <w:adjustRightInd w:val="0"/>
      <w:spacing w:line="312" w:lineRule="atLeast"/>
    </w:pPr>
    <w:rPr>
      <w:rFonts w:ascii="宋体"/>
      <w:kern w:val="0"/>
      <w:sz w:val="34"/>
    </w:rPr>
  </w:style>
  <w:style w:type="paragraph" w:styleId="12">
    <w:name w:val="toc 2"/>
    <w:basedOn w:val="1"/>
    <w:next w:val="1"/>
    <w:autoRedefine/>
    <w:semiHidden/>
    <w:unhideWhenUsed/>
    <w:qFormat/>
    <w:uiPriority w:val="0"/>
    <w:pPr>
      <w:tabs>
        <w:tab w:val="right" w:leader="dot" w:pos="9298"/>
      </w:tabs>
      <w:adjustRightInd w:val="0"/>
      <w:spacing w:line="312" w:lineRule="atLeast"/>
      <w:ind w:left="420"/>
    </w:pPr>
    <w:rPr>
      <w:rFonts w:ascii="宋体"/>
      <w:kern w:val="0"/>
      <w:sz w:val="34"/>
    </w:rPr>
  </w:style>
  <w:style w:type="character" w:styleId="15">
    <w:name w:val="page number"/>
    <w:basedOn w:val="14"/>
    <w:qFormat/>
    <w:uiPriority w:val="0"/>
  </w:style>
  <w:style w:type="character" w:styleId="16">
    <w:name w:val="Hyperlink"/>
    <w:qFormat/>
    <w:uiPriority w:val="99"/>
    <w:rPr>
      <w:rFonts w:hint="default" w:ascii="Arial" w:hAnsi="Arial" w:cs="Arial"/>
      <w:color w:val="0000AA"/>
      <w:u w:val="single"/>
    </w:rPr>
  </w:style>
  <w:style w:type="character" w:customStyle="1" w:styleId="17">
    <w:name w:val="标题 2 字符"/>
    <w:basedOn w:val="14"/>
    <w:link w:val="2"/>
    <w:semiHidden/>
    <w:qFormat/>
    <w:uiPriority w:val="0"/>
    <w:rPr>
      <w:rFonts w:ascii="Arial" w:hAnsi="Arial" w:eastAsia="黑体" w:cs="Times New Roman"/>
      <w:sz w:val="32"/>
      <w:szCs w:val="20"/>
    </w:rPr>
  </w:style>
  <w:style w:type="character" w:customStyle="1" w:styleId="18">
    <w:name w:val="标题 3 字符"/>
    <w:basedOn w:val="14"/>
    <w:link w:val="4"/>
    <w:qFormat/>
    <w:uiPriority w:val="0"/>
    <w:rPr>
      <w:rFonts w:ascii="Times New Roman" w:hAnsi="Times New Roman" w:eastAsia="宋体" w:cs="Times New Roman"/>
      <w:kern w:val="0"/>
      <w:sz w:val="24"/>
      <w:szCs w:val="20"/>
    </w:rPr>
  </w:style>
  <w:style w:type="character" w:customStyle="1" w:styleId="19">
    <w:name w:val="正文文本 字符"/>
    <w:basedOn w:val="14"/>
    <w:link w:val="6"/>
    <w:semiHidden/>
    <w:qFormat/>
    <w:uiPriority w:val="0"/>
    <w:rPr>
      <w:rFonts w:ascii="Times New Roman" w:hAnsi="Times New Roman" w:eastAsia="宋体" w:cs="Times New Roman"/>
      <w:sz w:val="24"/>
      <w:szCs w:val="20"/>
    </w:rPr>
  </w:style>
  <w:style w:type="character" w:customStyle="1" w:styleId="20">
    <w:name w:val="文档结构图 字符"/>
    <w:basedOn w:val="14"/>
    <w:link w:val="5"/>
    <w:semiHidden/>
    <w:qFormat/>
    <w:uiPriority w:val="99"/>
    <w:rPr>
      <w:rFonts w:ascii="宋体" w:hAnsi="Times New Roman" w:eastAsia="宋体" w:cs="Times New Roman"/>
      <w:sz w:val="18"/>
      <w:szCs w:val="18"/>
    </w:rPr>
  </w:style>
  <w:style w:type="character" w:customStyle="1" w:styleId="21">
    <w:name w:val="页眉 字符"/>
    <w:link w:val="10"/>
    <w:qFormat/>
    <w:uiPriority w:val="99"/>
    <w:rPr>
      <w:sz w:val="18"/>
    </w:rPr>
  </w:style>
  <w:style w:type="paragraph" w:customStyle="1" w:styleId="22">
    <w:name w:val="封面正文"/>
    <w:qFormat/>
    <w:uiPriority w:val="0"/>
    <w:pPr>
      <w:jc w:val="both"/>
    </w:pPr>
    <w:rPr>
      <w:rFonts w:ascii="Times New Roman" w:hAnsi="Times New Roman" w:eastAsia="宋体" w:cs="Times New Roman"/>
      <w:kern w:val="0"/>
      <w:sz w:val="20"/>
      <w:szCs w:val="20"/>
      <w:lang w:val="en-US" w:eastAsia="zh-CN" w:bidi="ar-SA"/>
    </w:rPr>
  </w:style>
  <w:style w:type="character" w:customStyle="1" w:styleId="23">
    <w:name w:val="页眉 Char1"/>
    <w:basedOn w:val="14"/>
    <w:semiHidden/>
    <w:qFormat/>
    <w:uiPriority w:val="99"/>
    <w:rPr>
      <w:rFonts w:ascii="Times New Roman" w:hAnsi="Times New Roman" w:eastAsia="宋体" w:cs="Times New Roman"/>
      <w:sz w:val="18"/>
      <w:szCs w:val="18"/>
    </w:rPr>
  </w:style>
  <w:style w:type="paragraph" w:customStyle="1" w:styleId="24">
    <w:name w:val="标准书眉_偶数页"/>
    <w:basedOn w:val="25"/>
    <w:next w:val="1"/>
    <w:qFormat/>
    <w:uiPriority w:val="0"/>
    <w:pPr>
      <w:tabs>
        <w:tab w:val="center" w:pos="4154"/>
        <w:tab w:val="right" w:pos="8306"/>
      </w:tabs>
      <w:jc w:val="left"/>
    </w:pPr>
  </w:style>
  <w:style w:type="paragraph" w:customStyle="1" w:styleId="25">
    <w:name w:val="标准书眉_奇数页"/>
    <w:next w:val="1"/>
    <w:qFormat/>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26">
    <w:name w:val="标准书脚_奇数页"/>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27">
    <w:name w:val="标准书眉一"/>
    <w:qFormat/>
    <w:uiPriority w:val="0"/>
    <w:pPr>
      <w:jc w:val="both"/>
    </w:pPr>
    <w:rPr>
      <w:rFonts w:ascii="Times New Roman" w:hAnsi="Times New Roman" w:eastAsia="宋体" w:cs="Times New Roman"/>
      <w:kern w:val="0"/>
      <w:sz w:val="20"/>
      <w:szCs w:val="20"/>
      <w:lang w:val="en-US" w:eastAsia="zh-CN" w:bidi="ar-SA"/>
    </w:rPr>
  </w:style>
  <w:style w:type="paragraph" w:customStyle="1" w:styleId="28">
    <w:name w:val="标准书脚_偶数页"/>
    <w:qFormat/>
    <w:uiPriority w:val="0"/>
    <w:pPr>
      <w:spacing w:before="120"/>
    </w:pPr>
    <w:rPr>
      <w:rFonts w:ascii="Times New Roman" w:hAnsi="Times New Roman" w:eastAsia="宋体" w:cs="Times New Roman"/>
      <w:kern w:val="0"/>
      <w:sz w:val="18"/>
      <w:szCs w:val="20"/>
      <w:lang w:val="en-US" w:eastAsia="zh-CN" w:bidi="ar-SA"/>
    </w:rPr>
  </w:style>
  <w:style w:type="paragraph" w:customStyle="1" w:styleId="2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kern w:val="0"/>
      <w:sz w:val="28"/>
      <w:szCs w:val="20"/>
      <w:lang w:val="en-US" w:eastAsia="zh-CN" w:bidi="ar-SA"/>
    </w:rPr>
  </w:style>
  <w:style w:type="character" w:customStyle="1" w:styleId="30">
    <w:name w:val="页脚 字符"/>
    <w:basedOn w:val="14"/>
    <w:link w:val="9"/>
    <w:qFormat/>
    <w:uiPriority w:val="99"/>
    <w:rPr>
      <w:rFonts w:ascii="Times New Roman" w:hAnsi="Times New Roman" w:eastAsia="宋体" w:cs="Times New Roman"/>
      <w:sz w:val="18"/>
      <w:szCs w:val="18"/>
    </w:rPr>
  </w:style>
  <w:style w:type="character" w:customStyle="1" w:styleId="31">
    <w:name w:val="批注框文本 字符"/>
    <w:basedOn w:val="14"/>
    <w:link w:val="8"/>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81436-FA22-4057-886C-40DF8954898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1561</Words>
  <Characters>2117</Characters>
  <Lines>48</Lines>
  <Paragraphs>13</Paragraphs>
  <TotalTime>5</TotalTime>
  <ScaleCrop>false</ScaleCrop>
  <LinksUpToDate>false</LinksUpToDate>
  <CharactersWithSpaces>2228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2017-10-16T02:44:00Z</dcterms:created>
  <dc:creator>004348</dc:creator>
  <cp:lastModifiedBy>LMJ</cp:lastModifiedBy>
  <cp:lastPrinted>2020-08-13T03:49:00Z</cp:lastPrinted>
  <dcterms:modified xsi:type="dcterms:W3CDTF">2025-12-02T00:07:30Z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DE35A7F6F2814088A0629D1B77F7C20D_13</vt:lpwstr>
  </property>
  <property fmtid="{D5CDD505-2E9C-101B-9397-08002B2CF9AE}" pid="4" name="KSOTemplateDocerSaveRecord">
    <vt:lpwstr>eyJoZGlkIjoiMTU5YTA3NGJjYzFlMzRjMzEwNzI0ZGEwODEzMThiMmUiLCJ1c2VySWQiOiI1NDk0MDgwNjkifQ==</vt:lpwstr>
  </property>
</Properties>
</file>