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Theme="minorEastAsia" w:hAnsiTheme="minorEastAsia" w:eastAsiaTheme="minorEastAsia" w:cstheme="minorEastAsia"/>
          <w:sz w:val="24"/>
          <w:szCs w:val="32"/>
        </w:rPr>
      </w:pPr>
      <w:bookmarkStart w:id="0" w:name="_GoBack"/>
      <w:r>
        <w:rPr>
          <w:rFonts w:hint="eastAsia" w:asciiTheme="minorEastAsia" w:hAnsiTheme="minorEastAsia" w:eastAsiaTheme="minorEastAsia" w:cstheme="minorEastAsia"/>
          <w:sz w:val="24"/>
          <w:szCs w:val="32"/>
        </w:rPr>
        <w:t>第三条 公司基建质量管理贯彻“百年大计，质量第一”方针，严格遵守国家工程质量相关法律法规，以规范达标、绿色可靠、文档齐全、零缺陷为质量管理总体目标，健全基建质量管理体系和质量责任制度，实行工程建设监理制和质量终身责任制。</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第四条 建设单位应当将工程发包给具有相应资质等级的单位、不得任意压缩合理工期、不得明示或者暗示施工单位使用不合格的建筑材料、建筑构配件和设备。</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第五条 公司基建工程依法接受工程质量监督机构监督。开工前建设单位向工程所在地区电力建设工程质量监督机构申办工程质量监督注册手续；及时提交各阶段质量监督检查申请，取得转序通知书后方可转序施工。未通过电力质监机构监督检查的电力建设工程，不得投入运行。小型基建项目质量监督按地方建设行政主管部门的有关规定开展。</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第二节 合规管理</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第六条 公司基建工程开工前应取得国家及所在地行政主管部门要求的建设施工相关合法合规支持性文件。</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第七条 公司基建工程环境保护、水土保持、安全、消防设施应严格执行“三同时”制度，与主体工程同时设计、同时施工、同时投产。</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第八条 公司基建工程严格执行工程建设强制性标准，不得明示或者暗示设计单位或者施工单位违反工程建设强制性标准，降低建设工程质量。不符合强制性标准规定的，严禁通过验收。</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第九条 公司基建工程投产后应及时办理土地、房屋、建筑物等资产产权证明。</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第三节 验收管理</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第十条 验收程序</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验收工作包括过程验收、启动（交接）验收以及竣工验收三个阶段，验收总体流程见附录D。工程开工前，施工单位编制工程施工质量验收范围划分表，报监理审核、业主项目部审批。各类验收中发现的缺陷和问题需经整改闭环并经验收方认可方可开展后续工作。</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一、工序作业前后，开展原材料和设备的进场验收、隐蔽工程验收和设备交接试验验收等。</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二、检验批（单元工程）、分项、分部、单位工程完工后，施工开展三级自检。具备监理初检条件后，完成监理初检、阶段（中间）验收。</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三、工程完工并完成所有阶段（中间）验收后，开展启动验收。</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四、按国家和地方建设行政主管部门要求开展各项专项验收。</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五、完成各项专项验收后，开展竣工验收。</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第十一条 过程验收</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一、工程材料/构配件/设备验收</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一）施工单位采购的工程材料/构配件/设备：施工项目部应在采购前将生产厂家的资质证明文件报监理项目部审查通过后方可采购；施工项目部应将有关质量证明文件、自检记录报监理项目部审查，合格方可进场；进场后，经见证取样送检，检验合格后报监理项目部审查，合格方可使用。建设单位采购的工程材料/构配件/设备，业主项目部组织监理项目部、施工项目部、物资供应、生产厂家等单位相关人员进行开箱检查，合格方可用于工程。</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（二）见证取样、送检和质量检测应当严格执行有关建设标准和国家有关规定，检测报告必须加盖见证检验章、检测报告专用章和计量认证章。</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二、隐蔽工程验收</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隐蔽工程在隐蔽前由监理项目部组织验收并形成验收文件，验收合格后方可继续施工。</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三、三级自检、监理初检和中间验收</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检验批（单元工程）、分项、分部、单位工程完工后，均应开展施工三级自检。具备监理初检条件后，完成监理初检、中间验收。</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（一）施工三级自检</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1.班组自检应在检验批（单元工程）完成后，由施工班组独立完成。</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2.班组自检合格后，由施工项目部完成项目部复检工作。项目部复检不得与班组自检合并组织。</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3.施工单位专检由施工单位工程质量管理部门根据工程进度分阶段开展。</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（二）监理初检</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施工单位完成三级自检后由监理项目部组织监理初检。</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（三）阶段（中间）验收</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监理初检完成后，业主项目部组织工程阶段（中间）验收。阶段（中间）验收的阶段划分应不少于工程质量监督检查大纲规定的监督检查阶段。</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第十二条 启动（交接）验收</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启动（交接）验收按公司工程交接验收相关规定执行。</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第十三条 竣工验收</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公司基建工程通过竣工验收方可关闭。竣工验收应在完成各项专项验收的基础上由项目法人或授权建设单位组织进行，如政府主管部门有要求的按其要求执行：</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一、跨区联网工程：由公司或授权项目法人组织竣工验收；</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二、电网工程：由项目法人或授权建设单位组织竣工验收；</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三、中央预算投资项目和其他专项建设资金项目：由国家发改委（或地方能源主管部门）组织竣工验收；</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四、抽水蓄能工程：由地方政府能源主管部门组织竣工验收；</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五、小型基建工程：由地方主管部门组织竣工验收。</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第四节 缺陷管理</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第十四条 公司制定工程验收、缺陷管理统一标准，以工艺质量优良、设备安全可靠、试验项目齐全、过程文档完整为目标，构建标准化、体系化长效机制推进“零缺陷”移交，促进公司资产全生命周期管理提升。</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第十五条 质量缺陷处理流程包括缺陷发现、确认和定级、消缺和复检等环节。检查或验收过程中发现的质量缺陷，根据公司设备缺陷定级标准和缺陷标准库进行分析比对，正确判定缺陷等级，在规定时限内组织责任单位消缺。缺陷消除后，应按照设备制造、施工安装等相应的验收标准进行复检，实现闭环管理。</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第十六条 重大及以上设备缺陷未处理完毕的不得投产；暂不具备整改条件且不影响送电及运行的一般缺陷，需经启委会同意后方可投运，投运后由项目管理机构协调相关责任单位限时进行消除，并由设备运维部门复检、签证合格后，方可移交生产运行。</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第五节 投产和移交管理</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第十七条 启委会成立</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分子公司负责组织成立220kV及以上电网、电源工程项目启委会，建设单位负责组织成立110kV及以下电网工程项目启委会。各电压等级基建工程启委会成立时间要求：</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（1）高压直流与特高压工程于投产前5个月；</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（2）500千伏电网新建工程于投产前3个月；</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（3）500千伏电网扩建工程、220千伏电网新建工程于投产前2个月；</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（4）220千伏电网扩建及110千伏、35千伏电网工程于投产前1个月。</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第十八条 启动准备</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一、资料报送。业主项目部应按调度机构要求，于计划投产前规定的时间内报送相关资料，及时联系调度机构下达调度命名、定值。</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二、启动方案报批。业主项目部负责组织编写启动方案，提交建设单位组织调度、生产运行部门完成审核并报送启委会批准。</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第十九条 启动投产</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一、启委会确认工程具备启动带电条件后，业主项目部组织新设备运行维护单位向调度机构提交新设备启动并网申请，调度机构结合系统条件批复启动并网申请，安排新设备启动并网。</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二、工程启动完成后经启委会及调度机构同意，进入试运行。</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三、工程启动及试运行阶段，对于带电设备应按照正式在运设备同等对待，严格执行生产运行有关制度。</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四、工程试运行完成后，启委会确认工程已具备正式投入运行条件，组织办理《工程启动验收委员会鉴定书》（附录E）。</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第二十条 电子化移交</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业主项目部按公司资产全生命周期管理有关规定组织完工资产电子化移交，保障增量资产及设备帐卡物一致。</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第六节 档案管理</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第二十一条 基建工程档案管理工作涵盖项目立项至竣工的全过程，按照“谁主办、谁形成、谁归档”的原则，项目文件的形成、收集、整理、组卷必须与工程建设同步进行。</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第二十二条 档案交底、中间检查、归档审查与移交</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一、工程开工前，建设单位档案管理部门负责或授权经培训合格的业主项目部人员，对档案收集、整理、组卷、完成时限及移交等要求向相关职能部门和参建单位进行交底。</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二、业主项目部负责组织各参建单位开展35kV及以上主网项目档案中间检查，检查次数不得少于2次，分别在变电站土建交安（线路基础完成、电缆管沟施工完成）和建设完成后运行进场前。</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三、业主项目部在第二次中间检查整改完成后、项目投产1个月内组织生产运行部门、档案管理部门等有关职能部门和各参建单位开展项目档案归档审查。</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四、业主项目部在工程启动投产后3个月内将审查合格的项目竣工档案移交建设单位档案管理部门归档。</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第二十三条 在大中城市规划区范围内的重要建设项目，建设单位应在项目竣工后6个月内，按照项目所在地城建档案馆的要求，组织各参建单位向其报送与城市规划、建设及其管理有关的项目档案。</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第七节 达标投产和优质工程管理</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第二十四条 达标投产管理</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达标投产验收分为初验和复验两个阶段，初验在工程投产前由建设单位组织进行，复验和命名在工程移交生产考核期后12个月内由分子公司组织进行。达标投产验收标准执行电力行业达标投产有关规程。</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第二十五条 优质工程管理</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一、公司每年评选一次“中国南方电网优质工程奖”，并统筹推荐申报电力行业和国家级优质工程奖。</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二、公司制定优质工程评选标准，按照公平公开、统一标准原则，组建专家组开展过程与结果现场复核。</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三、公司设立电源和110kV及以上工程创优项目库，明确创优目标和计划申报时间。入库项目应编制涵盖项目建设全过程的创优策划方案并严格实施。</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四、公司定期总结固化优质工程和QC成果，以工法、标准工艺和培训教材为载体，实现成果高质量复制推广。</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第三章 罚则</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第二十六条 建设单位在工程合同中明确对质量问题、缺陷及未遂事故（事件）的考核要求，依据合同有关条款和公司基建承包商管理有关规定对参建承包商进行考核。</w:t>
      </w:r>
    </w:p>
    <w:p>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第二十七条 由于工程质量缺陷原因造成公司系统事故事件的，公司各级基建管理部门应当开展责任追溯。质量责任追溯工作可采用行政问责、经济处罚、责任约谈及承包商扣分、暂停投标资格等方式追究相关单位和人员的责任。涉嫌重大责任事故罪、工程重大安全事故罪、重大劳动安全事故罪等犯罪的，依法移交司法机关追究其刑事责任。</w:t>
      </w: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794682"/>
    <w:rsid w:val="29F00F29"/>
    <w:rsid w:val="541839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2025-12-05T09:12:00Z</dcterms:created>
  <dc:creator>gzry8</dc:creator>
  <cp:lastModifiedBy>gzry8</cp:lastModifiedBy>
  <dcterms:modified xsi:type="dcterms:W3CDTF">2025-12-05T09:17:45Z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4924371DDD5A448BAAF91DEF78F09D01</vt:lpwstr>
  </property>
</Properties>
</file>