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Theme="minorEastAsia"/>
          <w:snapToGrid w:val="0"/>
          <w:color w:val="000000"/>
          <w:w w:val="0"/>
          <w:kern w:val="0"/>
          <w:u w:color="000000"/>
          <w:lang w:val="zh-CN" w:bidi="zh-CN"/>
        </w:rPr>
      </w:pPr>
      <w:r>
        <w:rPr>
          <w:rFonts w:hint="eastAsia" w:ascii="宋体" w:hAnsi="宋体" w:cs="宋体"/>
          <w:snapToGrid w:val="0"/>
          <w:color w:val="000000"/>
          <w:w w:val="0"/>
          <w:kern w:val="0"/>
          <w:u w:color="000000"/>
          <w:lang w:val="zh-CN" w:bidi="zh-CN"/>
        </w:rPr>
        <w:t>项目类别：</w:t>
      </w:r>
      <w:r>
        <w:rPr>
          <w:rFonts w:hint="eastAsia" w:ascii="宋体" w:hAnsi="宋体" w:eastAsia="宋体" w:cs="宋体"/>
          <w:snapToGrid w:val="0"/>
          <w:color w:val="FF0000"/>
          <w:w w:val="0"/>
          <w:kern w:val="0"/>
          <w:u w:color="000000"/>
          <w:lang w:val="zh-CN" w:bidi="zh-CN"/>
        </w:rPr>
        <w:t>基于钠盐电池在电力配电网后备电源中的应用技术研究</w:t>
      </w:r>
      <w:r>
        <w:rPr>
          <w:rFonts w:ascii="Times New Roman" w:hAnsi="Times New Roman" w:eastAsiaTheme="minorEastAsia"/>
          <w:snapToGrid w:val="0"/>
          <w:color w:val="000000"/>
          <w:w w:val="0"/>
          <w:kern w:val="0"/>
          <w:u w:color="000000"/>
          <w:lang w:val="zh-CN" w:bidi="zh-CN"/>
        </w:rPr>
        <w:t xml:space="preserve">  </w:t>
      </w:r>
    </w:p>
    <w:p>
      <w:pPr>
        <w:rPr>
          <w:rFonts w:ascii="Times New Roman" w:hAnsi="Times New Roman" w:eastAsia="Times New Roman"/>
          <w:snapToGrid w:val="0"/>
          <w:color w:val="000000"/>
          <w:w w:val="0"/>
          <w:kern w:val="0"/>
          <w:u w:color="000000"/>
          <w:lang w:val="zh-CN" w:eastAsia="zh-CN" w:bidi="zh-CN"/>
        </w:rPr>
      </w:pPr>
      <w:r>
        <w:rPr>
          <w:rFonts w:hint="eastAsia" w:ascii="宋体" w:hAnsi="宋体" w:cs="宋体"/>
          <w:snapToGrid w:val="0"/>
          <w:color w:val="000000"/>
          <w:w w:val="0"/>
          <w:kern w:val="0"/>
          <w:u w:color="000000"/>
          <w:lang w:val="zh-CN" w:bidi="zh-CN"/>
        </w:rPr>
        <w:t>业务分类：</w:t>
      </w:r>
      <w:r>
        <w:rPr>
          <w:rFonts w:hint="eastAsia" w:ascii="宋体" w:hAnsi="宋体" w:cs="宋体"/>
          <w:snapToGrid w:val="0"/>
          <w:color w:val="FF0000"/>
          <w:w w:val="0"/>
          <w:kern w:val="0"/>
          <w:u w:color="000000"/>
          <w:lang w:val="zh-CN" w:bidi="zh-CN"/>
        </w:rPr>
        <w:t>技术创新或开发</w:t>
      </w:r>
    </w:p>
    <w:p>
      <w:pPr>
        <w:rPr>
          <w:rFonts w:ascii="宋体" w:hAnsi="宋体" w:cs="宋体"/>
          <w:snapToGrid w:val="0"/>
          <w:color w:val="000000"/>
          <w:w w:val="0"/>
          <w:kern w:val="0"/>
          <w:u w:color="000000"/>
          <w:lang w:val="zh-CN" w:bidi="zh-CN"/>
        </w:rPr>
      </w:pPr>
      <w:r>
        <w:rPr>
          <w:rFonts w:hint="eastAsia" w:ascii="宋体" w:hAnsi="宋体" w:cs="宋体"/>
          <w:snapToGrid w:val="0"/>
          <w:color w:val="000000"/>
          <w:w w:val="0"/>
          <w:kern w:val="0"/>
          <w:u w:color="000000"/>
          <w:lang w:val="zh-CN" w:bidi="zh-CN"/>
        </w:rPr>
        <w:t>项目专业组：</w:t>
      </w:r>
      <w:r>
        <w:rPr>
          <w:rFonts w:hint="eastAsia" w:ascii="宋体" w:hAnsi="宋体" w:eastAsia="宋体" w:cs="宋体"/>
          <w:snapToGrid w:val="0"/>
          <w:color w:val="FF0000"/>
          <w:w w:val="0"/>
          <w:kern w:val="0"/>
          <w:u w:color="000000"/>
          <w:lang w:val="en-US" w:bidi="zh-CN"/>
        </w:rPr>
        <w:t>配电</w:t>
      </w:r>
      <w:r>
        <w:rPr>
          <w:rFonts w:hint="eastAsia" w:ascii="宋体" w:hAnsi="宋体" w:eastAsia="宋体" w:cs="宋体"/>
          <w:snapToGrid w:val="0"/>
          <w:color w:val="FF0000"/>
          <w:w w:val="0"/>
          <w:kern w:val="0"/>
          <w:u w:color="000000"/>
          <w:lang w:val="zh-CN" w:bidi="zh-CN"/>
        </w:rPr>
        <w:t xml:space="preserve">  </w:t>
      </w:r>
      <w:r>
        <w:rPr>
          <w:rFonts w:ascii="宋体" w:hAnsi="宋体" w:cs="宋体"/>
          <w:snapToGrid w:val="0"/>
          <w:color w:val="000000"/>
          <w:w w:val="0"/>
          <w:kern w:val="0"/>
          <w:u w:color="000000"/>
          <w:lang w:val="zh-CN" w:bidi="zh-CN"/>
        </w:rPr>
        <w:t xml:space="preserve">                    </w:t>
      </w:r>
      <w:r>
        <w:rPr>
          <w:rFonts w:hint="eastAsia" w:ascii="宋体" w:hAnsi="宋体" w:cs="宋体"/>
          <w:snapToGrid w:val="0"/>
          <w:color w:val="000000"/>
          <w:w w:val="0"/>
          <w:kern w:val="0"/>
          <w:u w:color="000000"/>
          <w:lang w:val="zh-CN" w:bidi="zh-CN"/>
        </w:rPr>
        <w:t>专业方向：</w:t>
      </w:r>
      <w:r>
        <w:rPr>
          <w:rFonts w:hint="eastAsia" w:ascii="宋体" w:hAnsi="宋体" w:cs="宋体"/>
          <w:snapToGrid w:val="0"/>
          <w:color w:val="FF0000"/>
          <w:w w:val="0"/>
          <w:kern w:val="0"/>
          <w:u w:color="000000"/>
          <w:lang w:val="zh-CN" w:bidi="zh-CN"/>
        </w:rPr>
        <w:t>新兴技术</w:t>
      </w:r>
    </w:p>
    <w:p>
      <w:pPr>
        <w:rPr>
          <w:rFonts w:ascii="宋体" w:hAnsi="宋体" w:cs="宋体"/>
          <w:snapToGrid w:val="0"/>
          <w:color w:val="000000"/>
          <w:w w:val="0"/>
          <w:kern w:val="0"/>
          <w:u w:color="000000"/>
          <w:lang w:val="zh-CN" w:bidi="zh-CN"/>
        </w:rPr>
      </w:pPr>
      <w:r>
        <w:rPr>
          <w:rFonts w:hint="eastAsia" w:ascii="宋体" w:hAnsi="宋体" w:cs="宋体"/>
          <w:snapToGrid w:val="0"/>
          <w:color w:val="000000"/>
          <w:w w:val="0"/>
          <w:kern w:val="0"/>
          <w:u w:color="000000"/>
          <w:lang w:val="zh-CN" w:bidi="zh-CN"/>
        </w:rPr>
        <w:t xml:space="preserve">项目领域： </w:t>
      </w:r>
      <w:r>
        <w:rPr>
          <w:rFonts w:hint="eastAsia" w:ascii="宋体" w:hAnsi="宋体" w:cs="宋体"/>
          <w:snapToGrid w:val="0"/>
          <w:color w:val="FF0000"/>
          <w:w w:val="0"/>
          <w:kern w:val="0"/>
          <w:u w:color="000000"/>
          <w:lang w:val="zh-CN" w:bidi="zh-CN"/>
        </w:rPr>
        <w:t>安全生产</w:t>
      </w:r>
      <w:r>
        <w:rPr>
          <w:rFonts w:hint="eastAsia" w:ascii="宋体" w:hAnsi="宋体" w:cs="宋体"/>
          <w:snapToGrid w:val="0"/>
          <w:color w:val="000000"/>
          <w:w w:val="0"/>
          <w:kern w:val="0"/>
          <w:u w:color="000000"/>
          <w:lang w:val="zh-CN" w:bidi="zh-CN"/>
        </w:rPr>
        <w:t xml:space="preserve"> 市场营销 </w:t>
      </w:r>
      <w:r>
        <w:rPr>
          <w:rFonts w:ascii="宋体" w:hAnsi="宋体" w:cs="宋体"/>
          <w:snapToGrid w:val="0"/>
          <w:color w:val="000000"/>
          <w:w w:val="0"/>
          <w:kern w:val="0"/>
          <w:u w:color="000000"/>
          <w:lang w:val="zh-CN" w:bidi="zh-CN"/>
        </w:rPr>
        <w:t xml:space="preserve"> </w:t>
      </w:r>
      <w:r>
        <w:rPr>
          <w:rFonts w:hint="eastAsia" w:ascii="宋体" w:hAnsi="宋体" w:cs="宋体"/>
          <w:snapToGrid w:val="0"/>
          <w:color w:val="000000"/>
          <w:w w:val="0"/>
          <w:kern w:val="0"/>
          <w:u w:color="000000"/>
          <w:lang w:val="zh-CN" w:bidi="zh-CN"/>
        </w:rPr>
        <w:t xml:space="preserve">基建工程 </w:t>
      </w:r>
      <w:r>
        <w:rPr>
          <w:rFonts w:ascii="宋体" w:hAnsi="宋体" w:cs="宋体"/>
          <w:snapToGrid w:val="0"/>
          <w:color w:val="000000"/>
          <w:w w:val="0"/>
          <w:kern w:val="0"/>
          <w:u w:color="000000"/>
          <w:lang w:val="zh-CN" w:bidi="zh-CN"/>
        </w:rPr>
        <w:t xml:space="preserve"> </w:t>
      </w:r>
      <w:r>
        <w:rPr>
          <w:rFonts w:hint="eastAsia" w:ascii="宋体" w:hAnsi="宋体" w:cs="宋体"/>
          <w:snapToGrid w:val="0"/>
          <w:color w:val="FF0000"/>
          <w:w w:val="0"/>
          <w:kern w:val="0"/>
          <w:u w:color="000000"/>
          <w:lang w:val="zh-CN" w:bidi="zh-CN"/>
        </w:rPr>
        <w:t>综合业务</w:t>
      </w:r>
    </w:p>
    <w:p>
      <w:pPr>
        <w:rPr>
          <w:rFonts w:ascii="宋体" w:hAnsi="宋体" w:cs="宋体"/>
          <w:snapToGrid w:val="0"/>
          <w:color w:val="000000"/>
          <w:w w:val="0"/>
          <w:kern w:val="0"/>
          <w:u w:color="000000"/>
          <w:lang w:val="zh-CN" w:bidi="zh-CN"/>
        </w:rPr>
      </w:pPr>
      <w:r>
        <w:rPr>
          <w:rFonts w:hint="eastAsia" w:ascii="宋体" w:hAnsi="宋体" w:cs="宋体"/>
          <w:snapToGrid w:val="0"/>
          <w:color w:val="000000"/>
          <w:w w:val="0"/>
          <w:kern w:val="0"/>
          <w:u w:color="000000"/>
          <w:lang w:val="zh-CN" w:bidi="zh-CN"/>
        </w:rPr>
        <w:t xml:space="preserve">预期效果：提高经营效益 </w:t>
      </w:r>
      <w:r>
        <w:rPr>
          <w:rFonts w:ascii="宋体" w:hAnsi="宋体" w:cs="宋体"/>
          <w:snapToGrid w:val="0"/>
          <w:color w:val="000000"/>
          <w:w w:val="0"/>
          <w:kern w:val="0"/>
          <w:u w:color="000000"/>
          <w:lang w:val="zh-CN" w:bidi="zh-CN"/>
        </w:rPr>
        <w:t xml:space="preserve"> </w:t>
      </w:r>
      <w:r>
        <w:rPr>
          <w:rFonts w:hint="eastAsia" w:ascii="宋体" w:hAnsi="宋体" w:cs="宋体"/>
          <w:snapToGrid w:val="0"/>
          <w:color w:val="FF0000"/>
          <w:w w:val="0"/>
          <w:kern w:val="0"/>
          <w:u w:color="000000"/>
          <w:lang w:val="zh-CN" w:bidi="zh-CN"/>
        </w:rPr>
        <w:t>提高工作效率</w:t>
      </w:r>
      <w:r>
        <w:rPr>
          <w:rFonts w:hint="eastAsia" w:ascii="宋体" w:hAnsi="宋体" w:cs="宋体"/>
          <w:snapToGrid w:val="0"/>
          <w:color w:val="000000"/>
          <w:w w:val="0"/>
          <w:kern w:val="0"/>
          <w:u w:color="000000"/>
          <w:lang w:val="zh-CN" w:bidi="zh-CN"/>
        </w:rPr>
        <w:t xml:space="preserve"> </w:t>
      </w:r>
      <w:r>
        <w:rPr>
          <w:rFonts w:ascii="宋体" w:hAnsi="宋体" w:cs="宋体"/>
          <w:snapToGrid w:val="0"/>
          <w:color w:val="000000"/>
          <w:w w:val="0"/>
          <w:kern w:val="0"/>
          <w:u w:color="000000"/>
          <w:lang w:val="zh-CN" w:bidi="zh-CN"/>
        </w:rPr>
        <w:t xml:space="preserve"> </w:t>
      </w:r>
      <w:r>
        <w:rPr>
          <w:rFonts w:hint="eastAsia" w:ascii="宋体" w:hAnsi="宋体" w:cs="宋体"/>
          <w:snapToGrid w:val="0"/>
          <w:color w:val="FF0000"/>
          <w:w w:val="0"/>
          <w:kern w:val="0"/>
          <w:u w:color="000000"/>
          <w:lang w:val="zh-CN" w:bidi="zh-CN"/>
        </w:rPr>
        <w:t>提高安全水平</w:t>
      </w:r>
      <w:r>
        <w:rPr>
          <w:rFonts w:hint="eastAsia" w:ascii="宋体" w:hAnsi="宋体" w:cs="宋体"/>
          <w:snapToGrid w:val="0"/>
          <w:color w:val="000000"/>
          <w:w w:val="0"/>
          <w:kern w:val="0"/>
          <w:u w:color="000000"/>
          <w:lang w:val="zh-CN" w:bidi="zh-CN"/>
        </w:rPr>
        <w:t xml:space="preserve"> </w:t>
      </w:r>
      <w:r>
        <w:rPr>
          <w:rFonts w:ascii="宋体" w:hAnsi="宋体" w:cs="宋体"/>
          <w:snapToGrid w:val="0"/>
          <w:color w:val="000000"/>
          <w:w w:val="0"/>
          <w:kern w:val="0"/>
          <w:u w:color="000000"/>
          <w:lang w:val="zh-CN" w:bidi="zh-CN"/>
        </w:rPr>
        <w:t xml:space="preserve"> </w:t>
      </w:r>
      <w:r>
        <w:rPr>
          <w:rFonts w:hint="eastAsia" w:ascii="宋体" w:hAnsi="宋体" w:cs="宋体"/>
          <w:snapToGrid w:val="0"/>
          <w:color w:val="000000"/>
          <w:w w:val="0"/>
          <w:kern w:val="0"/>
          <w:u w:color="000000"/>
          <w:lang w:val="zh-CN" w:bidi="zh-CN"/>
        </w:rPr>
        <w:t>提高员工劳动技能或操作水平</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宋体" w:hAnsi="宋体" w:cs="宋体"/>
                <w:b/>
                <w:bCs/>
                <w:snapToGrid w:val="0"/>
                <w:color w:val="000000"/>
                <w:w w:val="0"/>
                <w:kern w:val="0"/>
                <w:u w:color="000000"/>
                <w:lang w:val="zh-CN" w:bidi="zh-CN"/>
              </w:rPr>
            </w:pPr>
            <w:r>
              <w:rPr>
                <w:rFonts w:hint="eastAsia" w:ascii="宋体" w:hAnsi="宋体" w:cs="宋体"/>
                <w:b/>
                <w:bCs/>
                <w:snapToGrid w:val="0"/>
                <w:color w:val="000000"/>
                <w:w w:val="0"/>
                <w:kern w:val="0"/>
                <w:u w:color="000000"/>
                <w:lang w:val="zh-CN" w:bidi="zh-CN"/>
              </w:rPr>
              <w:t>研究内容：</w:t>
            </w:r>
          </w:p>
          <w:p>
            <w:pPr>
              <w:ind w:firstLine="420" w:firstLineChars="200"/>
              <w:rPr>
                <w:rFonts w:hint="default" w:cs="Times New Roman"/>
                <w:kern w:val="2"/>
                <w:sz w:val="21"/>
                <w:szCs w:val="24"/>
                <w:lang w:val="en-US" w:eastAsia="zh-CN" w:bidi="ar-SA"/>
              </w:rPr>
            </w:pPr>
            <w:r>
              <w:rPr>
                <w:rFonts w:hint="default" w:cs="Times New Roman"/>
                <w:kern w:val="2"/>
                <w:sz w:val="21"/>
                <w:szCs w:val="24"/>
                <w:lang w:val="en-US" w:eastAsia="zh-CN" w:bidi="ar-SA"/>
              </w:rPr>
              <w:t>随着</w:t>
            </w:r>
            <w:r>
              <w:rPr>
                <w:rFonts w:hint="eastAsia" w:cs="Times New Roman"/>
                <w:kern w:val="2"/>
                <w:sz w:val="21"/>
                <w:szCs w:val="24"/>
                <w:lang w:val="en-US" w:eastAsia="zh-CN" w:bidi="ar-SA"/>
              </w:rPr>
              <w:t>配网设备的不断升级，对后备电源系统中蓄电池关键部件的可靠性、安全性要求越来越高，而</w:t>
            </w:r>
            <w:r>
              <w:rPr>
                <w:rFonts w:hint="default" w:cs="Times New Roman"/>
                <w:kern w:val="2"/>
                <w:sz w:val="21"/>
                <w:szCs w:val="24"/>
                <w:lang w:val="en-US" w:eastAsia="zh-CN" w:bidi="ar-SA"/>
              </w:rPr>
              <w:t>后备电源系统需要具备快速响应能力</w:t>
            </w:r>
            <w:r>
              <w:rPr>
                <w:rFonts w:hint="eastAsia" w:cs="Times New Roman"/>
                <w:kern w:val="2"/>
                <w:sz w:val="21"/>
                <w:szCs w:val="24"/>
                <w:lang w:val="en-US" w:eastAsia="zh-CN" w:bidi="ar-SA"/>
              </w:rPr>
              <w:t>，可靠</w:t>
            </w:r>
            <w:r>
              <w:rPr>
                <w:rFonts w:hint="default" w:cs="Times New Roman"/>
                <w:kern w:val="2"/>
                <w:sz w:val="21"/>
                <w:szCs w:val="24"/>
                <w:lang w:val="en-US" w:eastAsia="zh-CN" w:bidi="ar-SA"/>
              </w:rPr>
              <w:t>应对突发的负荷波动或故障停电</w:t>
            </w:r>
            <w:r>
              <w:rPr>
                <w:rFonts w:hint="eastAsia" w:cs="Times New Roman"/>
                <w:kern w:val="2"/>
                <w:sz w:val="21"/>
                <w:szCs w:val="24"/>
                <w:lang w:val="en-US" w:eastAsia="zh-CN" w:bidi="ar-SA"/>
              </w:rPr>
              <w:t>，在传统应用中，</w:t>
            </w:r>
            <w:r>
              <w:rPr>
                <w:rFonts w:hint="default" w:cs="Times New Roman"/>
                <w:kern w:val="2"/>
                <w:sz w:val="21"/>
                <w:szCs w:val="24"/>
                <w:lang w:val="en-US" w:eastAsia="zh-CN" w:bidi="ar-SA"/>
              </w:rPr>
              <w:t>多采用铅酸电池或锂离子电池，但两者均存在明显局限</w:t>
            </w:r>
            <w:r>
              <w:rPr>
                <w:rFonts w:hint="eastAsia" w:cs="Times New Roman"/>
                <w:kern w:val="2"/>
                <w:sz w:val="21"/>
                <w:szCs w:val="24"/>
                <w:lang w:val="en-US" w:eastAsia="zh-CN" w:bidi="ar-SA"/>
              </w:rPr>
              <w:t>，</w:t>
            </w:r>
            <w:r>
              <w:rPr>
                <w:rFonts w:hint="default" w:cs="Times New Roman"/>
                <w:kern w:val="2"/>
                <w:sz w:val="21"/>
                <w:szCs w:val="24"/>
                <w:lang w:val="en-US" w:eastAsia="zh-CN" w:bidi="ar-SA"/>
              </w:rPr>
              <w:t>铅酸电池能量密度低、循环寿命短、含重金属污染</w:t>
            </w:r>
            <w:r>
              <w:rPr>
                <w:rFonts w:hint="eastAsia" w:cs="Times New Roman"/>
                <w:kern w:val="2"/>
                <w:sz w:val="21"/>
                <w:szCs w:val="24"/>
                <w:lang w:val="en-US" w:eastAsia="zh-CN" w:bidi="ar-SA"/>
              </w:rPr>
              <w:t>，</w:t>
            </w:r>
            <w:r>
              <w:rPr>
                <w:rFonts w:hint="default" w:cs="Times New Roman"/>
                <w:kern w:val="2"/>
                <w:sz w:val="21"/>
                <w:szCs w:val="24"/>
                <w:lang w:val="en-US" w:eastAsia="zh-CN" w:bidi="ar-SA"/>
              </w:rPr>
              <w:t>离子电池资源稀缺（锂、钴）、成本高、存在热失控风险</w:t>
            </w:r>
            <w:r>
              <w:rPr>
                <w:rFonts w:hint="eastAsia" w:cs="Times New Roman"/>
                <w:kern w:val="2"/>
                <w:sz w:val="21"/>
                <w:szCs w:val="24"/>
                <w:lang w:val="en-US" w:eastAsia="zh-CN" w:bidi="ar-SA"/>
              </w:rPr>
              <w:t>，基于以上存在的问题，本项目提供一种基于钠盐电池在电力配电网后备电源中的应用技术研究，</w:t>
            </w:r>
            <w:r>
              <w:rPr>
                <w:rFonts w:hint="default" w:cs="Times New Roman"/>
                <w:kern w:val="2"/>
                <w:sz w:val="21"/>
                <w:szCs w:val="24"/>
                <w:lang w:val="en-US" w:eastAsia="zh-CN" w:bidi="ar-SA"/>
              </w:rPr>
              <w:t>降低储能系统的全生命周期成本</w:t>
            </w:r>
            <w:r>
              <w:rPr>
                <w:rFonts w:hint="eastAsia" w:cs="Times New Roman"/>
                <w:kern w:val="2"/>
                <w:sz w:val="21"/>
                <w:szCs w:val="24"/>
                <w:lang w:val="en-US" w:eastAsia="zh-CN" w:bidi="ar-SA"/>
              </w:rPr>
              <w:t>，主要包括：</w:t>
            </w:r>
          </w:p>
          <w:p>
            <w:pPr>
              <w:numPr>
                <w:ilvl w:val="0"/>
                <w:numId w:val="1"/>
              </w:numPr>
              <w:ind w:firstLine="420" w:firstLineChars="200"/>
              <w:rPr>
                <w:rFonts w:hint="eastAsia" w:cs="Times New Roman"/>
                <w:kern w:val="2"/>
                <w:sz w:val="21"/>
                <w:szCs w:val="24"/>
                <w:lang w:val="en-US" w:eastAsia="zh-CN" w:bidi="ar-SA"/>
              </w:rPr>
            </w:pPr>
            <w:r>
              <w:rPr>
                <w:rFonts w:hint="eastAsia" w:cs="Times New Roman"/>
                <w:kern w:val="2"/>
                <w:sz w:val="21"/>
                <w:szCs w:val="24"/>
                <w:lang w:val="en-US" w:eastAsia="zh-CN" w:bidi="ar-SA"/>
              </w:rPr>
              <w:t>研究配网后备电源系统的负载特征：深入研究配网后备电源系统的蓄电池在现场应用的供电负载类型、工作机理，启动模式，以为蓄电池的选择提供必要的应用场景数据，以及</w:t>
            </w:r>
            <w:r>
              <w:rPr>
                <w:rFonts w:hint="default" w:cs="Times New Roman"/>
                <w:kern w:val="2"/>
                <w:sz w:val="21"/>
                <w:szCs w:val="24"/>
                <w:lang w:val="en-US" w:eastAsia="zh-CN" w:bidi="ar-SA"/>
              </w:rPr>
              <w:t>开发钠盐电池的充放电控制策略</w:t>
            </w:r>
            <w:r>
              <w:rPr>
                <w:rFonts w:hint="eastAsia" w:cs="Times New Roman"/>
                <w:kern w:val="2"/>
                <w:sz w:val="21"/>
                <w:szCs w:val="24"/>
                <w:lang w:val="en-US" w:eastAsia="zh-CN" w:bidi="ar-SA"/>
              </w:rPr>
              <w:t>；</w:t>
            </w:r>
          </w:p>
          <w:p>
            <w:pPr>
              <w:numPr>
                <w:ilvl w:val="0"/>
                <w:numId w:val="1"/>
              </w:numPr>
              <w:ind w:firstLine="420" w:firstLineChars="200"/>
              <w:rPr>
                <w:rFonts w:hint="eastAsia" w:eastAsia="宋体" w:cs="Times New Roman"/>
                <w:kern w:val="2"/>
                <w:sz w:val="21"/>
                <w:szCs w:val="24"/>
                <w:lang w:val="en-US" w:eastAsia="zh-CN" w:bidi="ar-SA"/>
              </w:rPr>
            </w:pPr>
            <w:r>
              <w:rPr>
                <w:rFonts w:hint="eastAsia" w:eastAsia="宋体" w:cs="Times New Roman"/>
                <w:kern w:val="2"/>
                <w:sz w:val="21"/>
                <w:szCs w:val="24"/>
                <w:lang w:val="en-US" w:eastAsia="zh-CN" w:bidi="ar-SA"/>
              </w:rPr>
              <w:t>研究</w:t>
            </w:r>
            <w:r>
              <w:rPr>
                <w:rFonts w:hint="default" w:eastAsia="宋体" w:cs="Times New Roman"/>
                <w:kern w:val="2"/>
                <w:sz w:val="21"/>
                <w:szCs w:val="24"/>
                <w:lang w:val="en-US" w:eastAsia="zh-CN" w:bidi="ar-SA"/>
              </w:rPr>
              <w:t>钠盐电池材料与电化学性能</w:t>
            </w:r>
            <w:r>
              <w:rPr>
                <w:rFonts w:hint="eastAsia" w:eastAsia="宋体" w:cs="Times New Roman"/>
                <w:kern w:val="2"/>
                <w:sz w:val="21"/>
                <w:szCs w:val="24"/>
                <w:lang w:val="en-US" w:eastAsia="zh-CN" w:bidi="ar-SA"/>
              </w:rPr>
              <w:t>，全面评估</w:t>
            </w:r>
            <w:r>
              <w:rPr>
                <w:rFonts w:hint="default" w:eastAsia="宋体" w:cs="Times New Roman"/>
                <w:kern w:val="2"/>
                <w:sz w:val="21"/>
                <w:szCs w:val="24"/>
                <w:lang w:val="en-US" w:eastAsia="zh-CN" w:bidi="ar-SA"/>
              </w:rPr>
              <w:t>能量密度</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导电性和热稳定性</w:t>
            </w:r>
            <w:r>
              <w:rPr>
                <w:rFonts w:hint="eastAsia" w:eastAsia="宋体" w:cs="Times New Roman"/>
                <w:kern w:val="2"/>
                <w:sz w:val="21"/>
                <w:szCs w:val="24"/>
                <w:lang w:val="en-US" w:eastAsia="zh-CN" w:bidi="ar-SA"/>
              </w:rPr>
              <w:t>、电荷存储能力、电极材料稳定性以及应用成本分析。</w:t>
            </w:r>
          </w:p>
          <w:p>
            <w:pPr>
              <w:numPr>
                <w:ilvl w:val="0"/>
                <w:numId w:val="1"/>
              </w:numPr>
              <w:ind w:firstLine="420" w:firstLineChars="200"/>
              <w:rPr>
                <w:rFonts w:hint="eastAsia" w:eastAsia="宋体" w:cs="Times New Roman"/>
                <w:kern w:val="2"/>
                <w:sz w:val="21"/>
                <w:szCs w:val="24"/>
                <w:lang w:val="en-US" w:eastAsia="zh-CN" w:bidi="ar-SA"/>
              </w:rPr>
            </w:pPr>
            <w:r>
              <w:rPr>
                <w:rFonts w:hint="eastAsia" w:eastAsia="宋体" w:cs="Times New Roman"/>
                <w:kern w:val="2"/>
                <w:sz w:val="21"/>
                <w:szCs w:val="24"/>
                <w:lang w:val="en-US" w:eastAsia="zh-CN" w:bidi="ar-SA"/>
              </w:rPr>
              <w:t>研究</w:t>
            </w:r>
            <w:r>
              <w:rPr>
                <w:rFonts w:hint="default" w:eastAsia="宋体" w:cs="Times New Roman"/>
                <w:kern w:val="2"/>
                <w:sz w:val="21"/>
                <w:szCs w:val="24"/>
                <w:lang w:val="en-US" w:eastAsia="zh-CN" w:bidi="ar-SA"/>
              </w:rPr>
              <w:t>电池集成与适配性</w:t>
            </w:r>
            <w:r>
              <w:rPr>
                <w:rFonts w:hint="eastAsia" w:eastAsia="宋体" w:cs="Times New Roman"/>
                <w:kern w:val="2"/>
                <w:sz w:val="21"/>
                <w:szCs w:val="24"/>
                <w:lang w:val="en-US" w:eastAsia="zh-CN" w:bidi="ar-SA"/>
              </w:rPr>
              <w:t>，研发</w:t>
            </w:r>
            <w:r>
              <w:rPr>
                <w:rFonts w:hint="default" w:eastAsia="宋体" w:cs="Times New Roman"/>
                <w:kern w:val="2"/>
                <w:sz w:val="21"/>
                <w:szCs w:val="24"/>
                <w:lang w:val="en-US" w:eastAsia="zh-CN" w:bidi="ar-SA"/>
              </w:rPr>
              <w:t>适用于配电网场景的模块化电池组</w:t>
            </w:r>
            <w:r>
              <w:rPr>
                <w:rFonts w:hint="eastAsia" w:eastAsia="宋体" w:cs="Times New Roman"/>
                <w:kern w:val="2"/>
                <w:sz w:val="21"/>
                <w:szCs w:val="24"/>
                <w:lang w:val="en-US" w:eastAsia="zh-CN" w:bidi="ar-SA"/>
              </w:rPr>
              <w:t>件</w:t>
            </w:r>
            <w:r>
              <w:rPr>
                <w:rFonts w:hint="default" w:eastAsia="宋体" w:cs="Times New Roman"/>
                <w:kern w:val="2"/>
                <w:sz w:val="21"/>
                <w:szCs w:val="24"/>
                <w:lang w:val="en-US" w:eastAsia="zh-CN" w:bidi="ar-SA"/>
              </w:rPr>
              <w:t>，优化电池组的热管理</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确保高温环境下的稳定性</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便于根据配电网后备电源的功率需求（如短时高功率放电）和能量容量要求，设计</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扩展和维护</w:t>
            </w:r>
            <w:r>
              <w:rPr>
                <w:rFonts w:hint="eastAsia" w:eastAsia="宋体" w:cs="Times New Roman"/>
                <w:kern w:val="2"/>
                <w:sz w:val="21"/>
                <w:szCs w:val="24"/>
                <w:lang w:val="en-US" w:eastAsia="zh-CN" w:bidi="ar-SA"/>
              </w:rPr>
              <w:t>后备蓄</w:t>
            </w:r>
            <w:r>
              <w:rPr>
                <w:rFonts w:hint="default" w:eastAsia="宋体" w:cs="Times New Roman"/>
                <w:kern w:val="2"/>
                <w:sz w:val="21"/>
                <w:szCs w:val="24"/>
                <w:lang w:val="en-US" w:eastAsia="zh-CN" w:bidi="ar-SA"/>
              </w:rPr>
              <w:t>电池。</w:t>
            </w:r>
          </w:p>
          <w:p>
            <w:pPr>
              <w:rPr>
                <w:b/>
                <w:bCs/>
              </w:rPr>
            </w:pPr>
            <w:r>
              <w:rPr>
                <w:rFonts w:hint="eastAsia" w:eastAsia="宋体" w:cs="Times New Roman"/>
                <w:kern w:val="2"/>
                <w:sz w:val="21"/>
                <w:szCs w:val="24"/>
                <w:lang w:val="en-US" w:eastAsia="zh-CN" w:bidi="ar-SA"/>
              </w:rPr>
              <w:t>研究</w:t>
            </w:r>
            <w:r>
              <w:rPr>
                <w:rFonts w:hint="default" w:eastAsia="宋体" w:cs="Times New Roman"/>
                <w:kern w:val="2"/>
                <w:sz w:val="21"/>
                <w:szCs w:val="24"/>
                <w:lang w:val="en-US" w:eastAsia="zh-CN" w:bidi="ar-SA"/>
              </w:rPr>
              <w:t>适用于钠盐电池的BMS</w:t>
            </w:r>
            <w:r>
              <w:rPr>
                <w:rFonts w:hint="eastAsia" w:eastAsia="宋体" w:cs="Times New Roman"/>
                <w:kern w:val="2"/>
                <w:sz w:val="21"/>
                <w:szCs w:val="24"/>
                <w:lang w:val="en-US" w:eastAsia="zh-CN" w:bidi="ar-SA"/>
              </w:rPr>
              <w:t>及</w:t>
            </w:r>
            <w:r>
              <w:rPr>
                <w:rFonts w:hint="default" w:eastAsia="宋体" w:cs="Times New Roman"/>
                <w:kern w:val="2"/>
                <w:sz w:val="21"/>
                <w:szCs w:val="24"/>
                <w:lang w:val="en-US" w:eastAsia="zh-CN" w:bidi="ar-SA"/>
              </w:rPr>
              <w:t>故障诊断算法，实现对</w:t>
            </w:r>
            <w:r>
              <w:rPr>
                <w:rFonts w:hint="eastAsia" w:eastAsia="宋体" w:cs="Times New Roman"/>
                <w:kern w:val="2"/>
                <w:sz w:val="21"/>
                <w:szCs w:val="24"/>
                <w:lang w:val="en-US" w:eastAsia="zh-CN" w:bidi="ar-SA"/>
              </w:rPr>
              <w:t>状态数据</w:t>
            </w:r>
            <w:r>
              <w:rPr>
                <w:rFonts w:hint="default" w:eastAsia="宋体" w:cs="Times New Roman"/>
                <w:kern w:val="2"/>
                <w:sz w:val="21"/>
                <w:szCs w:val="24"/>
                <w:lang w:val="en-US" w:eastAsia="zh-CN" w:bidi="ar-SA"/>
              </w:rPr>
              <w:t>的精准监测与均衡控制。</w:t>
            </w:r>
            <w:r>
              <w:rPr>
                <w:rFonts w:hint="eastAsia"/>
                <w:b/>
                <w:bCs/>
              </w:rPr>
              <w:t>应用前景：</w:t>
            </w:r>
          </w:p>
          <w:p>
            <w:pPr>
              <w:ind w:firstLine="420" w:firstLineChars="200"/>
              <w:rPr>
                <w:rFonts w:hint="default" w:eastAsia="宋体" w:cs="Times New Roman"/>
                <w:kern w:val="2"/>
                <w:sz w:val="21"/>
                <w:szCs w:val="24"/>
                <w:lang w:val="en-US" w:eastAsia="zh-CN" w:bidi="ar-SA"/>
              </w:rPr>
            </w:pPr>
            <w:r>
              <w:rPr>
                <w:rFonts w:hint="eastAsia" w:cs="Times New Roman"/>
                <w:kern w:val="2"/>
                <w:sz w:val="21"/>
                <w:szCs w:val="24"/>
                <w:lang w:val="en-US" w:eastAsia="zh-CN" w:bidi="ar-SA"/>
              </w:rPr>
              <w:t>项目的实施应用，可以提高</w:t>
            </w:r>
            <w:r>
              <w:rPr>
                <w:rFonts w:hint="eastAsia" w:eastAsia="宋体" w:cs="Times New Roman"/>
                <w:lang w:val="en-US" w:eastAsia="zh-CN"/>
              </w:rPr>
              <w:t>电力配电网后备蓄电池的性能与</w:t>
            </w:r>
            <w:r>
              <w:rPr>
                <w:rFonts w:hint="eastAsia" w:cs="Times New Roman"/>
                <w:kern w:val="2"/>
                <w:sz w:val="21"/>
                <w:szCs w:val="24"/>
                <w:lang w:val="en-US" w:eastAsia="zh-CN" w:bidi="ar-SA"/>
              </w:rPr>
              <w:t>管理水平，</w:t>
            </w:r>
            <w:r>
              <w:rPr>
                <w:rFonts w:hint="default" w:eastAsia="宋体" w:cs="Times New Roman"/>
                <w:kern w:val="2"/>
                <w:sz w:val="21"/>
                <w:szCs w:val="24"/>
                <w:lang w:val="en-US" w:eastAsia="zh-CN" w:bidi="ar-SA"/>
              </w:rPr>
              <w:t>钠盐电池</w:t>
            </w:r>
            <w:r>
              <w:rPr>
                <w:rFonts w:hint="eastAsia" w:eastAsia="宋体" w:cs="Times New Roman"/>
                <w:kern w:val="2"/>
                <w:sz w:val="21"/>
                <w:szCs w:val="24"/>
                <w:lang w:val="en-US" w:eastAsia="zh-CN" w:bidi="ar-SA"/>
              </w:rPr>
              <w:t>在热失控机理表现优秀，可有效</w:t>
            </w:r>
            <w:r>
              <w:rPr>
                <w:rFonts w:hint="default" w:eastAsia="宋体" w:cs="Times New Roman"/>
                <w:kern w:val="2"/>
                <w:sz w:val="21"/>
                <w:szCs w:val="24"/>
                <w:lang w:val="en-US" w:eastAsia="zh-CN" w:bidi="ar-SA"/>
              </w:rPr>
              <w:t>防火</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防爆</w:t>
            </w:r>
            <w:r>
              <w:rPr>
                <w:rFonts w:hint="eastAsia" w:eastAsia="宋体" w:cs="Times New Roman"/>
                <w:kern w:val="2"/>
                <w:sz w:val="21"/>
                <w:szCs w:val="24"/>
                <w:lang w:val="en-US" w:eastAsia="zh-CN" w:bidi="ar-SA"/>
              </w:rPr>
              <w:t>；另外</w:t>
            </w:r>
            <w:r>
              <w:rPr>
                <w:rFonts w:hint="default" w:eastAsia="宋体" w:cs="Times New Roman"/>
                <w:kern w:val="2"/>
                <w:sz w:val="21"/>
                <w:szCs w:val="24"/>
                <w:lang w:val="en-US" w:eastAsia="zh-CN" w:bidi="ar-SA"/>
              </w:rPr>
              <w:t>钠盐电池</w:t>
            </w:r>
            <w:r>
              <w:rPr>
                <w:rFonts w:hint="eastAsia" w:eastAsia="宋体" w:cs="Times New Roman"/>
                <w:kern w:val="2"/>
                <w:sz w:val="21"/>
                <w:szCs w:val="24"/>
                <w:lang w:val="en-US" w:eastAsia="zh-CN" w:bidi="ar-SA"/>
              </w:rPr>
              <w:t>材料</w:t>
            </w:r>
            <w:r>
              <w:rPr>
                <w:rFonts w:hint="default" w:eastAsia="宋体" w:cs="Times New Roman"/>
                <w:kern w:val="2"/>
                <w:sz w:val="21"/>
                <w:szCs w:val="24"/>
                <w:lang w:val="en-US" w:eastAsia="zh-CN" w:bidi="ar-SA"/>
              </w:rPr>
              <w:t>资源丰富、成本低廉、环境友好，成为替代传统电池的潜在选择</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钠盐电池</w:t>
            </w:r>
            <w:r>
              <w:rPr>
                <w:rFonts w:hint="eastAsia" w:eastAsia="宋体" w:cs="Times New Roman"/>
                <w:kern w:val="2"/>
                <w:sz w:val="21"/>
                <w:szCs w:val="24"/>
                <w:lang w:val="en-US" w:eastAsia="zh-CN" w:bidi="ar-SA"/>
              </w:rPr>
              <w:t>应用于</w:t>
            </w:r>
            <w:r>
              <w:rPr>
                <w:rFonts w:hint="default" w:eastAsia="宋体" w:cs="Times New Roman"/>
                <w:kern w:val="2"/>
                <w:sz w:val="21"/>
                <w:szCs w:val="24"/>
                <w:lang w:val="en-US" w:eastAsia="zh-CN" w:bidi="ar-SA"/>
              </w:rPr>
              <w:t>电力配电网的后备电源</w:t>
            </w:r>
            <w:r>
              <w:rPr>
                <w:rFonts w:hint="eastAsia" w:eastAsia="宋体" w:cs="Times New Roman"/>
                <w:kern w:val="2"/>
                <w:sz w:val="21"/>
                <w:szCs w:val="24"/>
                <w:lang w:val="en-US" w:eastAsia="zh-CN" w:bidi="ar-SA"/>
              </w:rPr>
              <w:t>中，可以实现</w:t>
            </w:r>
            <w:r>
              <w:rPr>
                <w:rFonts w:hint="default" w:eastAsia="宋体" w:cs="Times New Roman"/>
                <w:kern w:val="2"/>
                <w:sz w:val="21"/>
                <w:szCs w:val="24"/>
                <w:lang w:val="en-US" w:eastAsia="zh-CN" w:bidi="ar-SA"/>
              </w:rPr>
              <w:t>高功率密度</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快速充放电以应对短时负荷波动</w:t>
            </w:r>
            <w:r>
              <w:rPr>
                <w:rFonts w:hint="eastAsia" w:eastAsia="宋体" w:cs="Times New Roman"/>
                <w:kern w:val="2"/>
                <w:sz w:val="21"/>
                <w:szCs w:val="24"/>
                <w:lang w:val="en-US" w:eastAsia="zh-CN" w:bidi="ar-SA"/>
              </w:rPr>
              <w:t>，满足</w:t>
            </w:r>
            <w:r>
              <w:rPr>
                <w:rFonts w:hint="default" w:eastAsia="宋体" w:cs="Times New Roman"/>
                <w:kern w:val="2"/>
                <w:sz w:val="21"/>
                <w:szCs w:val="24"/>
                <w:lang w:val="en-US" w:eastAsia="zh-CN" w:bidi="ar-SA"/>
              </w:rPr>
              <w:t>长循环寿命</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支持频繁充放电（如每日多次）</w:t>
            </w:r>
            <w:r>
              <w:rPr>
                <w:rFonts w:hint="eastAsia" w:eastAsia="宋体" w:cs="Times New Roman"/>
                <w:kern w:val="2"/>
                <w:sz w:val="21"/>
                <w:szCs w:val="24"/>
                <w:lang w:val="en-US" w:eastAsia="zh-CN" w:bidi="ar-SA"/>
              </w:rPr>
              <w:t>，具备宽</w:t>
            </w:r>
            <w:r>
              <w:rPr>
                <w:rFonts w:hint="default" w:eastAsia="宋体" w:cs="Times New Roman"/>
                <w:kern w:val="2"/>
                <w:sz w:val="21"/>
                <w:szCs w:val="24"/>
                <w:lang w:val="en-US" w:eastAsia="zh-CN" w:bidi="ar-SA"/>
              </w:rPr>
              <w:t>温度适应性</w:t>
            </w:r>
            <w:r>
              <w:rPr>
                <w:rFonts w:hint="eastAsia" w:eastAsia="宋体" w:cs="Times New Roman"/>
                <w:kern w:val="2"/>
                <w:sz w:val="21"/>
                <w:szCs w:val="24"/>
                <w:lang w:val="en-US" w:eastAsia="zh-CN" w:bidi="ar-SA"/>
              </w:rPr>
              <w:t>，</w:t>
            </w:r>
            <w:r>
              <w:rPr>
                <w:rFonts w:hint="default" w:eastAsia="宋体" w:cs="Times New Roman"/>
                <w:kern w:val="2"/>
                <w:sz w:val="21"/>
                <w:szCs w:val="24"/>
                <w:lang w:val="en-US" w:eastAsia="zh-CN" w:bidi="ar-SA"/>
              </w:rPr>
              <w:t>适应户外或极端气候环境</w:t>
            </w:r>
            <w:r>
              <w:rPr>
                <w:rFonts w:hint="eastAsia" w:eastAsia="宋体" w:cs="Times New Roman"/>
                <w:kern w:val="2"/>
                <w:sz w:val="21"/>
                <w:szCs w:val="24"/>
                <w:lang w:val="en-US" w:eastAsia="zh-CN" w:bidi="ar-SA"/>
              </w:rPr>
              <w:t>，可以有效解决配电网蓄电池应用痛点。</w:t>
            </w:r>
          </w:p>
          <w:p>
            <w:pPr>
              <w:rPr>
                <w:b/>
                <w:bCs/>
              </w:rPr>
            </w:pPr>
            <w:r>
              <w:rPr>
                <w:rFonts w:hint="eastAsia"/>
                <w:b/>
                <w:bCs/>
              </w:rPr>
              <w:t>项目采用的技术原理：</w:t>
            </w:r>
          </w:p>
          <w:p>
            <w:pPr>
              <w:ind w:firstLine="458" w:firstLineChars="191"/>
              <w:rPr>
                <w:rFonts w:ascii="宋体"/>
                <w:kern w:val="0"/>
              </w:rPr>
            </w:pPr>
            <w:r>
              <w:rPr>
                <w:rFonts w:hint="eastAsia"/>
              </w:rPr>
              <w:t>本项目研究基于热塑性聚氨酯弹性体材料，</w:t>
            </w:r>
            <w:r>
              <w:rPr>
                <w:rFonts w:hint="eastAsia" w:ascii="宋体"/>
                <w:kern w:val="0"/>
              </w:rPr>
              <w:t>采用高周波电压工艺，设计正常工作水压下可承受万次以上低温介质循环的流体通道，</w:t>
            </w:r>
            <w:r>
              <w:rPr>
                <w:rStyle w:val="5"/>
                <w:rFonts w:hint="default"/>
              </w:rPr>
              <w:t>通过辅助泵将低温介质循环流动，低温介质通过两种以上不同的相变蓄能材料进行降温，在较高温度环境下，较低相变温度的相变蓄能材料先发生相变吸热，迅速降低循环介质温度，较高相变温度的相变蓄能材料持续保证介质的低温状态，避免单一的相变材料升温过于快速造成时效性过短等问题，这样起到多重吸热的持续降温效果。此外，</w:t>
            </w:r>
            <w:r>
              <w:rPr>
                <w:rFonts w:hint="eastAsia" w:ascii="宋体"/>
                <w:kern w:val="0"/>
              </w:rPr>
              <w:t>为避免因为穿戴过程中可调温冷霸装置服因为折叠原因造成低温介质循环通道的弯折，阻碍介质流通的顺畅性，造成辅助泵的空转，加快电器的损坏，项目研究采用</w:t>
            </w:r>
            <w:r>
              <w:rPr>
                <w:rFonts w:hint="eastAsia"/>
              </w:rPr>
              <w:t>热塑性聚氨酯弹性体</w:t>
            </w:r>
            <w:r>
              <w:rPr>
                <w:rFonts w:hint="eastAsia" w:ascii="宋体"/>
                <w:kern w:val="0"/>
              </w:rPr>
              <w:t>复合涤纶布的方式，增强通道的流畅性，避免辅助泵的空转。另外，辅助泵连接控制模块，控制模块基于温度传感器实时监测</w:t>
            </w:r>
            <w:r>
              <w:rPr>
                <w:rFonts w:hint="eastAsia"/>
              </w:rPr>
              <w:t>可</w:t>
            </w:r>
            <w:r>
              <w:rPr>
                <w:rFonts w:hint="eastAsia" w:ascii="宋体"/>
                <w:kern w:val="0"/>
              </w:rPr>
              <w:t>调温冷霸装置服的当前温度，控制辅助泵的循环速度、开启和关闭。控制模块连接可携带式轻便电源模块进行供电，保证电源持续供电</w:t>
            </w:r>
            <w:r>
              <w:rPr>
                <w:rFonts w:ascii="宋体"/>
                <w:kern w:val="0"/>
              </w:rPr>
              <w:t>12</w:t>
            </w:r>
            <w:r>
              <w:rPr>
                <w:rFonts w:hint="eastAsia" w:ascii="宋体"/>
                <w:kern w:val="0"/>
              </w:rPr>
              <w:t>小时以上。</w:t>
            </w:r>
          </w:p>
          <w:p>
            <w:pPr>
              <w:ind w:firstLine="458" w:firstLineChars="191"/>
              <w:rPr>
                <w:rFonts w:ascii="宋体" w:hAnsi="宋体"/>
                <w:color w:val="000000"/>
              </w:rPr>
            </w:pPr>
          </w:p>
          <w:p>
            <w:pPr>
              <w:rPr>
                <w:b/>
                <w:bCs/>
              </w:rPr>
            </w:pPr>
            <w:r>
              <w:rPr>
                <w:rFonts w:hint="eastAsia"/>
                <w:b/>
                <w:bCs/>
              </w:rPr>
              <w:t>技术关键点及创新点：</w:t>
            </w:r>
          </w:p>
          <w:p>
            <w:pPr>
              <w:ind w:firstLine="480" w:firstLineChars="200"/>
              <w:rPr>
                <w:rFonts w:hint="eastAsia"/>
                <w:lang w:val="en-US" w:eastAsia="zh-CN"/>
              </w:rPr>
            </w:pPr>
            <w:r>
              <w:t>钠盐电池作为一种极具潜力的储能电池体系，在能量密度、循环寿命、安全性等多个关键性能指标方面展现出独特的优势和特点，</w:t>
            </w:r>
            <w:r>
              <w:rPr>
                <w:rFonts w:hint="eastAsia"/>
                <w:lang w:val="en-US" w:eastAsia="zh-CN"/>
              </w:rPr>
              <w:t>主要采用的技术原理包括：</w:t>
            </w:r>
          </w:p>
          <w:p>
            <w:pPr>
              <w:numPr>
                <w:ilvl w:val="0"/>
                <w:numId w:val="2"/>
              </w:numPr>
              <w:ind w:firstLine="480" w:firstLineChars="200"/>
              <w:rPr>
                <w:rFonts w:hint="eastAsia"/>
                <w:lang w:eastAsia="zh-CN"/>
              </w:rPr>
            </w:pPr>
            <w:r>
              <w:rPr>
                <w:rFonts w:hint="eastAsia"/>
                <w:lang w:val="en-US" w:eastAsia="zh-CN"/>
              </w:rPr>
              <w:t>高</w:t>
            </w:r>
            <w:r>
              <w:t>能量密度</w:t>
            </w:r>
            <w:r>
              <w:rPr>
                <w:rFonts w:hint="eastAsia"/>
                <w:lang w:val="en-US" w:eastAsia="zh-CN"/>
              </w:rPr>
              <w:t>的机理</w:t>
            </w:r>
            <w:r>
              <w:rPr>
                <w:rFonts w:hint="eastAsia"/>
                <w:lang w:eastAsia="zh-CN"/>
              </w:rPr>
              <w:t>，</w:t>
            </w:r>
            <w:r>
              <w:t>从电化学原理来看，钠的电极电位与锂有一定差异，但通过合理的电极材料设计和电池体系构建，钠盐电池能够实现较高的能量存储能力</w:t>
            </w:r>
            <w:r>
              <w:rPr>
                <w:rFonts w:hint="eastAsia"/>
                <w:lang w:eastAsia="zh-CN"/>
              </w:rPr>
              <w:t>，</w:t>
            </w:r>
            <w:r>
              <w:t>在实际应用中，钠盐电池的能量密度受多种因素影响。目前随着材料科学和电池制造技术的不断发展，钠盐电池的实际能量密度已经能够达到 100 - 150 Wh/kg 的水平</w:t>
            </w:r>
            <w:r>
              <w:rPr>
                <w:rFonts w:hint="eastAsia"/>
                <w:lang w:eastAsia="zh-CN"/>
              </w:rPr>
              <w:t>；</w:t>
            </w:r>
          </w:p>
          <w:p>
            <w:pPr>
              <w:numPr>
                <w:ilvl w:val="0"/>
                <w:numId w:val="2"/>
              </w:numPr>
              <w:ind w:firstLine="480" w:firstLineChars="200"/>
              <w:rPr>
                <w:rFonts w:hint="default" w:cs="Times New Roman"/>
                <w:kern w:val="2"/>
                <w:sz w:val="21"/>
                <w:szCs w:val="24"/>
                <w:lang w:val="en-US" w:eastAsia="zh-CN" w:bidi="ar-SA"/>
              </w:rPr>
            </w:pPr>
            <w:r>
              <w:rPr>
                <w:rFonts w:hint="eastAsia"/>
                <w:lang w:val="en-US" w:eastAsia="zh-CN"/>
              </w:rPr>
              <w:t>高</w:t>
            </w:r>
            <w:r>
              <w:t>循环性能</w:t>
            </w:r>
            <w:r>
              <w:rPr>
                <w:rFonts w:hint="eastAsia"/>
                <w:lang w:val="en-US" w:eastAsia="zh-CN"/>
              </w:rPr>
              <w:t>原理</w:t>
            </w:r>
            <w:r>
              <w:rPr>
                <w:rFonts w:hint="eastAsia"/>
                <w:lang w:eastAsia="zh-CN"/>
              </w:rPr>
              <w:t>，</w:t>
            </w:r>
            <w:r>
              <w:t>钠盐电池在循环寿命方面表现出良好的特性</w:t>
            </w:r>
            <w:r>
              <w:rPr>
                <w:rFonts w:hint="eastAsia"/>
                <w:lang w:eastAsia="zh-CN"/>
              </w:rPr>
              <w:t>，</w:t>
            </w:r>
            <w:r>
              <w:t>通过优化电极材料的结构和组成，改善电池的充放电制度，可以有效提高电池的循环稳定性</w:t>
            </w:r>
            <w:r>
              <w:rPr>
                <w:rFonts w:hint="eastAsia"/>
                <w:lang w:eastAsia="zh-CN"/>
              </w:rPr>
              <w:t>，</w:t>
            </w:r>
            <w:r>
              <w:t>能够实现数千次的充放电循环。</w:t>
            </w:r>
          </w:p>
          <w:p>
            <w:pPr>
              <w:numPr>
                <w:ilvl w:val="0"/>
                <w:numId w:val="2"/>
              </w:numPr>
              <w:ind w:firstLine="480" w:firstLineChars="200"/>
              <w:rPr>
                <w:rFonts w:hint="default" w:cs="Times New Roman"/>
                <w:kern w:val="2"/>
                <w:sz w:val="21"/>
                <w:szCs w:val="24"/>
                <w:lang w:val="en-US" w:eastAsia="zh-CN" w:bidi="ar-SA"/>
              </w:rPr>
            </w:pPr>
            <w:r>
              <w:rPr>
                <w:rFonts w:hint="eastAsia"/>
                <w:lang w:val="en-US" w:eastAsia="zh-CN"/>
              </w:rPr>
              <w:t>强</w:t>
            </w:r>
            <w:r>
              <w:t>热稳定性</w:t>
            </w:r>
            <w:r>
              <w:rPr>
                <w:rFonts w:hint="eastAsia"/>
                <w:lang w:val="en-US" w:eastAsia="zh-CN"/>
              </w:rPr>
              <w:t>原理</w:t>
            </w:r>
            <w:r>
              <w:rPr>
                <w:rFonts w:hint="eastAsia"/>
                <w:lang w:eastAsia="zh-CN"/>
              </w:rPr>
              <w:t>，</w:t>
            </w:r>
            <w:r>
              <w:t>钠盐电池在安全性方面具有</w:t>
            </w:r>
            <w:r>
              <w:rPr>
                <w:rFonts w:hint="eastAsia"/>
                <w:lang w:val="en-US" w:eastAsia="zh-CN"/>
              </w:rPr>
              <w:t>较强</w:t>
            </w:r>
            <w:r>
              <w:t>优势，尤其是在热稳定性方面</w:t>
            </w:r>
            <w:r>
              <w:rPr>
                <w:rFonts w:hint="eastAsia"/>
                <w:lang w:eastAsia="zh-CN"/>
              </w:rPr>
              <w:t>，</w:t>
            </w:r>
            <w:r>
              <w:t>与锂离子电池相比，钠盐电池的热失控温度相对较高</w:t>
            </w:r>
            <w:r>
              <w:rPr>
                <w:rFonts w:hint="eastAsia"/>
                <w:lang w:eastAsia="zh-CN"/>
              </w:rPr>
              <w:t>，</w:t>
            </w:r>
            <w:r>
              <w:t>因为钠离子的化学性质相对较为稳定，在电池内部发生异常发热时，钠盐电池更不容易发生热失控和燃烧等危险情况</w:t>
            </w:r>
            <w:r>
              <w:rPr>
                <w:rFonts w:hint="eastAsia"/>
                <w:lang w:eastAsia="zh-CN"/>
              </w:rPr>
              <w:t>，</w:t>
            </w:r>
            <w:r>
              <w:t>在温度达到 200℃ 以上时，电池也不会发生热失控</w:t>
            </w:r>
            <w:r>
              <w:rPr>
                <w:rFonts w:hint="eastAsia"/>
                <w:lang w:eastAsia="zh-CN"/>
              </w:rPr>
              <w:t>，</w:t>
            </w:r>
          </w:p>
          <w:p>
            <w:pPr>
              <w:numPr>
                <w:ilvl w:val="0"/>
                <w:numId w:val="2"/>
              </w:numPr>
              <w:ind w:firstLine="480" w:firstLineChars="200"/>
              <w:rPr>
                <w:rFonts w:hint="default" w:cs="Times New Roman"/>
                <w:kern w:val="2"/>
                <w:sz w:val="21"/>
                <w:szCs w:val="24"/>
                <w:lang w:val="en-US" w:eastAsia="zh-CN" w:bidi="ar-SA"/>
              </w:rPr>
            </w:pPr>
            <w:r>
              <w:t>过充过放安全性</w:t>
            </w:r>
            <w:r>
              <w:rPr>
                <w:rFonts w:hint="eastAsia"/>
                <w:lang w:val="en-US" w:eastAsia="zh-CN"/>
              </w:rPr>
              <w:t>原理</w:t>
            </w:r>
            <w:r>
              <w:rPr>
                <w:rFonts w:hint="eastAsia"/>
                <w:lang w:eastAsia="zh-CN"/>
              </w:rPr>
              <w:t>，</w:t>
            </w:r>
            <w:r>
              <w:t>在</w:t>
            </w:r>
            <w:r>
              <w:rPr>
                <w:rFonts w:hint="eastAsia"/>
                <w:lang w:val="en-US" w:eastAsia="zh-CN"/>
              </w:rPr>
              <w:t>这一点上</w:t>
            </w:r>
            <w:r>
              <w:t>钠盐电池也表现出较好的特性</w:t>
            </w:r>
            <w:r>
              <w:rPr>
                <w:rFonts w:hint="eastAsia"/>
                <w:lang w:eastAsia="zh-CN"/>
              </w:rPr>
              <w:t>，</w:t>
            </w:r>
            <w:r>
              <w:t>由于钠离子的嵌入和脱出机制与锂离子有所不同，钠盐电池在过充过放过程中不容易形成枝晶等危险产物</w:t>
            </w:r>
            <w:r>
              <w:rPr>
                <w:rFonts w:hint="eastAsia"/>
                <w:lang w:eastAsia="zh-CN"/>
              </w:rPr>
              <w:t>，</w:t>
            </w:r>
            <w:r>
              <w:rPr>
                <w:rFonts w:hint="eastAsia"/>
                <w:lang w:val="en-US" w:eastAsia="zh-CN"/>
              </w:rPr>
              <w:t>锂电池中</w:t>
            </w:r>
            <w:r>
              <w:t>锂枝晶的生长是锂离子电池过充时的一个严重安全隐患，它可能会刺穿电池隔膜，导致电池内部短路，引发燃烧甚至爆炸</w:t>
            </w:r>
            <w:r>
              <w:rPr>
                <w:rFonts w:hint="eastAsia"/>
                <w:lang w:eastAsia="zh-CN"/>
              </w:rPr>
              <w:t>，</w:t>
            </w:r>
            <w:r>
              <w:t>而钠盐电池在过充过放时，电极材料的结构变化相对较为缓和，能够在一定程度上避免这种危险情况的发生。</w:t>
            </w:r>
          </w:p>
          <w:p>
            <w:pPr>
              <w:numPr>
                <w:ilvl w:val="0"/>
                <w:numId w:val="2"/>
              </w:numPr>
              <w:ind w:firstLine="480" w:firstLineChars="200"/>
              <w:rPr>
                <w:rFonts w:hint="default" w:cs="Times New Roman"/>
                <w:kern w:val="2"/>
                <w:sz w:val="21"/>
                <w:szCs w:val="24"/>
                <w:lang w:val="en-US" w:eastAsia="zh-CN" w:bidi="ar-SA"/>
              </w:rPr>
            </w:pPr>
            <w:r>
              <w:t>其他安全优势
钠盐电池的原材料大多具有较低的毒性和环境友好性，这也是其在安全性方面的一个优点。与一些含有重金属等有毒有害物质的电池体系相比，钠盐电池在生产、使用和回收过程中对环境的危害较小，能够减少对人体健康和生态环境的潜在风险。</w:t>
            </w:r>
          </w:p>
          <w:p>
            <w:r>
              <w:t>综上所述，钠盐电池在能量密度、循环寿命和安全性等关键性能指标方面具有</w:t>
            </w:r>
            <w:r>
              <w:rPr>
                <w:rFonts w:hint="eastAsia"/>
                <w:lang w:val="en-US" w:eastAsia="zh-CN"/>
              </w:rPr>
              <w:t>较强</w:t>
            </w:r>
            <w:r>
              <w:t>的特点和优势</w:t>
            </w:r>
            <w:r>
              <w:rPr>
                <w:rFonts w:hint="eastAsia"/>
                <w:lang w:eastAsia="zh-CN"/>
              </w:rPr>
              <w:t>，</w:t>
            </w:r>
            <w:r>
              <w:rPr>
                <w:rFonts w:hint="eastAsia"/>
                <w:lang w:val="en-US" w:eastAsia="zh-CN"/>
              </w:rPr>
              <w:t>对应用于配网电源系统中，具备有较好的适用性，</w:t>
            </w:r>
            <w:r>
              <w:t>虽然目前在某些性能指标上还存在一定的提升空间，但随着技术的不断进步和研究的深入，钠盐电池有望在储能等领域得到更广泛的应用。</w:t>
            </w:r>
          </w:p>
          <w:p>
            <w:pPr>
              <w:rPr>
                <w:b/>
                <w:bCs/>
              </w:rPr>
            </w:pPr>
            <w:r>
              <w:rPr>
                <w:rFonts w:hint="eastAsia"/>
                <w:b/>
                <w:bCs/>
              </w:rPr>
              <w:t>预期成果：</w:t>
            </w:r>
          </w:p>
          <w:p>
            <w:pPr>
              <w:rPr>
                <w:rFonts w:hint="eastAsia" w:ascii="宋体" w:hAnsi="宋体" w:eastAsia="宋体"/>
                <w:i/>
                <w:sz w:val="24"/>
                <w:lang w:eastAsia="zh-CN"/>
              </w:rPr>
            </w:pPr>
          </w:p>
          <w:p>
            <w:pPr>
              <w:numPr>
                <w:ilvl w:val="0"/>
                <w:numId w:val="3"/>
              </w:numPr>
              <w:bidi w:val="0"/>
              <w:ind w:left="-523" w:leftChars="0" w:firstLine="523" w:firstLineChars="0"/>
              <w:jc w:val="left"/>
              <w:rPr>
                <w:rFonts w:hint="eastAsia"/>
                <w:lang w:val="en-US" w:eastAsia="zh-CN"/>
              </w:rPr>
            </w:pPr>
            <w:r>
              <w:rPr>
                <w:rFonts w:hint="eastAsia" w:eastAsia="宋体" w:cs="Times New Roman"/>
                <w:lang w:val="en-US" w:eastAsia="zh-CN"/>
              </w:rPr>
              <w:t>研制基于钠盐电池在电力配电网后备电源系统/样机</w:t>
            </w:r>
            <w:r>
              <w:rPr>
                <w:rFonts w:hint="eastAsia"/>
                <w:lang w:val="en-US" w:eastAsia="zh-CN"/>
              </w:rPr>
              <w:t>2套，实现配网后备蓄电池</w:t>
            </w:r>
            <w:r>
              <w:rPr>
                <w:rFonts w:hint="eastAsia" w:eastAsia="宋体" w:cs="Times New Roman"/>
                <w:lang w:val="en-US" w:eastAsia="zh-CN"/>
              </w:rPr>
              <w:t>钠盐电池应用</w:t>
            </w:r>
            <w:r>
              <w:rPr>
                <w:rFonts w:hint="eastAsia"/>
                <w:lang w:val="en-US" w:eastAsia="zh-CN"/>
              </w:rPr>
              <w:t>，实现状态参量及告警信号的上传功能；</w:t>
            </w:r>
          </w:p>
          <w:p>
            <w:pPr>
              <w:numPr>
                <w:ilvl w:val="0"/>
                <w:numId w:val="3"/>
              </w:numPr>
              <w:bidi w:val="0"/>
              <w:ind w:left="-523" w:leftChars="0" w:firstLine="523" w:firstLineChars="0"/>
              <w:jc w:val="left"/>
              <w:rPr>
                <w:rFonts w:hint="eastAsia"/>
                <w:lang w:val="en-US" w:eastAsia="zh-CN"/>
              </w:rPr>
            </w:pPr>
            <w:r>
              <w:rPr>
                <w:rFonts w:hint="eastAsia"/>
                <w:lang w:val="en-US" w:eastAsia="zh-CN"/>
              </w:rPr>
              <w:t>产品加工与测试报告一份、第三方测试报告1份；</w:t>
            </w:r>
          </w:p>
          <w:p>
            <w:pPr>
              <w:numPr>
                <w:ilvl w:val="0"/>
                <w:numId w:val="3"/>
              </w:numPr>
              <w:bidi w:val="0"/>
              <w:ind w:left="-523" w:leftChars="0" w:firstLine="523" w:firstLineChars="0"/>
              <w:jc w:val="left"/>
              <w:rPr>
                <w:rFonts w:hint="default" w:cs="Times New Roman"/>
                <w:kern w:val="2"/>
                <w:sz w:val="21"/>
                <w:szCs w:val="24"/>
                <w:lang w:val="en-US" w:eastAsia="zh-CN" w:bidi="ar-SA"/>
              </w:rPr>
            </w:pPr>
            <w:r>
              <w:rPr>
                <w:rFonts w:hint="eastAsia"/>
                <w:lang w:val="en-US" w:eastAsia="zh-CN"/>
              </w:rPr>
              <w:t>录用国家级中文科技论文</w:t>
            </w:r>
            <w:r>
              <w:rPr>
                <w:rFonts w:hint="default"/>
                <w:lang w:val="en-US" w:eastAsia="zh-CN"/>
              </w:rPr>
              <w:t>一篇</w:t>
            </w:r>
            <w:r>
              <w:rPr>
                <w:rFonts w:hint="eastAsia"/>
                <w:lang w:val="en-US" w:eastAsia="zh-CN"/>
              </w:rPr>
              <w:t>。</w:t>
            </w:r>
          </w:p>
          <w:p>
            <w:r>
              <w:rPr>
                <w:rFonts w:hint="eastAsia"/>
                <w:lang w:val="en-US" w:eastAsia="zh-CN"/>
              </w:rPr>
              <w:t>申请发明专利</w:t>
            </w:r>
            <w:r>
              <w:rPr>
                <w:rFonts w:hint="default"/>
                <w:lang w:val="en-US" w:eastAsia="zh-CN"/>
              </w:rPr>
              <w:t>一</w:t>
            </w:r>
            <w:r>
              <w:rPr>
                <w:rFonts w:hint="eastAsia"/>
                <w:lang w:val="en-US" w:eastAsia="zh-CN"/>
              </w:rPr>
              <w:t>项（项目执行期间进入受理阶段）。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b/>
                <w:bCs/>
              </w:rPr>
            </w:pPr>
            <w:r>
              <w:rPr>
                <w:rFonts w:hint="eastAsia"/>
                <w:b/>
                <w:bCs/>
              </w:rPr>
              <w:t>填写经费预算：（单位：万元）</w:t>
            </w:r>
          </w:p>
          <w:p>
            <w:pPr>
              <w:rPr>
                <w:rFonts w:hint="default" w:eastAsia="宋体"/>
                <w:lang w:val="en-US" w:eastAsia="zh-CN"/>
              </w:rPr>
            </w:pPr>
            <w:r>
              <w:rPr>
                <w:rFonts w:hint="eastAsia"/>
              </w:rPr>
              <w:t>材料费：</w:t>
            </w:r>
            <w:r>
              <w:rPr>
                <w:rFonts w:hint="eastAsia"/>
                <w:lang w:val="en-US" w:eastAsia="zh-CN"/>
              </w:rPr>
              <w:t>2.3</w:t>
            </w:r>
          </w:p>
          <w:p>
            <w:pPr>
              <w:rPr>
                <w:rFonts w:hint="default" w:eastAsia="宋体"/>
                <w:lang w:val="en-US" w:eastAsia="zh-CN"/>
              </w:rPr>
            </w:pPr>
            <w:r>
              <w:rPr>
                <w:rFonts w:hint="eastAsia"/>
              </w:rPr>
              <w:t>测试化验加工：</w:t>
            </w:r>
            <w:r>
              <w:rPr>
                <w:rFonts w:hint="eastAsia"/>
                <w:lang w:val="en-US" w:eastAsia="zh-CN"/>
              </w:rPr>
              <w:t>2.2</w:t>
            </w:r>
          </w:p>
          <w:p>
            <w:pPr>
              <w:rPr>
                <w:rFonts w:hint="eastAsia" w:eastAsia="宋体"/>
                <w:lang w:eastAsia="zh-CN"/>
              </w:rPr>
            </w:pPr>
            <w:r>
              <w:rPr>
                <w:rFonts w:hint="eastAsia"/>
              </w:rPr>
              <w:t>出版/文献/信息传播/知识产权事务费：</w:t>
            </w:r>
            <w:r>
              <w:rPr>
                <w:rFonts w:hint="eastAsia"/>
                <w:lang w:val="en-US" w:eastAsia="zh-CN"/>
              </w:rPr>
              <w:t>0</w:t>
            </w:r>
            <w:bookmarkStart w:id="0" w:name="_GoBack"/>
            <w:bookmarkEnd w:id="0"/>
          </w:p>
          <w:p>
            <w:r>
              <w:rPr>
                <w:rFonts w:hint="eastAsia"/>
              </w:rPr>
              <w:t>专家咨询费：</w:t>
            </w:r>
            <w:r>
              <w:rPr>
                <w:rFonts w:hint="eastAsia"/>
                <w:lang w:val="en-US" w:eastAsia="zh-CN"/>
              </w:rPr>
              <w:t>0</w:t>
            </w:r>
            <w:r>
              <w:rPr>
                <w:rFonts w:hint="eastAsia"/>
              </w:rPr>
              <w:t>劳费：</w:t>
            </w:r>
            <w:r>
              <w:t>0</w:t>
            </w:r>
          </w:p>
          <w:p>
            <w:r>
              <w:rPr>
                <w:rFonts w:hint="eastAsia"/>
              </w:rPr>
              <w:t>管理费：0</w:t>
            </w:r>
          </w:p>
          <w:p>
            <w:pPr>
              <w:rPr>
                <w:rFonts w:ascii="Times New Roman" w:hAnsi="Times New Roman" w:eastAsia="Times New Roman"/>
                <w:snapToGrid w:val="0"/>
                <w:color w:val="000000"/>
                <w:w w:val="0"/>
                <w:kern w:val="0"/>
                <w:sz w:val="0"/>
                <w:szCs w:val="0"/>
                <w:u w:color="000000"/>
                <w:shd w:val="clear" w:color="000000" w:fill="000000"/>
                <w:lang w:val="zh-CN" w:eastAsia="zh-CN" w:bidi="zh-CN"/>
              </w:rPr>
            </w:pPr>
            <w:r>
              <w:rPr>
                <w:rFonts w:ascii="Times New Roman" w:hAnsi="Times New Roman" w:eastAsia="Times New Roman"/>
                <w:snapToGrid w:val="0"/>
                <w:color w:val="000000"/>
                <w:w w:val="0"/>
                <w:kern w:val="0"/>
                <w:sz w:val="0"/>
                <w:szCs w:val="0"/>
                <w:u w:color="000000"/>
                <w:shd w:val="clear" w:color="000000" w:fill="000000"/>
                <w:lang w:val="zh-CN" w:eastAsia="zh-CN" w:bidi="zh-CN"/>
              </w:rPr>
              <w:t xml:space="preserve"> </w:t>
            </w:r>
          </w:p>
          <w:p>
            <w:pPr>
              <w:rPr>
                <w:rFonts w:ascii="宋体" w:hAnsi="宋体" w:cs="宋体"/>
                <w:snapToGrid w:val="0"/>
                <w:color w:val="000000"/>
                <w:w w:val="0"/>
                <w:kern w:val="0"/>
                <w:u w:color="000000"/>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b/>
                <w:bCs/>
              </w:rPr>
            </w:pPr>
            <w:r>
              <w:rPr>
                <w:rFonts w:hint="eastAsia"/>
                <w:b/>
                <w:bCs/>
              </w:rPr>
              <w:t>填写关键字：</w:t>
            </w:r>
          </w:p>
          <w:p>
            <w:pPr>
              <w:rPr>
                <w:b/>
                <w:bCs/>
              </w:rPr>
            </w:pPr>
            <w:r>
              <w:rPr>
                <w:rFonts w:hint="eastAsia" w:cs="Times New Roman"/>
                <w:kern w:val="2"/>
                <w:sz w:val="21"/>
                <w:szCs w:val="24"/>
                <w:lang w:val="en-US" w:eastAsia="zh-CN" w:bidi="ar-SA"/>
              </w:rPr>
              <w:t>后备电源</w:t>
            </w:r>
            <w:r>
              <w:rPr>
                <w:rFonts w:hint="eastAsia"/>
                <w:b/>
                <w:bCs/>
              </w:rPr>
              <w:t xml:space="preserve"> </w:t>
            </w:r>
            <w:r>
              <w:rPr>
                <w:b/>
                <w:bCs/>
              </w:rPr>
              <w:t xml:space="preserve"> </w:t>
            </w:r>
            <w:r>
              <w:rPr>
                <w:rFonts w:hint="default" w:eastAsia="宋体" w:cs="Times New Roman"/>
                <w:kern w:val="2"/>
                <w:sz w:val="21"/>
                <w:szCs w:val="24"/>
                <w:lang w:val="en-US" w:eastAsia="zh-CN" w:bidi="ar-SA"/>
              </w:rPr>
              <w:t>钠盐</w:t>
            </w:r>
            <w:r>
              <w:rPr>
                <w:rFonts w:hint="eastAsia"/>
                <w:b/>
                <w:bCs/>
              </w:rPr>
              <w:t xml:space="preserve"> </w:t>
            </w:r>
            <w:r>
              <w:rPr>
                <w:b/>
                <w:bCs/>
              </w:rPr>
              <w:t xml:space="preserve"> </w:t>
            </w:r>
          </w:p>
          <w:p>
            <w:pPr>
              <w:rPr>
                <w:b/>
                <w:bCs/>
              </w:rPr>
            </w:pPr>
          </w:p>
        </w:tc>
      </w:tr>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B0F474"/>
    <w:multiLevelType w:val="singleLevel"/>
    <w:tmpl w:val="A6B0F474"/>
    <w:lvl w:ilvl="0" w:tentative="0">
      <w:start w:val="1"/>
      <w:numFmt w:val="decimal"/>
      <w:suff w:val="nothing"/>
      <w:lvlText w:val="（%1）"/>
      <w:lvlJc w:val="left"/>
    </w:lvl>
  </w:abstractNum>
  <w:abstractNum w:abstractNumId="1">
    <w:nsid w:val="2B82AFCC"/>
    <w:multiLevelType w:val="singleLevel"/>
    <w:tmpl w:val="2B82AFCC"/>
    <w:lvl w:ilvl="0" w:tentative="0">
      <w:start w:val="1"/>
      <w:numFmt w:val="decimal"/>
      <w:suff w:val="nothing"/>
      <w:lvlText w:val="（%1）"/>
      <w:lvlJc w:val="left"/>
    </w:lvl>
  </w:abstractNum>
  <w:abstractNum w:abstractNumId="2">
    <w:nsid w:val="2E27F289"/>
    <w:multiLevelType w:val="singleLevel"/>
    <w:tmpl w:val="2E27F289"/>
    <w:lvl w:ilvl="0" w:tentative="0">
      <w:start w:val="1"/>
      <w:numFmt w:val="decimal"/>
      <w:suff w:val="nothing"/>
      <w:lvlText w:val="%1、"/>
      <w:lvlJc w:val="left"/>
      <w:pPr>
        <w:ind w:left="-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626045"/>
    <w:rsid w:val="5E626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Calibri" w:hAnsi="Calibri" w:eastAsia="宋体" w:cs="Times New Roman"/>
      <w:kern w:val="2"/>
      <w:sz w:val="24"/>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style01"/>
    <w:basedOn w:val="4"/>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2025-12-05T06:50:00Z</dcterms:created>
  <dc:creator>宋传峰</dc:creator>
  <cp:lastModifiedBy>宋传峰</cp:lastModifiedBy>
  <dcterms:modified xsi:type="dcterms:W3CDTF">2025-12-05T06:54:02Z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FCC7D494F98044DA84B269E6CA919B51</vt:lpwstr>
  </property>
</Properties>
</file>