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20" w:lineRule="auto"/>
        <w:jc w:val="right"/>
        <w:rPr>
          <w:rFonts w:ascii="楷体_GB2312" w:eastAsia="楷体_GB2312"/>
          <w:sz w:val="52"/>
          <w:szCs w:val="22"/>
          <w:highlight w:val="none"/>
        </w:rPr>
      </w:pPr>
      <w:bookmarkStart w:id="0" w:name="工程名称B"/>
      <w:r>
        <w:rPr>
          <w:rFonts w:eastAsia="黑体"/>
          <w:b/>
          <w:color w:val="auto"/>
          <w:sz w:val="72"/>
          <w:szCs w:val="22"/>
          <w:highlight w:val="none"/>
        </w:rPr>
        <w:drawing>
          <wp:anchor distT="0" distB="0" distL="114300" distR="114300" simplePos="0" relativeHeight="251660288" behindDoc="1" locked="0" layoutInCell="1" allowOverlap="1">
            <wp:simplePos x="0" y="0"/>
            <wp:positionH relativeFrom="column">
              <wp:posOffset>-906780</wp:posOffset>
            </wp:positionH>
            <wp:positionV relativeFrom="paragraph">
              <wp:posOffset>-899795</wp:posOffset>
            </wp:positionV>
            <wp:extent cx="7701280" cy="2364105"/>
            <wp:effectExtent l="0" t="0" r="13970" b="17145"/>
            <wp:wrapTight wrapText="bothSides">
              <wp:wrapPolygon>
                <wp:start x="0" y="0"/>
                <wp:lineTo x="0" y="21409"/>
                <wp:lineTo x="21532" y="21409"/>
                <wp:lineTo x="21532" y="0"/>
                <wp:lineTo x="0" y="0"/>
              </wp:wrapPolygon>
            </wp:wrapTight>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13"/>
                    <a:stretch>
                      <a:fillRect/>
                    </a:stretch>
                  </pic:blipFill>
                  <pic:spPr>
                    <a:xfrm>
                      <a:off x="0" y="0"/>
                      <a:ext cx="7701280" cy="2364105"/>
                    </a:xfrm>
                    <a:prstGeom prst="rect">
                      <a:avLst/>
                    </a:prstGeom>
                    <a:noFill/>
                    <a:ln>
                      <a:noFill/>
                    </a:ln>
                  </pic:spPr>
                </pic:pic>
              </a:graphicData>
            </a:graphic>
          </wp:anchor>
        </w:drawing>
      </w:r>
    </w:p>
    <w:p>
      <w:pPr>
        <w:spacing w:before="0" w:beforeLines="-2147483648" w:line="360" w:lineRule="auto"/>
        <w:ind w:left="65" w:leftChars="31"/>
        <w:jc w:val="center"/>
        <w:rPr>
          <w:rFonts w:hint="eastAsia" w:ascii="黑体" w:hAnsi="黑体" w:eastAsia="黑体"/>
          <w:b/>
          <w:sz w:val="32"/>
          <w:szCs w:val="22"/>
          <w:highlight w:val="none"/>
          <w:lang w:eastAsia="zh-CN"/>
        </w:rPr>
      </w:pPr>
      <w:r>
        <w:rPr>
          <w:rFonts w:hint="eastAsia" w:ascii="黑体" w:hAnsi="黑体" w:eastAsia="黑体" w:cs="Times New Roman"/>
          <w:b/>
          <w:bCs w:val="0"/>
          <w:i w:val="0"/>
          <w:color w:val="auto"/>
          <w:sz w:val="48"/>
          <w:szCs w:val="21"/>
          <w:highlight w:val="none"/>
          <w:u w:val="none"/>
          <w:lang w:val="en-US" w:eastAsia="zh-CN"/>
        </w:rPr>
        <w:t>2025-2026年南网数字运营软件科技（广东）有限公司数字产业技术业务用房（深圳）项目可行性研究报告咨询服务采购项目</w:t>
      </w:r>
      <w:r>
        <w:rPr>
          <w:rFonts w:hint="eastAsia" w:ascii="黑体" w:hAnsi="黑体" w:eastAsia="黑体"/>
          <w:b/>
          <w:sz w:val="48"/>
          <w:szCs w:val="21"/>
          <w:highlight w:val="none"/>
        </w:rPr>
        <w:t>技术规范书</w:t>
      </w:r>
    </w:p>
    <w:p>
      <w:pPr>
        <w:spacing w:before="624" w:beforeLines="200" w:line="0" w:lineRule="atLeast"/>
        <w:ind w:firstLine="0" w:firstLineChars="0"/>
        <w:jc w:val="both"/>
        <w:rPr>
          <w:rFonts w:hint="eastAsia" w:ascii="黑体" w:hAnsi="黑体" w:eastAsia="黑体"/>
          <w:b/>
          <w:sz w:val="32"/>
          <w:szCs w:val="22"/>
          <w:highlight w:val="none"/>
          <w:lang w:eastAsia="zh-CN"/>
        </w:rPr>
      </w:pPr>
    </w:p>
    <w:p>
      <w:pPr>
        <w:spacing w:before="624" w:beforeLines="200" w:line="0" w:lineRule="atLeast"/>
        <w:ind w:firstLine="0" w:firstLineChars="0"/>
        <w:jc w:val="both"/>
        <w:rPr>
          <w:rFonts w:hint="eastAsia" w:ascii="黑体" w:hAnsi="黑体" w:eastAsia="黑体"/>
          <w:b/>
          <w:sz w:val="32"/>
          <w:szCs w:val="22"/>
          <w:highlight w:val="none"/>
          <w:lang w:eastAsia="zh-CN"/>
        </w:rPr>
      </w:pPr>
    </w:p>
    <w:p>
      <w:pPr>
        <w:spacing w:before="624" w:beforeLines="200" w:line="0" w:lineRule="atLeast"/>
        <w:ind w:firstLine="1928" w:firstLineChars="600"/>
        <w:jc w:val="both"/>
        <w:rPr>
          <w:rFonts w:hint="eastAsia" w:ascii="黑体" w:hAnsi="黑体" w:eastAsia="黑体"/>
          <w:b/>
          <w:sz w:val="32"/>
          <w:szCs w:val="22"/>
          <w:highlight w:val="none"/>
        </w:rPr>
      </w:pPr>
      <w:r>
        <w:rPr>
          <w:rFonts w:hint="eastAsia" w:ascii="黑体" w:hAnsi="黑体" w:eastAsia="黑体"/>
          <w:b/>
          <w:sz w:val="32"/>
          <w:szCs w:val="22"/>
          <w:highlight w:val="none"/>
          <w:lang w:eastAsia="zh-CN"/>
        </w:rPr>
        <w:t>批准</w:t>
      </w:r>
      <w:r>
        <w:rPr>
          <w:rFonts w:hint="eastAsia" w:ascii="黑体" w:hAnsi="黑体" w:eastAsia="黑体"/>
          <w:b/>
          <w:sz w:val="32"/>
          <w:szCs w:val="22"/>
          <w:highlight w:val="none"/>
        </w:rPr>
        <w:t>：</w:t>
      </w:r>
    </w:p>
    <w:p>
      <w:pPr>
        <w:spacing w:before="624" w:beforeLines="200" w:line="0" w:lineRule="atLeast"/>
        <w:ind w:firstLine="1928" w:firstLineChars="600"/>
        <w:jc w:val="left"/>
        <w:rPr>
          <w:rFonts w:hint="eastAsia" w:ascii="黑体" w:hAnsi="黑体" w:eastAsia="黑体"/>
          <w:b/>
          <w:sz w:val="32"/>
          <w:szCs w:val="22"/>
          <w:highlight w:val="none"/>
        </w:rPr>
      </w:pPr>
      <w:r>
        <w:rPr>
          <w:rFonts w:hint="eastAsia" w:ascii="黑体" w:hAnsi="黑体" w:eastAsia="黑体"/>
          <w:b/>
          <w:sz w:val="32"/>
          <w:szCs w:val="22"/>
          <w:highlight w:val="none"/>
          <w:lang w:eastAsia="zh-CN"/>
        </w:rPr>
        <w:t>审核</w:t>
      </w:r>
      <w:r>
        <w:rPr>
          <w:rFonts w:hint="eastAsia" w:ascii="黑体" w:hAnsi="黑体" w:eastAsia="黑体"/>
          <w:b/>
          <w:sz w:val="32"/>
          <w:szCs w:val="22"/>
          <w:highlight w:val="none"/>
        </w:rPr>
        <w:t>：</w:t>
      </w:r>
    </w:p>
    <w:p>
      <w:pPr>
        <w:spacing w:before="624" w:beforeLines="200" w:line="0" w:lineRule="atLeast"/>
        <w:ind w:firstLine="1928" w:firstLineChars="600"/>
        <w:jc w:val="left"/>
        <w:rPr>
          <w:rFonts w:hint="eastAsia" w:ascii="黑体" w:hAnsi="黑体" w:eastAsia="黑体"/>
          <w:b/>
          <w:sz w:val="32"/>
          <w:szCs w:val="22"/>
          <w:highlight w:val="none"/>
          <w:lang w:eastAsia="zh-CN"/>
        </w:rPr>
      </w:pPr>
      <w:r>
        <w:rPr>
          <w:rFonts w:hint="eastAsia" w:ascii="黑体" w:hAnsi="黑体" w:eastAsia="黑体"/>
          <w:b/>
          <w:sz w:val="32"/>
          <w:szCs w:val="22"/>
          <w:highlight w:val="none"/>
          <w:lang w:eastAsia="zh-CN"/>
        </w:rPr>
        <w:t>编制：</w:t>
      </w:r>
    </w:p>
    <w:p>
      <w:pPr>
        <w:spacing w:before="624" w:beforeLines="200" w:line="0" w:lineRule="atLeast"/>
        <w:ind w:firstLine="1928" w:firstLineChars="600"/>
        <w:jc w:val="left"/>
        <w:rPr>
          <w:rFonts w:hint="eastAsia" w:ascii="黑体" w:hAnsi="黑体" w:eastAsia="黑体"/>
          <w:b/>
          <w:sz w:val="32"/>
          <w:szCs w:val="22"/>
          <w:highlight w:val="none"/>
          <w:lang w:eastAsia="zh-CN"/>
        </w:rPr>
      </w:pPr>
    </w:p>
    <w:p>
      <w:pPr>
        <w:spacing w:before="624" w:beforeLines="200" w:line="0" w:lineRule="atLeast"/>
        <w:jc w:val="center"/>
        <w:outlineLvl w:val="0"/>
        <w:rPr>
          <w:rFonts w:hint="eastAsia" w:ascii="黑体" w:hAnsi="黑体" w:eastAsia="黑体"/>
          <w:b/>
          <w:sz w:val="32"/>
          <w:szCs w:val="22"/>
          <w:highlight w:val="none"/>
        </w:rPr>
      </w:pPr>
      <w:r>
        <w:rPr>
          <w:rFonts w:hint="eastAsia" w:ascii="黑体" w:hAnsi="黑体" w:eastAsia="黑体"/>
          <w:b/>
          <w:sz w:val="32"/>
          <w:szCs w:val="22"/>
          <w:highlight w:val="none"/>
        </w:rPr>
        <w:t>南网数字</w:t>
      </w:r>
      <w:r>
        <w:rPr>
          <w:rFonts w:hint="eastAsia" w:ascii="黑体" w:hAnsi="黑体" w:eastAsia="黑体"/>
          <w:b/>
          <w:sz w:val="32"/>
          <w:szCs w:val="22"/>
          <w:highlight w:val="none"/>
          <w:lang w:val="en-US" w:eastAsia="zh-CN"/>
        </w:rPr>
        <w:t>运营软件</w:t>
      </w:r>
      <w:r>
        <w:rPr>
          <w:rFonts w:hint="eastAsia" w:ascii="黑体" w:hAnsi="黑体" w:eastAsia="黑体"/>
          <w:b/>
          <w:sz w:val="32"/>
          <w:szCs w:val="22"/>
          <w:highlight w:val="none"/>
        </w:rPr>
        <w:t>科技（广东）有限公司</w:t>
      </w:r>
    </w:p>
    <w:p>
      <w:pPr>
        <w:spacing w:line="360" w:lineRule="auto"/>
        <w:jc w:val="center"/>
        <w:outlineLvl w:val="0"/>
        <w:rPr>
          <w:rFonts w:hint="eastAsia" w:ascii="黑体" w:hAnsi="黑体" w:eastAsia="黑体"/>
          <w:b/>
          <w:sz w:val="32"/>
          <w:szCs w:val="22"/>
          <w:highlight w:val="none"/>
        </w:rPr>
      </w:pPr>
      <w:r>
        <w:rPr>
          <w:rFonts w:hint="eastAsia" w:ascii="黑体" w:hAnsi="黑体" w:eastAsia="黑体"/>
          <w:b/>
          <w:sz w:val="32"/>
          <w:szCs w:val="22"/>
          <w:highlight w:val="none"/>
        </w:rPr>
        <w:t>20</w:t>
      </w:r>
      <w:r>
        <w:rPr>
          <w:rFonts w:hint="eastAsia" w:ascii="黑体" w:hAnsi="黑体" w:eastAsia="黑体"/>
          <w:b/>
          <w:sz w:val="32"/>
          <w:szCs w:val="22"/>
          <w:highlight w:val="none"/>
          <w:lang w:val="en-US" w:eastAsia="zh-CN"/>
        </w:rPr>
        <w:t>25</w:t>
      </w:r>
      <w:r>
        <w:rPr>
          <w:rFonts w:hint="eastAsia" w:ascii="黑体" w:hAnsi="黑体" w:eastAsia="黑体"/>
          <w:b/>
          <w:sz w:val="32"/>
          <w:szCs w:val="22"/>
          <w:highlight w:val="none"/>
        </w:rPr>
        <w:t>年</w:t>
      </w:r>
      <w:r>
        <w:rPr>
          <w:rFonts w:hint="eastAsia" w:ascii="黑体" w:hAnsi="黑体" w:eastAsia="黑体"/>
          <w:b/>
          <w:sz w:val="32"/>
          <w:szCs w:val="22"/>
          <w:highlight w:val="none"/>
          <w:lang w:val="en-US" w:eastAsia="zh-CN"/>
        </w:rPr>
        <w:t>12</w:t>
      </w:r>
      <w:r>
        <w:rPr>
          <w:rFonts w:hint="eastAsia" w:ascii="黑体" w:hAnsi="黑体" w:eastAsia="黑体"/>
          <w:b/>
          <w:sz w:val="32"/>
          <w:szCs w:val="22"/>
          <w:highlight w:val="none"/>
        </w:rPr>
        <w:t xml:space="preserve">月 </w:t>
      </w:r>
    </w:p>
    <w:p>
      <w:pPr>
        <w:pStyle w:val="13"/>
        <w:rPr>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797" w:bottom="1440" w:left="1797" w:header="851" w:footer="992" w:gutter="0"/>
          <w:pgNumType w:fmt="decimal" w:start="1"/>
          <w:cols w:space="720" w:num="1"/>
          <w:docGrid w:type="lines" w:linePitch="312" w:charSpace="0"/>
        </w:sectPr>
      </w:pPr>
    </w:p>
    <w:bookmarkEnd w:id="0"/>
    <w:p>
      <w:pPr>
        <w:numPr>
          <w:ilvl w:val="0"/>
          <w:numId w:val="0"/>
        </w:numPr>
        <w:autoSpaceDE w:val="0"/>
        <w:autoSpaceDN w:val="0"/>
        <w:adjustRightInd w:val="0"/>
        <w:spacing w:line="360" w:lineRule="auto"/>
        <w:jc w:val="left"/>
        <w:outlineLvl w:val="0"/>
        <w:rPr>
          <w:rFonts w:hint="eastAsia" w:ascii="宋体" w:hAnsi="宋体" w:eastAsia="宋体" w:cs="宋体"/>
          <w:b/>
          <w:kern w:val="0"/>
          <w:sz w:val="32"/>
          <w:szCs w:val="32"/>
          <w:highlight w:val="none"/>
          <w:lang w:val="en-US" w:eastAsia="zh-CN"/>
        </w:rPr>
      </w:pPr>
      <w:r>
        <w:rPr>
          <w:rFonts w:hint="eastAsia" w:ascii="宋体" w:hAnsi="宋体" w:eastAsia="宋体" w:cs="宋体"/>
          <w:b/>
          <w:kern w:val="0"/>
          <w:sz w:val="32"/>
          <w:szCs w:val="32"/>
          <w:highlight w:val="none"/>
          <w:lang w:val="en-US" w:eastAsia="zh-CN"/>
        </w:rPr>
        <w:t>一、总则</w:t>
      </w:r>
    </w:p>
    <w:p>
      <w:pPr>
        <w:pStyle w:val="23"/>
        <w:numPr>
          <w:ilvl w:val="1"/>
          <w:numId w:val="0"/>
        </w:numPr>
        <w:spacing w:before="156" w:after="156" w:line="360" w:lineRule="auto"/>
        <w:ind w:left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1.1概述</w:t>
      </w:r>
    </w:p>
    <w:p>
      <w:pPr>
        <w:numPr>
          <w:ilvl w:val="0"/>
          <w:numId w:val="0"/>
        </w:numPr>
        <w:spacing w:line="360" w:lineRule="auto"/>
        <w:ind w:firstLine="425"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1、本招标文件适用于2025-2026年南网数字运营软件科技（广东）有限公司数字产业技术业务用房（深圳）项目可行性研究报告咨询项目采购。本采购文件的所有解释权归南网数字运营软件科技（广东）有限公司。</w:t>
      </w:r>
    </w:p>
    <w:p>
      <w:pPr>
        <w:numPr>
          <w:ilvl w:val="0"/>
          <w:numId w:val="0"/>
        </w:numPr>
        <w:spacing w:line="360" w:lineRule="auto"/>
        <w:ind w:firstLine="425"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2、本招标文件提出了本次采购项目的技术要求，可供投标方应答之用。</w:t>
      </w:r>
    </w:p>
    <w:p>
      <w:pPr>
        <w:numPr>
          <w:ilvl w:val="0"/>
          <w:numId w:val="0"/>
        </w:numPr>
        <w:spacing w:line="360" w:lineRule="auto"/>
        <w:ind w:firstLine="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投标方</w:t>
      </w:r>
      <w:r>
        <w:rPr>
          <w:rFonts w:hint="eastAsia" w:ascii="宋体" w:hAnsi="宋体" w:eastAsia="宋体" w:cs="宋体"/>
          <w:sz w:val="24"/>
          <w:szCs w:val="24"/>
          <w:highlight w:val="none"/>
        </w:rPr>
        <w:t>应按照本</w:t>
      </w:r>
      <w:r>
        <w:rPr>
          <w:rFonts w:hint="eastAsia" w:ascii="宋体" w:hAnsi="宋体" w:eastAsia="宋体" w:cs="宋体"/>
          <w:sz w:val="24"/>
          <w:szCs w:val="24"/>
          <w:highlight w:val="none"/>
          <w:lang w:eastAsia="zh-CN"/>
        </w:rPr>
        <w:t>招标文件</w:t>
      </w:r>
      <w:r>
        <w:rPr>
          <w:rFonts w:hint="eastAsia" w:ascii="宋体" w:hAnsi="宋体" w:eastAsia="宋体" w:cs="宋体"/>
          <w:sz w:val="24"/>
          <w:szCs w:val="24"/>
          <w:highlight w:val="none"/>
        </w:rPr>
        <w:t>的要求</w:t>
      </w:r>
      <w:r>
        <w:rPr>
          <w:rFonts w:hint="eastAsia" w:ascii="宋体" w:hAnsi="宋体" w:cs="宋体"/>
          <w:sz w:val="24"/>
          <w:szCs w:val="24"/>
          <w:highlight w:val="none"/>
          <w:lang w:val="en-US" w:eastAsia="zh-CN"/>
        </w:rPr>
        <w:t>进行响应</w:t>
      </w:r>
      <w:r>
        <w:rPr>
          <w:rFonts w:hint="eastAsia" w:ascii="宋体" w:hAnsi="宋体" w:eastAsia="宋体" w:cs="宋体"/>
          <w:sz w:val="24"/>
          <w:szCs w:val="24"/>
          <w:highlight w:val="none"/>
        </w:rPr>
        <w:t>。该技术投标书应完全满足或高于本</w:t>
      </w:r>
      <w:r>
        <w:rPr>
          <w:rFonts w:hint="eastAsia" w:ascii="宋体" w:hAnsi="宋体" w:eastAsia="宋体" w:cs="宋体"/>
          <w:sz w:val="24"/>
          <w:szCs w:val="24"/>
          <w:highlight w:val="none"/>
          <w:lang w:eastAsia="zh-CN"/>
        </w:rPr>
        <w:t>招标文件</w:t>
      </w:r>
      <w:r>
        <w:rPr>
          <w:rFonts w:hint="eastAsia" w:ascii="宋体" w:hAnsi="宋体" w:eastAsia="宋体" w:cs="宋体"/>
          <w:sz w:val="24"/>
          <w:szCs w:val="24"/>
          <w:highlight w:val="none"/>
        </w:rPr>
        <w:t>要求，对于本</w:t>
      </w:r>
      <w:r>
        <w:rPr>
          <w:rFonts w:hint="eastAsia" w:ascii="宋体" w:hAnsi="宋体" w:eastAsia="宋体" w:cs="宋体"/>
          <w:sz w:val="24"/>
          <w:szCs w:val="24"/>
          <w:highlight w:val="none"/>
          <w:lang w:eastAsia="zh-CN"/>
        </w:rPr>
        <w:t>招标文件</w:t>
      </w:r>
      <w:r>
        <w:rPr>
          <w:rFonts w:hint="eastAsia" w:ascii="宋体" w:hAnsi="宋体" w:eastAsia="宋体" w:cs="宋体"/>
          <w:sz w:val="24"/>
          <w:szCs w:val="24"/>
          <w:highlight w:val="none"/>
        </w:rPr>
        <w:t>中的某些部分，</w:t>
      </w:r>
      <w:r>
        <w:rPr>
          <w:rFonts w:hint="eastAsia" w:ascii="宋体" w:hAnsi="宋体" w:eastAsia="宋体" w:cs="宋体"/>
          <w:sz w:val="24"/>
          <w:szCs w:val="24"/>
          <w:highlight w:val="none"/>
          <w:lang w:eastAsia="zh-CN"/>
        </w:rPr>
        <w:t>投标方</w:t>
      </w:r>
      <w:r>
        <w:rPr>
          <w:rFonts w:hint="eastAsia" w:ascii="宋体" w:hAnsi="宋体" w:eastAsia="宋体" w:cs="宋体"/>
          <w:sz w:val="24"/>
          <w:szCs w:val="24"/>
          <w:highlight w:val="none"/>
        </w:rPr>
        <w:t>如不能满足要求，或有其它替代方案，或有其它修改建议，应在</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承诺函</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中指出其必须进行修改的理由以及与原要求的差别，否则，</w:t>
      </w:r>
      <w:r>
        <w:rPr>
          <w:rFonts w:hint="eastAsia" w:ascii="宋体" w:hAnsi="宋体" w:eastAsia="宋体" w:cs="宋体"/>
          <w:sz w:val="24"/>
          <w:szCs w:val="24"/>
          <w:highlight w:val="none"/>
          <w:lang w:eastAsia="zh-CN"/>
        </w:rPr>
        <w:t>招标方</w:t>
      </w:r>
      <w:r>
        <w:rPr>
          <w:rFonts w:hint="eastAsia" w:ascii="宋体" w:hAnsi="宋体" w:eastAsia="宋体" w:cs="宋体"/>
          <w:sz w:val="24"/>
          <w:szCs w:val="24"/>
          <w:highlight w:val="none"/>
        </w:rPr>
        <w:t>即认为</w:t>
      </w:r>
      <w:r>
        <w:rPr>
          <w:rFonts w:hint="eastAsia" w:ascii="宋体" w:hAnsi="宋体" w:eastAsia="宋体" w:cs="宋体"/>
          <w:sz w:val="24"/>
          <w:szCs w:val="24"/>
          <w:highlight w:val="none"/>
          <w:lang w:eastAsia="zh-CN"/>
        </w:rPr>
        <w:t>投标方</w:t>
      </w:r>
      <w:r>
        <w:rPr>
          <w:rFonts w:hint="eastAsia" w:ascii="宋体" w:hAnsi="宋体" w:eastAsia="宋体" w:cs="宋体"/>
          <w:sz w:val="24"/>
          <w:szCs w:val="24"/>
          <w:highlight w:val="none"/>
        </w:rPr>
        <w:t>可以满足本</w:t>
      </w:r>
      <w:r>
        <w:rPr>
          <w:rFonts w:hint="eastAsia" w:ascii="宋体" w:hAnsi="宋体" w:eastAsia="宋体" w:cs="宋体"/>
          <w:sz w:val="24"/>
          <w:szCs w:val="24"/>
          <w:highlight w:val="none"/>
          <w:lang w:eastAsia="zh-CN"/>
        </w:rPr>
        <w:t>招标文件</w:t>
      </w:r>
      <w:r>
        <w:rPr>
          <w:rFonts w:hint="eastAsia" w:ascii="宋体" w:hAnsi="宋体" w:eastAsia="宋体" w:cs="宋体"/>
          <w:sz w:val="24"/>
          <w:szCs w:val="24"/>
          <w:highlight w:val="none"/>
        </w:rPr>
        <w:t>的要求。</w:t>
      </w:r>
    </w:p>
    <w:p>
      <w:pPr>
        <w:numPr>
          <w:ilvl w:val="0"/>
          <w:numId w:val="0"/>
        </w:numPr>
        <w:spacing w:line="360" w:lineRule="auto"/>
        <w:ind w:firstLine="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投标人提交的项目交付物要求符合技术要求。</w:t>
      </w:r>
    </w:p>
    <w:p>
      <w:pPr>
        <w:numPr>
          <w:ilvl w:val="0"/>
          <w:numId w:val="0"/>
        </w:numPr>
        <w:spacing w:line="360" w:lineRule="auto"/>
        <w:ind w:firstLine="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投标方</w:t>
      </w:r>
      <w:r>
        <w:rPr>
          <w:rFonts w:hint="eastAsia" w:ascii="宋体" w:hAnsi="宋体" w:eastAsia="宋体" w:cs="宋体"/>
          <w:sz w:val="24"/>
          <w:szCs w:val="24"/>
          <w:highlight w:val="none"/>
        </w:rPr>
        <w:t>可以就</w:t>
      </w:r>
      <w:r>
        <w:rPr>
          <w:rFonts w:hint="eastAsia" w:ascii="宋体" w:hAnsi="宋体" w:eastAsia="宋体" w:cs="宋体"/>
          <w:sz w:val="24"/>
          <w:szCs w:val="24"/>
          <w:highlight w:val="none"/>
          <w:lang w:eastAsia="zh-CN"/>
        </w:rPr>
        <w:t>投标方</w:t>
      </w:r>
      <w:r>
        <w:rPr>
          <w:rFonts w:hint="eastAsia" w:ascii="宋体" w:hAnsi="宋体" w:eastAsia="宋体" w:cs="宋体"/>
          <w:sz w:val="24"/>
          <w:szCs w:val="24"/>
          <w:highlight w:val="none"/>
        </w:rPr>
        <w:t>认为的遗漏项目提请</w:t>
      </w:r>
      <w:r>
        <w:rPr>
          <w:rFonts w:hint="eastAsia" w:ascii="宋体" w:hAnsi="宋体" w:eastAsia="宋体" w:cs="宋体"/>
          <w:sz w:val="24"/>
          <w:szCs w:val="24"/>
          <w:highlight w:val="none"/>
          <w:lang w:eastAsia="zh-CN"/>
        </w:rPr>
        <w:t>招标方</w:t>
      </w:r>
      <w:r>
        <w:rPr>
          <w:rFonts w:hint="eastAsia" w:ascii="宋体" w:hAnsi="宋体" w:eastAsia="宋体" w:cs="宋体"/>
          <w:sz w:val="24"/>
          <w:szCs w:val="24"/>
          <w:highlight w:val="none"/>
        </w:rPr>
        <w:t>注意，并详细说明理由。</w:t>
      </w:r>
      <w:r>
        <w:rPr>
          <w:rFonts w:hint="eastAsia" w:ascii="宋体" w:hAnsi="宋体" w:eastAsia="宋体" w:cs="宋体"/>
          <w:sz w:val="24"/>
          <w:szCs w:val="24"/>
          <w:highlight w:val="none"/>
          <w:lang w:eastAsia="zh-CN"/>
        </w:rPr>
        <w:t>招标方</w:t>
      </w:r>
      <w:r>
        <w:rPr>
          <w:rFonts w:hint="eastAsia" w:ascii="宋体" w:hAnsi="宋体" w:eastAsia="宋体" w:cs="宋体"/>
          <w:sz w:val="24"/>
          <w:szCs w:val="24"/>
          <w:highlight w:val="none"/>
        </w:rPr>
        <w:t>将就此进行澄清。</w:t>
      </w:r>
    </w:p>
    <w:p>
      <w:pPr>
        <w:numPr>
          <w:ilvl w:val="0"/>
          <w:numId w:val="0"/>
        </w:numPr>
        <w:spacing w:line="360" w:lineRule="auto"/>
        <w:ind w:firstLine="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投标方</w:t>
      </w:r>
      <w:r>
        <w:rPr>
          <w:rFonts w:hint="eastAsia" w:ascii="宋体" w:hAnsi="宋体" w:eastAsia="宋体" w:cs="宋体"/>
          <w:sz w:val="24"/>
          <w:szCs w:val="24"/>
          <w:highlight w:val="none"/>
        </w:rPr>
        <w:t>应保证所提供的所有资料真实、完整、准确无误，否则</w:t>
      </w:r>
      <w:r>
        <w:rPr>
          <w:rFonts w:hint="eastAsia" w:ascii="宋体" w:hAnsi="宋体" w:eastAsia="宋体" w:cs="宋体"/>
          <w:sz w:val="24"/>
          <w:szCs w:val="24"/>
          <w:highlight w:val="none"/>
          <w:lang w:eastAsia="zh-CN"/>
        </w:rPr>
        <w:t>招标方</w:t>
      </w:r>
      <w:r>
        <w:rPr>
          <w:rFonts w:hint="eastAsia" w:ascii="宋体" w:hAnsi="宋体" w:eastAsia="宋体" w:cs="宋体"/>
          <w:sz w:val="24"/>
          <w:szCs w:val="24"/>
          <w:highlight w:val="none"/>
        </w:rPr>
        <w:t>将有权取消</w:t>
      </w:r>
      <w:r>
        <w:rPr>
          <w:rFonts w:hint="eastAsia" w:ascii="宋体" w:hAnsi="宋体" w:eastAsia="宋体" w:cs="宋体"/>
          <w:sz w:val="24"/>
          <w:szCs w:val="24"/>
          <w:highlight w:val="none"/>
          <w:lang w:eastAsia="zh-CN"/>
        </w:rPr>
        <w:t>投标方</w:t>
      </w:r>
      <w:r>
        <w:rPr>
          <w:rFonts w:hint="eastAsia" w:ascii="宋体" w:hAnsi="宋体" w:eastAsia="宋体" w:cs="宋体"/>
          <w:sz w:val="24"/>
          <w:szCs w:val="24"/>
          <w:highlight w:val="none"/>
        </w:rPr>
        <w:t>的中标资格，由此产生的一切后果由</w:t>
      </w:r>
      <w:r>
        <w:rPr>
          <w:rFonts w:hint="eastAsia" w:ascii="宋体" w:hAnsi="宋体" w:eastAsia="宋体" w:cs="宋体"/>
          <w:sz w:val="24"/>
          <w:szCs w:val="24"/>
          <w:highlight w:val="none"/>
          <w:lang w:eastAsia="zh-CN"/>
        </w:rPr>
        <w:t>投标方</w:t>
      </w:r>
      <w:r>
        <w:rPr>
          <w:rFonts w:hint="eastAsia" w:ascii="宋体" w:hAnsi="宋体" w:eastAsia="宋体" w:cs="宋体"/>
          <w:sz w:val="24"/>
          <w:szCs w:val="24"/>
          <w:highlight w:val="none"/>
        </w:rPr>
        <w:t>承担。</w:t>
      </w:r>
    </w:p>
    <w:p>
      <w:pPr>
        <w:numPr>
          <w:ilvl w:val="0"/>
          <w:numId w:val="0"/>
        </w:numPr>
        <w:spacing w:line="360" w:lineRule="auto"/>
        <w:ind w:firstLine="425"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7、本文中</w:t>
      </w:r>
      <w:r>
        <w:rPr>
          <w:rFonts w:hint="eastAsia" w:ascii="宋体" w:hAnsi="宋体" w:cs="宋体"/>
          <w:sz w:val="24"/>
          <w:szCs w:val="24"/>
          <w:highlight w:val="none"/>
          <w:lang w:val="en-US" w:eastAsia="zh-CN"/>
        </w:rPr>
        <w:t>标</w:t>
      </w:r>
      <w:r>
        <w:rPr>
          <w:rFonts w:hint="eastAsia" w:ascii="仿宋_GB2312" w:hAnsi="仿宋_GB2312" w:eastAsia="仿宋_GB2312" w:cs="仿宋_GB2312"/>
          <w:sz w:val="24"/>
          <w:szCs w:val="24"/>
          <w:highlight w:val="none"/>
          <w:lang w:val="en-US" w:eastAsia="zh-CN"/>
        </w:rPr>
        <w:t>★</w:t>
      </w:r>
      <w:r>
        <w:rPr>
          <w:rFonts w:hint="eastAsia" w:ascii="宋体" w:hAnsi="宋体" w:eastAsia="宋体" w:cs="宋体"/>
          <w:sz w:val="24"/>
          <w:szCs w:val="24"/>
          <w:highlight w:val="none"/>
          <w:lang w:val="en-US" w:eastAsia="zh-CN"/>
        </w:rPr>
        <w:t>的条款为必须满足条款。</w:t>
      </w:r>
    </w:p>
    <w:p>
      <w:pPr>
        <w:numPr>
          <w:ilvl w:val="0"/>
          <w:numId w:val="0"/>
        </w:numPr>
        <w:spacing w:line="360" w:lineRule="auto"/>
        <w:ind w:firstLine="425"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8、本技术规范书将作为投标方提供技术投标文件的重要依据。本招标技术文件经招标方、投标方双方确认后作为合同的技术附件，与合同正文具有同等的法律效力。</w:t>
      </w:r>
    </w:p>
    <w:p>
      <w:pPr>
        <w:numPr>
          <w:ilvl w:val="0"/>
          <w:numId w:val="0"/>
        </w:numPr>
        <w:spacing w:line="360" w:lineRule="auto"/>
        <w:ind w:firstLine="425"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9、本技术规范书未尽事宜，由招标方和投标方在合同技术谈判时双方协商确定。</w:t>
      </w:r>
    </w:p>
    <w:p>
      <w:pPr>
        <w:numPr>
          <w:ilvl w:val="0"/>
          <w:numId w:val="0"/>
        </w:numPr>
        <w:spacing w:line="360" w:lineRule="auto"/>
        <w:ind w:firstLine="425"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10、投标方应保证对本次招标所有技术说明文件保密，在招标前后不得向其他单位公布招标项目单位的有关材料。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w:t>
      </w:r>
      <w:r>
        <w:rPr>
          <w:rFonts w:hint="eastAsia" w:ascii="宋体" w:hAnsi="宋体" w:cs="宋体"/>
          <w:sz w:val="24"/>
          <w:szCs w:val="24"/>
          <w:highlight w:val="none"/>
          <w:lang w:val="en-US" w:eastAsia="zh-CN"/>
        </w:rPr>
        <w:t>11、本投标人的资质条件要求如下，请投标方在报价的同时，需附以下材料：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w:t>
      </w:r>
      <w:r>
        <w:rPr>
          <w:rFonts w:hint="eastAsia" w:ascii="宋体" w:hAnsi="宋体" w:eastAsia="宋体" w:cs="宋体"/>
          <w:kern w:val="2"/>
          <w:sz w:val="24"/>
          <w:szCs w:val="24"/>
          <w:highlight w:val="none"/>
          <w:lang w:val="en-US" w:eastAsia="zh-CN" w:bidi="ar-SA"/>
        </w:rPr>
        <w:t>1</w:t>
      </w:r>
      <w:r>
        <w:rPr>
          <w:rFonts w:hint="eastAsia" w:ascii="宋体" w:hAnsi="宋体" w:cs="宋体"/>
          <w:kern w:val="2"/>
          <w:sz w:val="24"/>
          <w:szCs w:val="24"/>
          <w:highlight w:val="none"/>
          <w:lang w:val="en-US" w:eastAsia="zh-CN" w:bidi="ar-SA"/>
        </w:rPr>
        <w:t>）</w:t>
      </w:r>
      <w:r>
        <w:rPr>
          <w:rFonts w:hint="eastAsia" w:ascii="宋体" w:hAnsi="宋体" w:eastAsia="宋体" w:cs="宋体"/>
          <w:kern w:val="2"/>
          <w:sz w:val="24"/>
          <w:szCs w:val="24"/>
          <w:highlight w:val="none"/>
          <w:lang w:val="en-US" w:eastAsia="zh-CN" w:bidi="ar-SA"/>
        </w:rPr>
        <w:t>投标人应是中华人民共和国境内设立(不含港澳台地区)的独立法人或合伙制企业或其他组织</w:t>
      </w:r>
      <w:bookmarkStart w:id="1" w:name="_GoBack"/>
      <w:bookmarkEnd w:id="1"/>
      <w:r>
        <w:rPr>
          <w:rFonts w:hint="eastAsia" w:ascii="宋体" w:hAnsi="宋体" w:cs="宋体"/>
          <w:kern w:val="2"/>
          <w:sz w:val="24"/>
          <w:szCs w:val="24"/>
          <w:highlight w:val="none"/>
          <w:lang w:val="en-US" w:eastAsia="zh-CN" w:bidi="ar-SA"/>
        </w:rPr>
        <w:t>。须</w:t>
      </w:r>
      <w:r>
        <w:rPr>
          <w:rFonts w:hint="eastAsia" w:ascii="宋体" w:hAnsi="宋体" w:eastAsia="宋体" w:cs="宋体"/>
          <w:kern w:val="2"/>
          <w:sz w:val="24"/>
          <w:szCs w:val="24"/>
          <w:highlight w:val="none"/>
          <w:lang w:val="en-US" w:eastAsia="zh-CN" w:bidi="ar-SA"/>
        </w:rPr>
        <w:t>提供营业执照</w:t>
      </w:r>
      <w:r>
        <w:rPr>
          <w:rFonts w:hint="default" w:ascii="宋体" w:hAnsi="宋体" w:eastAsia="宋体" w:cs="宋体"/>
          <w:kern w:val="2"/>
          <w:sz w:val="24"/>
          <w:szCs w:val="24"/>
          <w:highlight w:val="none"/>
          <w:lang w:val="en-US" w:eastAsia="zh-CN" w:bidi="ar-SA"/>
        </w:rPr>
        <w:t>或其他主体证明文件复印件</w:t>
      </w:r>
      <w:r>
        <w:rPr>
          <w:rFonts w:hint="eastAsia" w:ascii="宋体" w:hAnsi="宋体" w:eastAsia="宋体" w:cs="宋体"/>
          <w:kern w:val="2"/>
          <w:sz w:val="24"/>
          <w:szCs w:val="24"/>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（2）</w:t>
      </w:r>
      <w:r>
        <w:rPr>
          <w:rFonts w:hint="eastAsia" w:ascii="宋体" w:hAnsi="宋体" w:eastAsia="宋体" w:cs="宋体"/>
          <w:kern w:val="2"/>
          <w:sz w:val="24"/>
          <w:szCs w:val="24"/>
          <w:highlight w:val="none"/>
          <w:lang w:val="en-US" w:eastAsia="zh-CN" w:bidi="ar-SA"/>
        </w:rPr>
        <w:t>投标人</w:t>
      </w:r>
      <w:r>
        <w:rPr>
          <w:rFonts w:hint="eastAsia" w:ascii="宋体" w:hAnsi="宋体" w:cs="宋体"/>
          <w:kern w:val="2"/>
          <w:sz w:val="24"/>
          <w:szCs w:val="24"/>
          <w:highlight w:val="none"/>
          <w:lang w:val="en-US" w:eastAsia="zh-CN" w:bidi="ar-SA"/>
        </w:rPr>
        <w:t>近三年须有单个投资购买5亿及以上购置物业可行性研究报告的服务业绩，须提供合同及相关证明材料。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（3）房地产评估一级资质，须提供资质文件。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（4）提供拟委派至本项目的</w:t>
      </w:r>
      <w:r>
        <w:rPr>
          <w:rFonts w:hint="eastAsia" w:ascii="宋体" w:hAnsi="宋体" w:eastAsia="宋体" w:cs="宋体"/>
          <w:kern w:val="2"/>
          <w:sz w:val="24"/>
          <w:szCs w:val="24"/>
          <w:highlight w:val="none"/>
          <w:lang w:val="en-US" w:eastAsia="zh-CN" w:bidi="ar-SA"/>
        </w:rPr>
        <w:t>3人及以上项目团队</w:t>
      </w:r>
      <w:r>
        <w:rPr>
          <w:rFonts w:hint="eastAsia" w:ascii="宋体" w:hAnsi="宋体" w:cs="宋体"/>
          <w:kern w:val="2"/>
          <w:sz w:val="24"/>
          <w:szCs w:val="24"/>
          <w:highlight w:val="none"/>
          <w:lang w:val="en-US" w:eastAsia="zh-CN" w:bidi="ar-SA"/>
        </w:rPr>
        <w:t>成员</w:t>
      </w:r>
      <w:r>
        <w:rPr>
          <w:rFonts w:hint="eastAsia" w:ascii="宋体" w:hAnsi="宋体" w:eastAsia="宋体" w:cs="宋体"/>
          <w:kern w:val="2"/>
          <w:sz w:val="24"/>
          <w:szCs w:val="24"/>
          <w:highlight w:val="none"/>
          <w:lang w:val="en-US" w:eastAsia="zh-CN" w:bidi="ar-SA"/>
        </w:rPr>
        <w:t>近6个月</w:t>
      </w:r>
      <w:r>
        <w:rPr>
          <w:rFonts w:hint="eastAsia" w:ascii="宋体" w:hAnsi="宋体" w:cs="宋体"/>
          <w:kern w:val="2"/>
          <w:sz w:val="24"/>
          <w:szCs w:val="24"/>
          <w:highlight w:val="none"/>
          <w:lang w:val="en-US" w:eastAsia="zh-CN" w:bidi="ar-SA"/>
        </w:rPr>
        <w:t>在本单位的</w:t>
      </w:r>
      <w:r>
        <w:rPr>
          <w:rFonts w:hint="eastAsia" w:ascii="宋体" w:hAnsi="宋体" w:eastAsia="宋体" w:cs="宋体"/>
          <w:kern w:val="2"/>
          <w:sz w:val="24"/>
          <w:szCs w:val="24"/>
          <w:highlight w:val="none"/>
          <w:lang w:val="en-US" w:eastAsia="zh-CN" w:bidi="ar-SA"/>
        </w:rPr>
        <w:t>社保证明</w:t>
      </w:r>
      <w:r>
        <w:rPr>
          <w:rFonts w:hint="eastAsia" w:ascii="宋体" w:hAnsi="宋体" w:cs="宋体"/>
          <w:kern w:val="2"/>
          <w:sz w:val="24"/>
          <w:szCs w:val="24"/>
          <w:highlight w:val="none"/>
          <w:lang w:val="en-US" w:eastAsia="zh-CN" w:bidi="ar-SA"/>
        </w:rPr>
        <w:t>，成员个人近三年内有购买物业可研编制服务的业绩证明（合同或项目文件，须能看出团队成员姓名），及团队成员分工安排</w:t>
      </w:r>
      <w:r>
        <w:rPr>
          <w:rFonts w:hint="eastAsia" w:ascii="宋体" w:hAnsi="宋体" w:eastAsia="宋体" w:cs="宋体"/>
          <w:kern w:val="2"/>
          <w:sz w:val="24"/>
          <w:szCs w:val="24"/>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kern w:val="2"/>
          <w:sz w:val="24"/>
          <w:szCs w:val="24"/>
          <w:highlight w:val="none"/>
          <w:lang w:val="en-US" w:eastAsia="zh-CN" w:bidi="ar-SA"/>
        </w:rPr>
        <w:t>（</w:t>
      </w:r>
      <w:r>
        <w:rPr>
          <w:rFonts w:hint="default" w:ascii="宋体" w:hAnsi="宋体" w:cs="宋体"/>
          <w:kern w:val="2"/>
          <w:sz w:val="24"/>
          <w:szCs w:val="24"/>
          <w:highlight w:val="none"/>
          <w:lang w:val="en-US" w:eastAsia="zh-CN" w:bidi="ar-SA"/>
        </w:rPr>
        <w:t>5</w:t>
      </w:r>
      <w:r>
        <w:rPr>
          <w:rFonts w:hint="eastAsia" w:ascii="宋体" w:hAnsi="宋体" w:cs="宋体"/>
          <w:kern w:val="2"/>
          <w:sz w:val="24"/>
          <w:szCs w:val="24"/>
          <w:highlight w:val="none"/>
          <w:lang w:val="en-US" w:eastAsia="zh-CN" w:bidi="ar-SA"/>
        </w:rPr>
        <w:t>）提供满足本技术规范书所有要求的承诺函（附上本技术规范书，盖骑缝章）。</w:t>
      </w:r>
    </w:p>
    <w:p>
      <w:pPr>
        <w:pStyle w:val="23"/>
        <w:numPr>
          <w:ilvl w:val="1"/>
          <w:numId w:val="0"/>
        </w:numPr>
        <w:spacing w:before="156" w:after="156" w:line="360" w:lineRule="auto"/>
        <w:ind w:left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1.2项目说明</w:t>
      </w:r>
    </w:p>
    <w:p>
      <w:pPr>
        <w:numPr>
          <w:ilvl w:val="0"/>
          <w:numId w:val="0"/>
        </w:numPr>
        <w:spacing w:line="360" w:lineRule="auto"/>
        <w:ind w:firstLine="425" w:firstLineChars="0"/>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1.2.1采购范围</w:t>
      </w:r>
    </w:p>
    <w:p>
      <w:pPr>
        <w:numPr>
          <w:ilvl w:val="-1"/>
          <w:numId w:val="0"/>
        </w:num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b w:val="0"/>
          <w:bCs w:val="0"/>
          <w:i w:val="0"/>
          <w:color w:val="000000"/>
          <w:sz w:val="24"/>
          <w:szCs w:val="24"/>
          <w:highlight w:val="none"/>
          <w:u w:val="none"/>
        </w:rPr>
        <w:t>本次采购为</w:t>
      </w:r>
      <w:r>
        <w:rPr>
          <w:rFonts w:hint="eastAsia" w:ascii="宋体" w:hAnsi="宋体" w:eastAsia="宋体" w:cs="宋体"/>
          <w:b w:val="0"/>
          <w:bCs w:val="0"/>
          <w:i w:val="0"/>
          <w:color w:val="000000"/>
          <w:sz w:val="24"/>
          <w:szCs w:val="24"/>
          <w:highlight w:val="none"/>
          <w:u w:val="none"/>
          <w:lang w:val="en-US" w:eastAsia="zh-CN"/>
        </w:rPr>
        <w:t>2025-2026年南网数字运营软件科技（广东）有限公司数字产业技术业务用房（深圳）项目可行性研究报告咨询项目，为该项目提供全面的咨询服务，并按照要求出具相关交付成果文件</w:t>
      </w:r>
      <w:r>
        <w:rPr>
          <w:rFonts w:hint="eastAsia" w:ascii="宋体" w:hAnsi="宋体" w:eastAsia="宋体" w:cs="宋体"/>
          <w:sz w:val="24"/>
          <w:szCs w:val="24"/>
          <w:highlight w:val="none"/>
          <w:lang w:val="en-US" w:eastAsia="zh-CN"/>
        </w:rPr>
        <w:t>。</w:t>
      </w:r>
    </w:p>
    <w:p>
      <w:pPr>
        <w:numPr>
          <w:ilvl w:val="0"/>
          <w:numId w:val="0"/>
        </w:numPr>
        <w:spacing w:line="360" w:lineRule="auto"/>
        <w:ind w:firstLine="425" w:firstLineChars="0"/>
        <w:outlineLvl w:val="2"/>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1.2.2项目背景</w:t>
      </w:r>
      <w:r>
        <w:rPr>
          <w:rFonts w:hint="eastAsia" w:ascii="宋体" w:hAnsi="宋体" w:cs="宋体"/>
          <w:b/>
          <w:bCs/>
          <w:sz w:val="24"/>
          <w:szCs w:val="24"/>
          <w:highlight w:val="none"/>
          <w:lang w:val="en-US" w:eastAsia="zh-CN"/>
        </w:rPr>
        <w:t>及目标</w:t>
      </w:r>
    </w:p>
    <w:p>
      <w:pPr>
        <w:numPr>
          <w:ilvl w:val="0"/>
          <w:numId w:val="0"/>
        </w:numPr>
        <w:spacing w:line="360" w:lineRule="auto"/>
        <w:ind w:firstLine="480" w:firstLineChars="200"/>
        <w:rPr>
          <w:rFonts w:hint="eastAsia" w:ascii="宋体" w:hAnsi="宋体" w:eastAsia="宋体" w:cs="宋体"/>
          <w:b w:val="0"/>
          <w:bCs w:val="0"/>
          <w:i w:val="0"/>
          <w:color w:val="000000"/>
          <w:sz w:val="24"/>
          <w:szCs w:val="24"/>
          <w:highlight w:val="none"/>
          <w:u w:val="none"/>
          <w:lang w:val="en-US" w:eastAsia="zh-CN"/>
        </w:rPr>
      </w:pPr>
      <w:r>
        <w:rPr>
          <w:rFonts w:hint="eastAsia" w:ascii="宋体" w:hAnsi="宋体" w:eastAsia="宋体" w:cs="宋体"/>
          <w:b w:val="0"/>
          <w:bCs w:val="0"/>
          <w:i w:val="0"/>
          <w:color w:val="000000"/>
          <w:sz w:val="24"/>
          <w:szCs w:val="24"/>
          <w:highlight w:val="none"/>
          <w:u w:val="none"/>
          <w:lang w:val="en-US" w:eastAsia="zh-CN"/>
        </w:rPr>
        <w:t>本公司原计划</w:t>
      </w:r>
      <w:r>
        <w:rPr>
          <w:rFonts w:hint="eastAsia" w:ascii="宋体" w:hAnsi="宋体" w:eastAsia="宋体" w:cs="宋体"/>
          <w:sz w:val="24"/>
          <w:szCs w:val="24"/>
          <w:highlight w:val="none"/>
          <w:lang w:eastAsia="zh-CN"/>
        </w:rPr>
        <w:t>“拿地自建”</w:t>
      </w:r>
      <w:r>
        <w:rPr>
          <w:rFonts w:hint="eastAsia" w:ascii="宋体" w:hAnsi="宋体" w:eastAsia="宋体" w:cs="宋体"/>
          <w:b w:val="0"/>
          <w:bCs w:val="0"/>
          <w:i w:val="0"/>
          <w:color w:val="000000"/>
          <w:sz w:val="24"/>
          <w:szCs w:val="24"/>
          <w:highlight w:val="none"/>
          <w:u w:val="none"/>
          <w:lang w:val="en-US" w:eastAsia="zh-CN"/>
        </w:rPr>
        <w:t>技术</w:t>
      </w:r>
      <w:r>
        <w:rPr>
          <w:rFonts w:hint="eastAsia" w:ascii="宋体" w:hAnsi="宋体" w:cs="宋体"/>
          <w:b w:val="0"/>
          <w:bCs w:val="0"/>
          <w:i w:val="0"/>
          <w:color w:val="000000"/>
          <w:sz w:val="24"/>
          <w:szCs w:val="24"/>
          <w:highlight w:val="none"/>
          <w:u w:val="none"/>
          <w:lang w:val="en-US" w:eastAsia="zh-CN"/>
        </w:rPr>
        <w:t>业务</w:t>
      </w:r>
      <w:r>
        <w:rPr>
          <w:rFonts w:hint="eastAsia" w:ascii="宋体" w:hAnsi="宋体" w:eastAsia="宋体" w:cs="宋体"/>
          <w:b w:val="0"/>
          <w:bCs w:val="0"/>
          <w:i w:val="0"/>
          <w:color w:val="000000"/>
          <w:sz w:val="24"/>
          <w:szCs w:val="24"/>
          <w:highlight w:val="none"/>
          <w:u w:val="none"/>
          <w:lang w:val="en-US" w:eastAsia="zh-CN"/>
        </w:rPr>
        <w:t>用房</w:t>
      </w:r>
      <w:r>
        <w:rPr>
          <w:rFonts w:hint="eastAsia" w:ascii="宋体" w:hAnsi="宋体" w:cs="宋体"/>
          <w:sz w:val="24"/>
          <w:szCs w:val="24"/>
          <w:highlight w:val="none"/>
          <w:lang w:eastAsia="zh-CN"/>
        </w:rPr>
        <w:t>，</w:t>
      </w:r>
      <w:r>
        <w:rPr>
          <w:rFonts w:hint="eastAsia" w:ascii="宋体" w:hAnsi="宋体" w:eastAsia="宋体" w:cs="宋体"/>
          <w:b w:val="0"/>
          <w:bCs w:val="0"/>
          <w:i w:val="0"/>
          <w:color w:val="000000"/>
          <w:sz w:val="24"/>
          <w:szCs w:val="24"/>
          <w:highlight w:val="none"/>
          <w:u w:val="none"/>
          <w:lang w:val="en-US" w:eastAsia="zh-CN"/>
        </w:rPr>
        <w:t>且已获可研批复，后因</w:t>
      </w:r>
      <w:r>
        <w:rPr>
          <w:rFonts w:hint="eastAsia" w:ascii="宋体" w:hAnsi="宋体" w:cs="宋体"/>
          <w:b w:val="0"/>
          <w:bCs w:val="0"/>
          <w:i w:val="0"/>
          <w:color w:val="000000"/>
          <w:sz w:val="24"/>
          <w:szCs w:val="24"/>
          <w:highlight w:val="none"/>
          <w:u w:val="none"/>
          <w:lang w:val="en-US" w:eastAsia="zh-CN"/>
        </w:rPr>
        <w:t>供地</w:t>
      </w:r>
      <w:r>
        <w:rPr>
          <w:rFonts w:hint="eastAsia" w:ascii="宋体" w:hAnsi="宋体" w:eastAsia="宋体" w:cs="宋体"/>
          <w:b w:val="0"/>
          <w:bCs w:val="0"/>
          <w:i w:val="0"/>
          <w:color w:val="000000"/>
          <w:sz w:val="24"/>
          <w:szCs w:val="24"/>
          <w:highlight w:val="none"/>
          <w:u w:val="none"/>
          <w:lang w:val="en-US" w:eastAsia="zh-CN"/>
        </w:rPr>
        <w:t>政策调整，拟变更技术</w:t>
      </w:r>
      <w:r>
        <w:rPr>
          <w:rFonts w:hint="eastAsia" w:ascii="宋体" w:hAnsi="宋体" w:cs="宋体"/>
          <w:b w:val="0"/>
          <w:bCs w:val="0"/>
          <w:i w:val="0"/>
          <w:color w:val="000000"/>
          <w:sz w:val="24"/>
          <w:szCs w:val="24"/>
          <w:highlight w:val="none"/>
          <w:u w:val="none"/>
          <w:lang w:val="en-US" w:eastAsia="zh-CN"/>
        </w:rPr>
        <w:t>业务</w:t>
      </w:r>
      <w:r>
        <w:rPr>
          <w:rFonts w:hint="eastAsia" w:ascii="宋体" w:hAnsi="宋体" w:eastAsia="宋体" w:cs="宋体"/>
          <w:b w:val="0"/>
          <w:bCs w:val="0"/>
          <w:i w:val="0"/>
          <w:color w:val="000000"/>
          <w:sz w:val="24"/>
          <w:szCs w:val="24"/>
          <w:highlight w:val="none"/>
          <w:u w:val="none"/>
          <w:lang w:val="en-US" w:eastAsia="zh-CN"/>
        </w:rPr>
        <w:t>用房</w:t>
      </w:r>
      <w:r>
        <w:rPr>
          <w:rFonts w:hint="eastAsia" w:ascii="宋体" w:hAnsi="宋体" w:cs="宋体"/>
          <w:b w:val="0"/>
          <w:bCs w:val="0"/>
          <w:i w:val="0"/>
          <w:color w:val="000000"/>
          <w:sz w:val="24"/>
          <w:szCs w:val="24"/>
          <w:highlight w:val="none"/>
          <w:u w:val="none"/>
          <w:lang w:val="en-US" w:eastAsia="zh-CN"/>
        </w:rPr>
        <w:t>的</w:t>
      </w:r>
      <w:r>
        <w:rPr>
          <w:rFonts w:hint="eastAsia" w:ascii="宋体" w:hAnsi="宋体" w:eastAsia="宋体" w:cs="宋体"/>
          <w:b w:val="0"/>
          <w:bCs w:val="0"/>
          <w:i w:val="0"/>
          <w:color w:val="000000"/>
          <w:sz w:val="24"/>
          <w:szCs w:val="24"/>
          <w:highlight w:val="none"/>
          <w:u w:val="none"/>
          <w:lang w:val="en-US" w:eastAsia="zh-CN"/>
        </w:rPr>
        <w:t>获取方式</w:t>
      </w:r>
      <w:r>
        <w:rPr>
          <w:rFonts w:hint="eastAsia" w:ascii="宋体" w:hAnsi="宋体" w:cs="宋体"/>
          <w:b w:val="0"/>
          <w:bCs w:val="0"/>
          <w:i w:val="0"/>
          <w:color w:val="000000"/>
          <w:sz w:val="24"/>
          <w:szCs w:val="24"/>
          <w:highlight w:val="none"/>
          <w:u w:val="none"/>
          <w:lang w:val="en-US" w:eastAsia="zh-CN"/>
        </w:rPr>
        <w:t>为“购置现楼”</w:t>
      </w:r>
      <w:r>
        <w:rPr>
          <w:rFonts w:hint="eastAsia" w:ascii="宋体" w:hAnsi="宋体" w:eastAsia="宋体" w:cs="宋体"/>
          <w:b w:val="0"/>
          <w:bCs w:val="0"/>
          <w:i w:val="0"/>
          <w:color w:val="000000"/>
          <w:sz w:val="24"/>
          <w:szCs w:val="24"/>
          <w:highlight w:val="none"/>
          <w:u w:val="none"/>
          <w:lang w:val="en-US" w:eastAsia="zh-CN"/>
        </w:rPr>
        <w:t>。现需</w:t>
      </w:r>
      <w:r>
        <w:rPr>
          <w:rFonts w:hint="eastAsia" w:ascii="宋体" w:hAnsi="宋体" w:cs="宋体"/>
          <w:b w:val="0"/>
          <w:bCs w:val="0"/>
          <w:i w:val="0"/>
          <w:color w:val="000000"/>
          <w:sz w:val="24"/>
          <w:szCs w:val="24"/>
          <w:highlight w:val="none"/>
          <w:u w:val="none"/>
          <w:lang w:val="en-US" w:eastAsia="zh-CN"/>
        </w:rPr>
        <w:t>对</w:t>
      </w:r>
      <w:r>
        <w:rPr>
          <w:rFonts w:hint="eastAsia" w:ascii="宋体" w:hAnsi="宋体" w:eastAsia="宋体" w:cs="宋体"/>
          <w:b w:val="0"/>
          <w:bCs w:val="0"/>
          <w:i w:val="0"/>
          <w:color w:val="000000"/>
          <w:sz w:val="24"/>
          <w:szCs w:val="24"/>
          <w:highlight w:val="none"/>
          <w:u w:val="none"/>
          <w:lang w:val="en-US" w:eastAsia="zh-CN"/>
        </w:rPr>
        <w:t>新方案</w:t>
      </w:r>
      <w:r>
        <w:rPr>
          <w:rFonts w:hint="eastAsia" w:ascii="宋体" w:hAnsi="宋体" w:cs="宋体"/>
          <w:b w:val="0"/>
          <w:bCs w:val="0"/>
          <w:i w:val="0"/>
          <w:color w:val="000000"/>
          <w:sz w:val="24"/>
          <w:szCs w:val="24"/>
          <w:highlight w:val="none"/>
          <w:u w:val="none"/>
          <w:lang w:val="en-US" w:eastAsia="zh-CN"/>
        </w:rPr>
        <w:t>（即：购买现楼）</w:t>
      </w:r>
      <w:r>
        <w:rPr>
          <w:rFonts w:hint="eastAsia" w:ascii="宋体" w:hAnsi="宋体" w:eastAsia="宋体" w:cs="宋体"/>
          <w:b w:val="0"/>
          <w:bCs w:val="0"/>
          <w:i w:val="0"/>
          <w:color w:val="000000"/>
          <w:sz w:val="24"/>
          <w:szCs w:val="24"/>
          <w:highlight w:val="none"/>
          <w:u w:val="none"/>
          <w:lang w:val="en-US" w:eastAsia="zh-CN"/>
        </w:rPr>
        <w:t>在时间效率、资产灵活性、成本</w:t>
      </w:r>
      <w:r>
        <w:rPr>
          <w:rFonts w:hint="eastAsia" w:ascii="宋体" w:hAnsi="宋体" w:cs="宋体"/>
          <w:b w:val="0"/>
          <w:bCs w:val="0"/>
          <w:i w:val="0"/>
          <w:color w:val="000000"/>
          <w:sz w:val="24"/>
          <w:szCs w:val="24"/>
          <w:highlight w:val="none"/>
          <w:u w:val="none"/>
          <w:lang w:val="en-US" w:eastAsia="zh-CN"/>
        </w:rPr>
        <w:t>管控、经济效益、</w:t>
      </w:r>
      <w:r>
        <w:rPr>
          <w:rFonts w:hint="eastAsia" w:ascii="宋体" w:hAnsi="宋体" w:eastAsia="宋体" w:cs="宋体"/>
          <w:b w:val="0"/>
          <w:bCs w:val="0"/>
          <w:i w:val="0"/>
          <w:color w:val="000000"/>
          <w:sz w:val="24"/>
          <w:szCs w:val="24"/>
          <w:highlight w:val="none"/>
          <w:u w:val="none"/>
          <w:lang w:val="en-US" w:eastAsia="zh-CN"/>
        </w:rPr>
        <w:t>风险规避</w:t>
      </w:r>
      <w:r>
        <w:rPr>
          <w:rFonts w:hint="eastAsia" w:ascii="宋体" w:hAnsi="宋体" w:cs="宋体"/>
          <w:b w:val="0"/>
          <w:bCs w:val="0"/>
          <w:i w:val="0"/>
          <w:color w:val="000000"/>
          <w:sz w:val="24"/>
          <w:szCs w:val="24"/>
          <w:highlight w:val="none"/>
          <w:u w:val="none"/>
          <w:lang w:val="en-US" w:eastAsia="zh-CN"/>
        </w:rPr>
        <w:t>等</w:t>
      </w:r>
      <w:r>
        <w:rPr>
          <w:rFonts w:hint="eastAsia" w:ascii="宋体" w:hAnsi="宋体" w:eastAsia="宋体" w:cs="宋体"/>
          <w:b w:val="0"/>
          <w:bCs w:val="0"/>
          <w:i w:val="0"/>
          <w:color w:val="000000"/>
          <w:sz w:val="24"/>
          <w:szCs w:val="24"/>
          <w:highlight w:val="none"/>
          <w:u w:val="none"/>
          <w:lang w:val="en-US" w:eastAsia="zh-CN"/>
        </w:rPr>
        <w:t>方面</w:t>
      </w:r>
      <w:r>
        <w:rPr>
          <w:rFonts w:hint="eastAsia" w:ascii="宋体" w:hAnsi="宋体" w:cs="宋体"/>
          <w:b w:val="0"/>
          <w:bCs w:val="0"/>
          <w:i w:val="0"/>
          <w:color w:val="000000"/>
          <w:sz w:val="24"/>
          <w:szCs w:val="24"/>
          <w:highlight w:val="none"/>
          <w:u w:val="none"/>
          <w:lang w:val="en-US" w:eastAsia="zh-CN"/>
        </w:rPr>
        <w:t>进行分析</w:t>
      </w:r>
      <w:r>
        <w:rPr>
          <w:rFonts w:hint="eastAsia" w:ascii="宋体" w:hAnsi="宋体" w:eastAsia="宋体" w:cs="宋体"/>
          <w:b w:val="0"/>
          <w:bCs w:val="0"/>
          <w:i w:val="0"/>
          <w:color w:val="000000"/>
          <w:sz w:val="24"/>
          <w:szCs w:val="24"/>
          <w:highlight w:val="none"/>
          <w:u w:val="none"/>
          <w:lang w:val="en-US" w:eastAsia="zh-CN"/>
        </w:rPr>
        <w:t>，判断其是否较原计划更具</w:t>
      </w:r>
      <w:r>
        <w:rPr>
          <w:rFonts w:hint="eastAsia" w:ascii="宋体" w:hAnsi="宋体" w:cs="宋体"/>
          <w:b w:val="0"/>
          <w:bCs w:val="0"/>
          <w:i w:val="0"/>
          <w:color w:val="000000"/>
          <w:sz w:val="24"/>
          <w:szCs w:val="24"/>
          <w:highlight w:val="none"/>
          <w:u w:val="none"/>
          <w:lang w:val="en-US" w:eastAsia="zh-CN"/>
        </w:rPr>
        <w:t>科学合理性</w:t>
      </w:r>
      <w:r>
        <w:rPr>
          <w:rFonts w:hint="eastAsia" w:ascii="宋体" w:hAnsi="宋体" w:eastAsia="宋体" w:cs="宋体"/>
          <w:b w:val="0"/>
          <w:bCs w:val="0"/>
          <w:i w:val="0"/>
          <w:color w:val="000000"/>
          <w:sz w:val="24"/>
          <w:szCs w:val="24"/>
          <w:highlight w:val="none"/>
          <w:u w:val="none"/>
          <w:lang w:val="en-US" w:eastAsia="zh-CN"/>
        </w:rPr>
        <w:t>，以决定是否变更已批复的可研。为此，特采购专业服务，为项目提供咨询与技术服务，助力公司审批决策。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本项目的核心目标是</w:t>
      </w:r>
      <w:r>
        <w:rPr>
          <w:rFonts w:hint="eastAsia" w:ascii="宋体" w:hAnsi="宋体" w:eastAsia="宋体" w:cs="宋体"/>
          <w:sz w:val="24"/>
          <w:szCs w:val="24"/>
          <w:highlight w:val="none"/>
          <w:lang w:val="en-US" w:eastAsia="zh-CN"/>
        </w:rPr>
        <w:t>提供招标人需要的咨询与技术服务，并</w:t>
      </w:r>
      <w:r>
        <w:rPr>
          <w:rFonts w:hint="eastAsia" w:ascii="宋体" w:hAnsi="宋体" w:eastAsia="宋体" w:cs="宋体"/>
          <w:sz w:val="24"/>
          <w:szCs w:val="24"/>
          <w:highlight w:val="none"/>
          <w:lang w:eastAsia="zh-CN"/>
        </w:rPr>
        <w:t>交付一份深度、详实、可信的可研报告，该报告必须能够有力支撑以下两项关键决策：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决策一：</w:t>
      </w:r>
      <w:r>
        <w:rPr>
          <w:rFonts w:hint="eastAsia" w:ascii="宋体" w:hAnsi="宋体" w:eastAsia="宋体" w:cs="宋体"/>
          <w:sz w:val="24"/>
          <w:szCs w:val="24"/>
          <w:highlight w:val="none"/>
          <w:lang w:val="en-US" w:eastAsia="zh-CN"/>
        </w:rPr>
        <w:t>是否需要</w:t>
      </w:r>
      <w:r>
        <w:rPr>
          <w:rFonts w:hint="eastAsia" w:ascii="宋体" w:hAnsi="宋体" w:eastAsia="宋体" w:cs="宋体"/>
          <w:sz w:val="24"/>
          <w:szCs w:val="24"/>
          <w:highlight w:val="none"/>
          <w:lang w:eastAsia="zh-CN"/>
        </w:rPr>
        <w:t>变更建设方式，</w:t>
      </w:r>
      <w:r>
        <w:rPr>
          <w:rFonts w:hint="eastAsia" w:ascii="宋体" w:hAnsi="宋体" w:eastAsia="宋体" w:cs="宋体"/>
          <w:sz w:val="24"/>
          <w:szCs w:val="24"/>
          <w:highlight w:val="none"/>
          <w:lang w:val="en-US" w:eastAsia="zh-CN"/>
        </w:rPr>
        <w:t>变更建设方式</w:t>
      </w:r>
      <w:r>
        <w:rPr>
          <w:rFonts w:hint="eastAsia" w:ascii="宋体" w:hAnsi="宋体" w:eastAsia="宋体" w:cs="宋体"/>
          <w:sz w:val="24"/>
          <w:szCs w:val="24"/>
          <w:highlight w:val="none"/>
          <w:lang w:eastAsia="zh-CN"/>
        </w:rPr>
        <w:t>的合理性。充分论证</w:t>
      </w:r>
      <w:r>
        <w:rPr>
          <w:rFonts w:hint="eastAsia" w:ascii="宋体" w:hAnsi="宋体" w:eastAsia="宋体" w:cs="宋体"/>
          <w:sz w:val="24"/>
          <w:szCs w:val="24"/>
          <w:highlight w:val="none"/>
          <w:lang w:val="en-US" w:eastAsia="zh-CN"/>
        </w:rPr>
        <w:t>是否有必要将</w:t>
      </w:r>
      <w:r>
        <w:rPr>
          <w:rFonts w:hint="eastAsia" w:ascii="宋体" w:hAnsi="宋体" w:eastAsia="宋体" w:cs="宋体"/>
          <w:sz w:val="24"/>
          <w:szCs w:val="24"/>
          <w:highlight w:val="none"/>
          <w:lang w:eastAsia="zh-CN"/>
        </w:rPr>
        <w:t>建设方式由“拿地自建”变更为“购置现楼”，</w:t>
      </w:r>
      <w:r>
        <w:rPr>
          <w:rFonts w:hint="eastAsia" w:ascii="宋体" w:hAnsi="宋体" w:eastAsia="宋体" w:cs="宋体"/>
          <w:sz w:val="24"/>
          <w:szCs w:val="24"/>
          <w:highlight w:val="none"/>
          <w:lang w:val="en-US" w:eastAsia="zh-CN"/>
        </w:rPr>
        <w:t>并详细说明</w:t>
      </w:r>
      <w:r>
        <w:rPr>
          <w:rFonts w:hint="eastAsia" w:ascii="宋体" w:hAnsi="宋体" w:cs="宋体"/>
          <w:sz w:val="24"/>
          <w:szCs w:val="24"/>
          <w:highlight w:val="none"/>
          <w:lang w:val="en-US" w:eastAsia="zh-CN"/>
        </w:rPr>
        <w:t>其</w:t>
      </w:r>
      <w:r>
        <w:rPr>
          <w:rFonts w:hint="eastAsia" w:ascii="宋体" w:hAnsi="宋体" w:eastAsia="宋体" w:cs="宋体"/>
          <w:sz w:val="24"/>
          <w:szCs w:val="24"/>
          <w:highlight w:val="none"/>
          <w:lang w:eastAsia="zh-CN"/>
        </w:rPr>
        <w:t>必要性与优</w:t>
      </w:r>
      <w:r>
        <w:rPr>
          <w:rFonts w:hint="eastAsia" w:ascii="宋体" w:hAnsi="宋体" w:cs="宋体"/>
          <w:sz w:val="24"/>
          <w:szCs w:val="24"/>
          <w:highlight w:val="none"/>
          <w:lang w:val="en-US" w:eastAsia="zh-CN"/>
        </w:rPr>
        <w:t>劣势</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决策二：</w:t>
      </w:r>
      <w:r>
        <w:rPr>
          <w:rFonts w:hint="eastAsia" w:ascii="宋体" w:hAnsi="宋体" w:eastAsia="宋体" w:cs="宋体"/>
          <w:sz w:val="24"/>
          <w:szCs w:val="24"/>
          <w:highlight w:val="none"/>
          <w:lang w:val="en-US" w:eastAsia="zh-CN"/>
        </w:rPr>
        <w:t>以“变更建设方式更具备可行性”为假定条件，论证</w:t>
      </w:r>
      <w:r>
        <w:rPr>
          <w:rFonts w:hint="eastAsia" w:ascii="宋体" w:hAnsi="宋体" w:eastAsia="宋体" w:cs="宋体"/>
          <w:sz w:val="24"/>
          <w:szCs w:val="24"/>
          <w:highlight w:val="none"/>
          <w:lang w:eastAsia="zh-CN"/>
        </w:rPr>
        <w:t>选定具体楼盘的可行性。通过对</w:t>
      </w:r>
      <w:r>
        <w:rPr>
          <w:rFonts w:hint="eastAsia" w:ascii="宋体" w:hAnsi="宋体" w:cs="宋体"/>
          <w:sz w:val="24"/>
          <w:szCs w:val="24"/>
          <w:highlight w:val="none"/>
          <w:lang w:val="en-US" w:eastAsia="zh-CN"/>
        </w:rPr>
        <w:t>宝安区</w:t>
      </w:r>
      <w:r>
        <w:rPr>
          <w:rFonts w:hint="eastAsia" w:ascii="宋体" w:hAnsi="宋体" w:eastAsia="宋体" w:cs="宋体"/>
          <w:sz w:val="24"/>
          <w:szCs w:val="24"/>
          <w:highlight w:val="none"/>
          <w:lang w:eastAsia="zh-CN"/>
        </w:rPr>
        <w:t>多个备选现楼楼盘的全面比选，推荐一个最优楼盘，并论证其技术适配性、经济合理性及综合价值。</w:t>
      </w:r>
    </w:p>
    <w:p>
      <w:pPr>
        <w:numPr>
          <w:ilvl w:val="0"/>
          <w:numId w:val="0"/>
        </w:numPr>
        <w:spacing w:line="360" w:lineRule="auto"/>
        <w:ind w:firstLine="425" w:firstLineChars="0"/>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1.2.</w:t>
      </w:r>
      <w:r>
        <w:rPr>
          <w:rFonts w:hint="eastAsia" w:ascii="宋体" w:hAnsi="宋体" w:cs="宋体"/>
          <w:b/>
          <w:bCs/>
          <w:sz w:val="24"/>
          <w:szCs w:val="24"/>
          <w:highlight w:val="none"/>
          <w:lang w:val="en-US" w:eastAsia="zh-CN"/>
        </w:rPr>
        <w:t>3</w:t>
      </w:r>
      <w:r>
        <w:rPr>
          <w:rFonts w:hint="eastAsia" w:ascii="宋体" w:hAnsi="宋体" w:eastAsia="宋体" w:cs="宋体"/>
          <w:b/>
          <w:bCs/>
          <w:sz w:val="24"/>
          <w:szCs w:val="24"/>
          <w:highlight w:val="none"/>
          <w:lang w:val="en-US" w:eastAsia="zh-CN"/>
        </w:rPr>
        <w:t>工作范围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中标人（报告编制单位）需</w:t>
      </w:r>
      <w:r>
        <w:rPr>
          <w:rFonts w:hint="eastAsia" w:ascii="宋体" w:hAnsi="宋体" w:eastAsia="宋体" w:cs="宋体"/>
          <w:sz w:val="24"/>
          <w:szCs w:val="24"/>
          <w:highlight w:val="none"/>
          <w:lang w:val="en-US" w:eastAsia="zh-CN"/>
        </w:rPr>
        <w:t>为招标人提供项目论证结果确认前的各项咨询服务，并</w:t>
      </w:r>
      <w:r>
        <w:rPr>
          <w:rFonts w:hint="eastAsia" w:ascii="宋体" w:hAnsi="宋体" w:eastAsia="宋体" w:cs="宋体"/>
          <w:sz w:val="24"/>
          <w:szCs w:val="24"/>
          <w:highlight w:val="none"/>
          <w:lang w:eastAsia="zh-CN"/>
        </w:rPr>
        <w:t>基于本规范书的要求，开展包括但不限于：全面市场调研、数据收集与分析、现场勘查、技术评估、财务测算、风险研判等工作，并最终形成符合国家及行业规范、内容完整、结论明确的可研报告。</w:t>
      </w:r>
    </w:p>
    <w:p>
      <w:pPr>
        <w:pStyle w:val="23"/>
        <w:numPr>
          <w:ilvl w:val="1"/>
          <w:numId w:val="0"/>
        </w:numPr>
        <w:spacing w:before="156" w:after="156" w:line="360" w:lineRule="auto"/>
        <w:ind w:left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1.3工作成果要求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可行性研究</w:t>
      </w:r>
      <w:r>
        <w:rPr>
          <w:rFonts w:hint="eastAsia" w:ascii="宋体" w:hAnsi="宋体" w:eastAsia="宋体" w:cs="宋体"/>
          <w:sz w:val="24"/>
          <w:szCs w:val="24"/>
          <w:highlight w:val="none"/>
          <w:lang w:eastAsia="zh-CN"/>
        </w:rPr>
        <w:t>报告编制工作必须紧紧围绕以下两个核心问题展开</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具体行文结构可参考1.5章节</w:t>
      </w:r>
      <w:r>
        <w:rPr>
          <w:rFonts w:hint="eastAsia" w:ascii="宋体" w:hAnsi="宋体" w:cs="宋体"/>
          <w:sz w:val="24"/>
          <w:szCs w:val="24"/>
          <w:highlight w:val="none"/>
          <w:lang w:eastAsia="zh-CN"/>
        </w:rPr>
        <w:t>）</w:t>
      </w:r>
      <w:r>
        <w:rPr>
          <w:rFonts w:hint="eastAsia" w:ascii="宋体" w:hAnsi="宋体" w:eastAsia="宋体" w:cs="宋体"/>
          <w:sz w:val="24"/>
          <w:szCs w:val="24"/>
          <w:highlight w:val="none"/>
          <w:lang w:eastAsia="zh-CN"/>
        </w:rPr>
        <w:t>，确保分析透彻、论证充分、结论清晰：</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核心问题一：由“拿地自建”变更为“购置现楼”</w:t>
      </w:r>
      <w:r>
        <w:rPr>
          <w:rFonts w:hint="eastAsia" w:ascii="宋体" w:hAnsi="宋体" w:eastAsia="宋体" w:cs="宋体"/>
          <w:b/>
          <w:bCs/>
          <w:sz w:val="24"/>
          <w:szCs w:val="24"/>
          <w:highlight w:val="none"/>
          <w:lang w:val="en-US" w:eastAsia="zh-CN"/>
        </w:rPr>
        <w:t>的可行性及</w:t>
      </w:r>
      <w:r>
        <w:rPr>
          <w:rFonts w:hint="eastAsia" w:ascii="宋体" w:hAnsi="宋体" w:eastAsia="宋体" w:cs="宋体"/>
          <w:b/>
          <w:bCs/>
          <w:sz w:val="24"/>
          <w:szCs w:val="24"/>
          <w:highlight w:val="none"/>
          <w:lang w:eastAsia="zh-CN"/>
        </w:rPr>
        <w:t>理由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本部分是报告的基础，需通过系统性的对比分析，构建变更建设方式的坚实逻辑。须开展包括但不限于以下工作：</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（一）</w:t>
      </w:r>
      <w:r>
        <w:rPr>
          <w:rFonts w:hint="eastAsia" w:ascii="宋体" w:hAnsi="宋体" w:eastAsia="宋体" w:cs="宋体"/>
          <w:sz w:val="24"/>
          <w:szCs w:val="24"/>
          <w:highlight w:val="none"/>
          <w:lang w:eastAsia="zh-CN"/>
        </w:rPr>
        <w:t>时间效率与需求紧迫性对比分析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自建周期量化分析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详细梳理“拿地自建”模式的全流程，包括但不限于：土地获取（需分析当前政策下的不确定性）、规划设计、各项报批报建（规划许可、施工许可等）、施工建设、竣工验收、不动产登记等。需基于当地现行政策和市场惯例，估算每个环节的合理时间，测算出自建模式下的最乐观、最可能的预计周期。</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购置周期量化分析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详细梳理“购置现楼”模式的全流程，包括但不限于：楼盘筛选、商务谈判、合同签订、付款、产权过户、二次装修（如需）、入驻等。</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（二）</w:t>
      </w:r>
      <w:r>
        <w:rPr>
          <w:rFonts w:hint="eastAsia" w:ascii="宋体" w:hAnsi="宋体" w:eastAsia="宋体" w:cs="宋体"/>
          <w:sz w:val="24"/>
          <w:szCs w:val="24"/>
          <w:highlight w:val="none"/>
          <w:lang w:eastAsia="zh-CN"/>
        </w:rPr>
        <w:t>全生命周期成本与效益对比分析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）自建模式总投资估算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基于原批复可研及当前市场价格水平，重新估算自建模式下的总投资成本。包括：土地出让金、建安工程费、基础设施建设费、公共配套设施费、开发期间税费、管理费用、财务费用等。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）购置模式总投资估算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详细测算购置模式下的总成本，包括：购房总价款、契税、印花税、维修基金、产权登记费、中介服务费（如有）及必要的二次改造投入。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）运营成本对比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对比分析两种模式下的年度运营成本，如自建模式的物业管理、能源费、维护维修等，与购置模式的物业管理费、能源费等。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）资产价值与灵活性分析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重点论证资产流动性。强调购置现楼可快速形成固定资产并投入使用。</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（三）</w:t>
      </w:r>
      <w:r>
        <w:rPr>
          <w:rFonts w:hint="eastAsia" w:ascii="宋体" w:hAnsi="宋体" w:eastAsia="宋体" w:cs="宋体"/>
          <w:sz w:val="24"/>
          <w:szCs w:val="24"/>
          <w:highlight w:val="none"/>
          <w:lang w:eastAsia="zh-CN"/>
        </w:rPr>
        <w:t>配套资源与产业生态对比分析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自建配套投入分析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估算自建模式下，为满足员工商业、餐饮、住宿（产业宿舍）、交通等需求所需投入的额外建设成本。</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购置模式配套优势分析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论证通过优选成熟楼盘，可直接共享其已有的商业综合体、餐饮、酒店、产业宿舍、便捷的公共交通（地铁、公交）等成熟配套，实现“拎包入住”，降低企业非核心业务投入。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产业集群效应分析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论证选择产城综合体或科技园区，能够便于与产业链上下游企业、同类科技公司进行协同创新、资源共享与人才交流，从而提升公司创新效率和人才吸引力。</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（四）</w:t>
      </w:r>
      <w:r>
        <w:rPr>
          <w:rFonts w:hint="eastAsia" w:ascii="宋体" w:hAnsi="宋体" w:eastAsia="宋体" w:cs="宋体"/>
          <w:sz w:val="24"/>
          <w:szCs w:val="24"/>
          <w:highlight w:val="none"/>
          <w:lang w:eastAsia="zh-CN"/>
        </w:rPr>
        <w:t>风险对比分析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分析自建模式下面临的工程超期、超概、质量、安全等风险。对比购置现楼模式在交付标准、质量可见性方面的确定性。</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核心问题二：选择购置现楼作为技术业务用房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须</w:t>
      </w:r>
      <w:r>
        <w:rPr>
          <w:rFonts w:hint="eastAsia" w:ascii="宋体" w:hAnsi="宋体" w:eastAsia="宋体" w:cs="宋体"/>
          <w:sz w:val="24"/>
          <w:szCs w:val="24"/>
          <w:highlight w:val="none"/>
          <w:lang w:val="en-US" w:eastAsia="zh-CN"/>
        </w:rPr>
        <w:t>以“变更建设方式更具备可行性”为假定条件，</w:t>
      </w:r>
      <w:r>
        <w:rPr>
          <w:rFonts w:hint="eastAsia" w:ascii="宋体" w:hAnsi="宋体" w:eastAsia="宋体" w:cs="宋体"/>
          <w:sz w:val="24"/>
          <w:szCs w:val="24"/>
          <w:highlight w:val="none"/>
          <w:lang w:eastAsia="zh-CN"/>
        </w:rPr>
        <w:t>通过多方案比选，明确推荐最优楼盘。须开展包括但不限于以下工作：</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（一）</w:t>
      </w:r>
      <w:r>
        <w:rPr>
          <w:rFonts w:hint="eastAsia" w:ascii="宋体" w:hAnsi="宋体" w:eastAsia="宋体" w:cs="宋体"/>
          <w:sz w:val="24"/>
          <w:szCs w:val="24"/>
          <w:highlight w:val="none"/>
          <w:lang w:eastAsia="zh-CN"/>
        </w:rPr>
        <w:t>备选楼盘池建立与初筛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市场扫描。在公司注册地进行全面的市场调研，寻找所有可能符合条件的现楼或准现楼楼盘。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建立初筛标准。制定明确的初筛指标，如：地理位置、可售总面积、单价与总价区间、产权性质、交付时间等。据此筛选出不少于</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个具有代表性的主力备选楼盘进入深度比选阶段。</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（二）</w:t>
      </w:r>
      <w:r>
        <w:rPr>
          <w:rFonts w:hint="eastAsia" w:ascii="宋体" w:hAnsi="宋体" w:eastAsia="宋体" w:cs="宋体"/>
          <w:sz w:val="24"/>
          <w:szCs w:val="24"/>
          <w:highlight w:val="none"/>
          <w:lang w:eastAsia="zh-CN"/>
        </w:rPr>
        <w:t>主力备选楼盘深度比选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对至少</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个主力备选楼盘进行以下全方位的深度分析、综合评价。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）技术适配性评估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地理位置与交通。精确测量各楼盘与公司核心业务区、主要人才居住区、交通枢纽（机场、高铁站）的距离和时间。分析周边道路网络状况、公共交通（地铁线路、公交站点）的便利度。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建筑本体与空间。核查楼宇的结构形式、标准层高、楼面荷载、柱网间距等是否满足技术设备布置、实验室（如有）的特殊要求。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基础设施条件。评估供电容量、弱电系统（网络运营商覆盖情况、光纤接入条件）、空调系统（中央空调/VRV）、</w:t>
      </w:r>
      <w:r>
        <w:rPr>
          <w:rFonts w:hint="eastAsia" w:ascii="宋体" w:hAnsi="宋体" w:cs="宋体"/>
          <w:sz w:val="24"/>
          <w:szCs w:val="24"/>
          <w:highlight w:val="none"/>
          <w:lang w:val="en-US" w:eastAsia="zh-CN"/>
        </w:rPr>
        <w:t>消防系统、</w:t>
      </w:r>
      <w:r>
        <w:rPr>
          <w:rFonts w:hint="eastAsia" w:ascii="宋体" w:hAnsi="宋体" w:eastAsia="宋体" w:cs="宋体"/>
          <w:sz w:val="24"/>
          <w:szCs w:val="24"/>
          <w:highlight w:val="none"/>
          <w:lang w:eastAsia="zh-CN"/>
        </w:rPr>
        <w:t>电梯配置、安防系统、给排水系统、停车位数量与配置（含新能源车位）等。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配套资源详查。实地调查并列表对比各楼盘的商业配套（餐饮、零售）、产业宿舍/公寓的距离与条件等，评估其质量、规模与满足员工需求的匹配度。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）经济性评估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购置成本明细测算。对每个楼盘，提供详细的购置成本测算表，包括：测算单价、总房款、契税、维修基金、登记费、中介费、</w:t>
      </w:r>
      <w:r>
        <w:rPr>
          <w:rFonts w:hint="eastAsia" w:ascii="宋体" w:hAnsi="宋体" w:eastAsia="宋体" w:cs="宋体"/>
          <w:sz w:val="24"/>
          <w:szCs w:val="24"/>
          <w:highlight w:val="none"/>
          <w:lang w:val="en-US" w:eastAsia="zh-CN"/>
        </w:rPr>
        <w:t>装修费</w:t>
      </w:r>
      <w:r>
        <w:rPr>
          <w:rFonts w:hint="eastAsia" w:ascii="宋体" w:hAnsi="宋体" w:eastAsia="宋体" w:cs="宋体"/>
          <w:sz w:val="24"/>
          <w:szCs w:val="24"/>
          <w:highlight w:val="none"/>
          <w:lang w:eastAsia="zh-CN"/>
        </w:rPr>
        <w:t>等所有可预见费用。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投资效益分析。在同等需求满足度下，对比各方案的总投资。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资产价值前景分析。基于楼盘所在地段、开发商品牌、物业品质、产业聚集度等因素，对备选楼盘未来的资产保值增值潜力做出专业判断。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）产业生态与软实力评估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园区产业定位与企业集群。深入调查各楼盘已入驻和拟入驻的企业名录，分析其行业分布、企业规模与知名度。判断是否存在与公司业务相关的产业链环节，评估潜在的合作机会与集群效应。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运营服务商评价。调查评估各楼盘的开发商背景、信誉及其指定的物业管理公司的品牌、口碑、服务标准、收费标准。重点考察其产业服务能力，如是否提供政策咨询、融资对接、技术交流平台、企业联谊等活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）政策与法律合规性评估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核实各楼盘的土地使用性质、房屋用途、产权清晰度。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重点核实“分割转让”政策。对于每个备选楼盘，必须向当地不动产登记中心等权威部门核实，确认其具备在满足一定条件（如持有满五年）后，可按独立单元进行分割转让并办理独立产权证的政策依据和实操案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eastAsia" w:ascii="宋体" w:hAnsi="宋体" w:cs="宋体"/>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基于以上两大核心问题，</w:t>
      </w:r>
      <w:r>
        <w:rPr>
          <w:rFonts w:hint="eastAsia" w:ascii="宋体" w:hAnsi="宋体" w:eastAsia="宋体" w:cs="宋体"/>
          <w:sz w:val="24"/>
          <w:szCs w:val="24"/>
          <w:highlight w:val="none"/>
          <w:lang w:eastAsia="zh-CN"/>
        </w:rPr>
        <w:t>在完成深度比选后，明确给出一个最优推荐方案。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编制详细的比选对比表，直观展示各备选楼盘在关键指标上的优劣。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总结陈述推荐楼盘在满足公司技术需求、成本控制、享受成熟配套与产业生态、资产灵活性以及未来增值潜力方面的综合优势，有力论证</w:t>
      </w:r>
      <w:r>
        <w:rPr>
          <w:rFonts w:hint="eastAsia" w:ascii="宋体" w:hAnsi="宋体" w:cs="宋体"/>
          <w:sz w:val="24"/>
          <w:szCs w:val="24"/>
          <w:highlight w:val="none"/>
          <w:lang w:val="en-US" w:eastAsia="zh-CN"/>
        </w:rPr>
        <w:t>期合理性和可行性</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1.4</w:t>
      </w:r>
      <w:r>
        <w:rPr>
          <w:rFonts w:hint="eastAsia" w:ascii="宋体" w:hAnsi="宋体" w:eastAsia="宋体" w:cs="宋体"/>
          <w:b/>
          <w:bCs/>
          <w:sz w:val="24"/>
          <w:szCs w:val="24"/>
          <w:highlight w:val="none"/>
          <w:lang w:eastAsia="zh-CN"/>
        </w:rPr>
        <w:t xml:space="preserve"> 报告编制工作流程与深度要求</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1.4</w:t>
      </w:r>
      <w:r>
        <w:rPr>
          <w:rFonts w:hint="eastAsia" w:ascii="宋体" w:hAnsi="宋体" w:eastAsia="宋体" w:cs="宋体"/>
          <w:b/>
          <w:bCs/>
          <w:sz w:val="24"/>
          <w:szCs w:val="24"/>
          <w:highlight w:val="none"/>
          <w:lang w:eastAsia="zh-CN"/>
        </w:rPr>
        <w:t>.1</w:t>
      </w:r>
      <w:r>
        <w:rPr>
          <w:rFonts w:hint="eastAsia" w:ascii="宋体" w:hAnsi="宋体" w:eastAsia="宋体" w:cs="宋体"/>
          <w:sz w:val="24"/>
          <w:szCs w:val="24"/>
          <w:highlight w:val="none"/>
          <w:lang w:eastAsia="zh-CN"/>
        </w:rPr>
        <w:t xml:space="preserve"> </w:t>
      </w:r>
      <w:r>
        <w:rPr>
          <w:rFonts w:hint="eastAsia" w:ascii="宋体" w:hAnsi="宋体" w:eastAsia="宋体" w:cs="宋体"/>
          <w:b/>
          <w:bCs/>
          <w:sz w:val="24"/>
          <w:szCs w:val="24"/>
          <w:highlight w:val="none"/>
          <w:lang w:val="en-US" w:eastAsia="zh-CN"/>
        </w:rPr>
        <w:t>工作流程要求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1.4.1.1 资料收集与调研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必须采用多种渠道，确保数据真实性。包括但不限于：政府公开数据、权威房地产数据库、实地勘查、与开发商/物业公司访谈、对已入驻企业的暗访或调研等。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1.4.1.2 现场勘查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必须对所有进入深度比选的楼盘进行现场实地勘查，拍摄现场照片，记录关键信息。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1.4.1.3 数据分析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所有分析需基于收集到的数据和事实，采用科学的分析方法（如SWOT分析、敏感性分析、盈亏平衡分析等），杜绝主观臆断。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1.4.1.4 风险分析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必须独立成章，系统识别购置推荐楼盘可能面临的各类风险（政策、市场、交易、运营等），并提出具体、可行的风险应对措施与建议。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1.4.1.5 结论与建议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结论必须明确、不含糊，直接回应两个核心问题。并应提出具体的后续工作步骤建议。</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1.4</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lang w:eastAsia="zh-CN"/>
        </w:rPr>
        <w:t xml:space="preserve"> </w:t>
      </w:r>
      <w:r>
        <w:rPr>
          <w:rFonts w:hint="eastAsia" w:ascii="宋体" w:hAnsi="宋体" w:eastAsia="宋体" w:cs="宋体"/>
          <w:b/>
          <w:bCs/>
          <w:sz w:val="24"/>
          <w:szCs w:val="24"/>
          <w:highlight w:val="none"/>
          <w:lang w:val="en-US" w:eastAsia="zh-CN"/>
        </w:rPr>
        <w:t>深度要求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1.充足性要求，即占有的信息资料的广度和数量，应满足各方案设计比选论证的需要。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2.可靠性要求，即对占有信息资料的来源和真伪进行辨识,以保证可行性研究报告准确可靠。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3.时效性要求，应对占有的信息资料发布的时间、时段进行辨识，以保证可行性研究报告,特别是有关预测结论的时效性。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完整性要求，报告应能充分反映项目可行性研究工作的成果,内容齐全，结论明确，数据准确,论据充分,满足决策者定方案定项目要求。拟定报告的过程如存在某些方案的重大分歧及未被采纳的理由，应客观真实地反应在可行性研究报告中，以供委托单位与投资者权衡利弊进行决策。</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1.5 可行性研究报告</w:t>
      </w:r>
      <w:r>
        <w:rPr>
          <w:rFonts w:hint="eastAsia" w:ascii="宋体" w:hAnsi="宋体" w:cs="宋体"/>
          <w:b/>
          <w:bCs/>
          <w:sz w:val="24"/>
          <w:szCs w:val="24"/>
          <w:highlight w:val="none"/>
          <w:lang w:val="en-US" w:eastAsia="zh-CN"/>
        </w:rPr>
        <w:t>至少</w:t>
      </w:r>
      <w:r>
        <w:rPr>
          <w:rFonts w:hint="eastAsia" w:ascii="宋体" w:hAnsi="宋体" w:eastAsia="宋体" w:cs="宋体"/>
          <w:b/>
          <w:bCs/>
          <w:sz w:val="24"/>
          <w:szCs w:val="24"/>
          <w:highlight w:val="none"/>
          <w:lang w:val="en-US" w:eastAsia="zh-CN"/>
        </w:rPr>
        <w:t>需包括以下内容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（一）项目总论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需包括项目名称，委托方，编制单位，项目概况，研究目的，项目结论、工作依据等。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（二）项目实施的背景、必要性分析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需包括项目实施的背景，必要性，项目不同模式下的经济效益、合理性（时间成本、需求紧迫性、产业集聚度或配套完善度、产业资源、风险点等）等方面对比分析（拿地自建与购置现房模式）。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（三）项目投资环境与市场研究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需包括深圳市概况，深圳空间结构与产业规划，宝安区概况，宝安区产业规划，深圳办公房地产市场分析，楼盘选址的可行性分析（选取宝安区多个备选现楼，结合市场情况进行综合对比）。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（四）项目SWOT及财务评价分析（确定选址后对拟购置物业进行分析）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需分析项目SWOT分析，项目总投资估算，财务评价等内容。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（五）可行性研究结论与分析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需包括项目经济效益、社会效益、项目风险与防范措施、结论与建议等内容。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（六）其他相关资料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包括其他需要说明的情况，相关附表与附件等。</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1.6 </w:t>
      </w:r>
      <w:r>
        <w:rPr>
          <w:rFonts w:hint="eastAsia" w:ascii="宋体" w:hAnsi="宋体" w:eastAsia="宋体" w:cs="宋体"/>
          <w:b/>
          <w:bCs/>
          <w:sz w:val="24"/>
          <w:szCs w:val="24"/>
          <w:highlight w:val="none"/>
          <w:lang w:eastAsia="zh-CN"/>
        </w:rPr>
        <w:t>交付要求</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1.6.1人员配置要求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cs="宋体"/>
          <w:sz w:val="24"/>
          <w:szCs w:val="24"/>
          <w:highlight w:val="none"/>
          <w:lang w:val="en-US" w:eastAsia="zh-CN"/>
        </w:rPr>
        <w:t>投标方须</w:t>
      </w:r>
      <w:r>
        <w:rPr>
          <w:rFonts w:hint="eastAsia" w:ascii="宋体" w:hAnsi="宋体" w:eastAsia="宋体" w:cs="宋体"/>
          <w:sz w:val="24"/>
          <w:szCs w:val="24"/>
          <w:highlight w:val="none"/>
          <w:lang w:val="en-US" w:eastAsia="zh-CN"/>
        </w:rPr>
        <w:t>根据项目可研技术服务的工作量、内容、范围、技术难度、时间要求等</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组成3人</w:t>
      </w:r>
      <w:r>
        <w:rPr>
          <w:rFonts w:hint="eastAsia" w:ascii="宋体" w:hAnsi="宋体" w:cs="宋体"/>
          <w:sz w:val="24"/>
          <w:szCs w:val="24"/>
          <w:highlight w:val="none"/>
          <w:lang w:val="en-US" w:eastAsia="zh-CN"/>
        </w:rPr>
        <w:t>及</w:t>
      </w:r>
      <w:r>
        <w:rPr>
          <w:rFonts w:hint="eastAsia" w:ascii="宋体" w:hAnsi="宋体" w:eastAsia="宋体" w:cs="宋体"/>
          <w:sz w:val="24"/>
          <w:szCs w:val="24"/>
          <w:highlight w:val="none"/>
          <w:lang w:val="en-US" w:eastAsia="zh-CN"/>
        </w:rPr>
        <w:t>以上的专项工作组</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明确项目实施人员配备方案，选派专业技术过硬、工程经验丰富、组织协调能力强的复合型人才担任工作组负责人。所有项目</w:t>
      </w:r>
      <w:r>
        <w:rPr>
          <w:rFonts w:hint="eastAsia" w:ascii="宋体" w:hAnsi="宋体" w:cs="宋体"/>
          <w:sz w:val="24"/>
          <w:szCs w:val="24"/>
          <w:highlight w:val="none"/>
          <w:lang w:val="en-US" w:eastAsia="zh-CN"/>
        </w:rPr>
        <w:t>参与</w:t>
      </w:r>
      <w:r>
        <w:rPr>
          <w:rFonts w:hint="eastAsia" w:ascii="宋体" w:hAnsi="宋体" w:eastAsia="宋体" w:cs="宋体"/>
          <w:sz w:val="24"/>
          <w:szCs w:val="24"/>
          <w:highlight w:val="none"/>
          <w:lang w:val="en-US" w:eastAsia="zh-CN"/>
        </w:rPr>
        <w:t>人员</w:t>
      </w:r>
      <w:r>
        <w:rPr>
          <w:rFonts w:hint="eastAsia" w:ascii="宋体" w:hAnsi="宋体" w:cs="宋体"/>
          <w:kern w:val="2"/>
          <w:sz w:val="24"/>
          <w:szCs w:val="24"/>
          <w:highlight w:val="none"/>
          <w:lang w:val="en-US" w:eastAsia="zh-CN" w:bidi="ar-SA"/>
        </w:rPr>
        <w:t>近三年内</w:t>
      </w:r>
      <w:r>
        <w:rPr>
          <w:rFonts w:hint="eastAsia" w:ascii="宋体" w:hAnsi="宋体" w:eastAsia="宋体" w:cs="宋体"/>
          <w:sz w:val="24"/>
          <w:szCs w:val="24"/>
          <w:highlight w:val="none"/>
          <w:lang w:val="en-US" w:eastAsia="zh-CN"/>
        </w:rPr>
        <w:t>均</w:t>
      </w:r>
      <w:r>
        <w:rPr>
          <w:rFonts w:hint="eastAsia" w:ascii="宋体" w:hAnsi="宋体" w:cs="宋体"/>
          <w:sz w:val="24"/>
          <w:szCs w:val="24"/>
          <w:highlight w:val="none"/>
          <w:lang w:val="en-US" w:eastAsia="zh-CN"/>
        </w:rPr>
        <w:t>须有参与</w:t>
      </w:r>
      <w:r>
        <w:rPr>
          <w:rFonts w:hint="eastAsia" w:ascii="宋体" w:hAnsi="宋体" w:cs="宋体"/>
          <w:kern w:val="2"/>
          <w:sz w:val="24"/>
          <w:szCs w:val="24"/>
          <w:highlight w:val="none"/>
          <w:lang w:val="en-US" w:eastAsia="zh-CN" w:bidi="ar-SA"/>
        </w:rPr>
        <w:t>购买物业可研编制服务的经验</w:t>
      </w:r>
      <w:r>
        <w:rPr>
          <w:rFonts w:hint="eastAsia" w:ascii="宋体" w:hAnsi="宋体" w:cs="宋体"/>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2.投标人应保证项目工作组的主要人员稳定，未经甲方</w:t>
      </w:r>
      <w:r>
        <w:rPr>
          <w:rFonts w:hint="eastAsia" w:ascii="宋体" w:hAnsi="宋体" w:eastAsia="宋体" w:cs="宋体"/>
          <w:sz w:val="24"/>
          <w:szCs w:val="24"/>
          <w:highlight w:val="none"/>
          <w:lang w:val="en-US" w:eastAsia="zh-Hans"/>
        </w:rPr>
        <w:t>书面</w:t>
      </w:r>
      <w:r>
        <w:rPr>
          <w:rFonts w:hint="eastAsia" w:ascii="宋体" w:hAnsi="宋体" w:eastAsia="宋体" w:cs="宋体"/>
          <w:sz w:val="24"/>
          <w:szCs w:val="24"/>
          <w:highlight w:val="none"/>
          <w:lang w:val="en-US" w:eastAsia="zh-CN"/>
        </w:rPr>
        <w:t>同意不得私自更换团队负责人和工作组成员</w:t>
      </w:r>
      <w:r>
        <w:rPr>
          <w:rFonts w:hint="eastAsia" w:ascii="宋体" w:hAnsi="宋体" w:cs="宋体"/>
          <w:sz w:val="24"/>
          <w:szCs w:val="24"/>
          <w:highlight w:val="none"/>
          <w:lang w:val="en-US" w:eastAsia="zh-CN"/>
        </w:rPr>
        <w:t>，如果</w:t>
      </w:r>
      <w:r>
        <w:rPr>
          <w:rFonts w:hint="eastAsia" w:ascii="宋体" w:hAnsi="宋体" w:eastAsia="宋体" w:cs="宋体"/>
          <w:sz w:val="24"/>
          <w:szCs w:val="24"/>
          <w:highlight w:val="none"/>
          <w:lang w:val="en-US" w:eastAsia="zh-CN"/>
        </w:rPr>
        <w:t>甲方认为不合适的</w:t>
      </w:r>
      <w:r>
        <w:rPr>
          <w:rFonts w:hint="eastAsia" w:ascii="宋体" w:hAnsi="宋体" w:cs="宋体"/>
          <w:sz w:val="24"/>
          <w:szCs w:val="24"/>
          <w:highlight w:val="none"/>
          <w:lang w:val="en-US" w:eastAsia="zh-CN"/>
        </w:rPr>
        <w:t>，则须</w:t>
      </w:r>
      <w:r>
        <w:rPr>
          <w:rFonts w:hint="eastAsia" w:ascii="宋体" w:hAnsi="宋体" w:eastAsia="宋体" w:cs="宋体"/>
          <w:sz w:val="24"/>
          <w:szCs w:val="24"/>
          <w:highlight w:val="none"/>
          <w:lang w:val="en-US" w:eastAsia="zh-CN"/>
        </w:rPr>
        <w:t>及时更换。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3.项目负责人需配合招标方参加/列席材料评审会议、汇报会议不低于2次（如招标人无此要求的除外）。</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1.6.2时间要求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成果交付时间要求：项目需在签订合同后1</w:t>
      </w:r>
      <w:r>
        <w:rPr>
          <w:rFonts w:hint="eastAsia" w:ascii="宋体" w:hAnsi="宋体" w:cs="宋体"/>
          <w:sz w:val="24"/>
          <w:szCs w:val="24"/>
          <w:highlight w:val="none"/>
          <w:lang w:val="en-US" w:eastAsia="zh-CN"/>
        </w:rPr>
        <w:t>0</w:t>
      </w:r>
      <w:r>
        <w:rPr>
          <w:rFonts w:hint="eastAsia" w:ascii="宋体" w:hAnsi="宋体" w:eastAsia="宋体" w:cs="宋体"/>
          <w:sz w:val="24"/>
          <w:szCs w:val="24"/>
          <w:highlight w:val="none"/>
          <w:lang w:val="en-US" w:eastAsia="zh-CN"/>
        </w:rPr>
        <w:t>个工作日内交付初稿，经招标方提供修改意见后，5个工作日内交付修改版本。</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本项目服务要求：自合同签订之日起，至该项目可行性研究报告通过各级审批</w:t>
      </w:r>
      <w:r>
        <w:rPr>
          <w:rFonts w:hint="eastAsia" w:ascii="宋体" w:hAnsi="宋体" w:cs="宋体"/>
          <w:sz w:val="24"/>
          <w:szCs w:val="24"/>
          <w:highlight w:val="none"/>
          <w:lang w:val="en-US" w:eastAsia="zh-CN"/>
        </w:rPr>
        <w:t>为</w:t>
      </w:r>
      <w:r>
        <w:rPr>
          <w:rFonts w:hint="eastAsia" w:ascii="宋体" w:hAnsi="宋体" w:eastAsia="宋体" w:cs="宋体"/>
          <w:sz w:val="24"/>
          <w:szCs w:val="24"/>
          <w:highlight w:val="none"/>
          <w:lang w:val="en-US" w:eastAsia="zh-CN"/>
        </w:rPr>
        <w:t>止。</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1.6.3成果交付要求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《技术业务用房购置项目可行性研究报告》纸质版至少</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份，电子版（PDF及可编辑的Word格式）各1份。报告应结构完整、文字精炼、图表清晰、数据详实、论证严密。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所有调研分析的基础资料与过程文件。包括但不限于市场调研原始数据、楼盘楼书、政策文件截图或复印件、计算底稿、访谈纪要、现场照片集等，分类整理成电子档案。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汇报用演示文件（PPT）。一份高度精炼的汇报材料（30页左右），逻辑清晰，重点突出。</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1.6.4其他要求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cs="宋体"/>
          <w:sz w:val="24"/>
          <w:szCs w:val="24"/>
          <w:highlight w:val="none"/>
          <w:lang w:val="en-US" w:eastAsia="zh-CN"/>
        </w:rPr>
        <w:t>投</w:t>
      </w:r>
      <w:r>
        <w:rPr>
          <w:rFonts w:hint="eastAsia" w:ascii="宋体" w:hAnsi="宋体" w:eastAsia="宋体" w:cs="宋体"/>
          <w:sz w:val="24"/>
          <w:szCs w:val="24"/>
          <w:highlight w:val="none"/>
          <w:lang w:val="en-US" w:eastAsia="zh-CN"/>
        </w:rPr>
        <w:t>标方有义务配合</w:t>
      </w:r>
      <w:r>
        <w:rPr>
          <w:rFonts w:hint="eastAsia" w:ascii="宋体" w:hAnsi="宋体" w:cs="宋体"/>
          <w:sz w:val="24"/>
          <w:szCs w:val="24"/>
          <w:highlight w:val="none"/>
          <w:lang w:val="en-US" w:eastAsia="zh-CN"/>
        </w:rPr>
        <w:t>招</w:t>
      </w:r>
      <w:r>
        <w:rPr>
          <w:rFonts w:hint="eastAsia" w:ascii="宋体" w:hAnsi="宋体" w:eastAsia="宋体" w:cs="宋体"/>
          <w:sz w:val="24"/>
          <w:szCs w:val="24"/>
          <w:highlight w:val="none"/>
          <w:lang w:val="en-US" w:eastAsia="zh-CN"/>
        </w:rPr>
        <w:t>标方做好公司内部或外部对本成果文件涉及的审计督查工作，如有需要，投标方须无条件配合出示说明或澄清等文件。</w:t>
      </w:r>
    </w:p>
    <w:p>
      <w:pPr>
        <w:pStyle w:val="2"/>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投标方对可行性研究报告及引用的相关资料的真实性、客观性、合法合规性负责，如查实本成果文件存在不合理、不符合法律/法规/政策规定/企业规范要求等问题，投标方应当在招标方要求的时间范围内负责处理，并提供相应文件。</w:t>
      </w:r>
    </w:p>
    <w:p>
      <w:pPr>
        <w:numPr>
          <w:ilvl w:val="0"/>
          <w:numId w:val="0"/>
        </w:numPr>
        <w:spacing w:line="360" w:lineRule="auto"/>
        <w:ind w:firstLine="480" w:firstLineChars="200"/>
        <w:rPr>
          <w:rFonts w:hint="eastAsia" w:ascii="宋体" w:hAnsi="宋体" w:eastAsia="宋体" w:cs="宋体"/>
          <w:b w:val="0"/>
          <w:bCs w:val="0"/>
          <w:i w:val="0"/>
          <w:color w:val="000000"/>
          <w:sz w:val="24"/>
          <w:szCs w:val="24"/>
          <w:highlight w:val="none"/>
          <w:u w:val="none"/>
          <w:lang w:val="en-US" w:eastAsia="zh-CN"/>
        </w:rPr>
      </w:pPr>
    </w:p>
    <w:sectPr>
      <w:headerReference r:id="rId9" w:type="default"/>
      <w:footerReference r:id="rId10" w:type="default"/>
      <w:footerReference r:id="rId11" w:type="even"/>
      <w:pgSz w:w="11906" w:h="16838"/>
      <w:pgMar w:top="1134" w:right="1797" w:bottom="1134" w:left="1797" w:header="851" w:footer="680"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18"/>
      </w:rPr>
    </w:pPr>
    <w:r>
      <w:fldChar w:fldCharType="begin"/>
    </w:r>
    <w:r>
      <w:instrText xml:space="preserve">PAGE  </w:instrText>
    </w:r>
    <w:r>
      <w:fldChar w:fldCharType="end"/>
    </w:r>
  </w:p>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FF2E74"/>
    <w:multiLevelType w:val="singleLevel"/>
    <w:tmpl w:val="9FFF2E74"/>
    <w:lvl w:ilvl="0" w:tentative="0">
      <w:start w:val="2"/>
      <w:numFmt w:val="decimal"/>
      <w:suff w:val="nothing"/>
      <w:lvlText w:val="（%1）"/>
      <w:lvlJc w:val="left"/>
    </w:lvl>
  </w:abstractNum>
  <w:abstractNum w:abstractNumId="1">
    <w:nsid w:val="118C5290"/>
    <w:multiLevelType w:val="multilevel"/>
    <w:tmpl w:val="118C5290"/>
    <w:lvl w:ilvl="0" w:tentative="0">
      <w:start w:val="1"/>
      <w:numFmt w:val="decimal"/>
      <w:suff w:val="nothing"/>
      <w:lvlText w:val="%1."/>
      <w:lvlJc w:val="left"/>
      <w:pPr>
        <w:ind w:left="425" w:hanging="425"/>
      </w:pPr>
      <w:rPr>
        <w:rFonts w:hint="eastAsia"/>
      </w:rPr>
    </w:lvl>
    <w:lvl w:ilvl="1" w:tentative="0">
      <w:start w:val="1"/>
      <w:numFmt w:val="decimal"/>
      <w:pStyle w:val="23"/>
      <w:suff w:val="nothing"/>
      <w:lvlText w:val="%1.%2."/>
      <w:lvlJc w:val="left"/>
      <w:pPr>
        <w:ind w:left="0" w:firstLine="0"/>
      </w:pPr>
      <w:rPr>
        <w:rFonts w:hint="eastAsia"/>
      </w:rPr>
    </w:lvl>
    <w:lvl w:ilvl="2" w:tentative="0">
      <w:start w:val="1"/>
      <w:numFmt w:val="decimal"/>
      <w:suff w:val="nothing"/>
      <w:lvlText w:val="%1.%2.%3."/>
      <w:lvlJc w:val="left"/>
      <w:pPr>
        <w:ind w:left="709" w:hanging="709"/>
      </w:pPr>
      <w:rPr>
        <w:rFonts w:hint="eastAsia"/>
      </w:rPr>
    </w:lvl>
    <w:lvl w:ilvl="3" w:tentative="0">
      <w:start w:val="1"/>
      <w:numFmt w:val="decimal"/>
      <w:suff w:val="nothing"/>
      <w:lvlText w:val="%1.%2.%3.%4."/>
      <w:lvlJc w:val="left"/>
      <w:pPr>
        <w:ind w:left="851" w:hanging="851"/>
      </w:pPr>
      <w:rPr>
        <w:rFonts w:hint="eastAsia"/>
      </w:rPr>
    </w:lvl>
    <w:lvl w:ilvl="4" w:tentative="0">
      <w:start w:val="1"/>
      <w:numFmt w:val="decimal"/>
      <w:suff w:val="nothing"/>
      <w:lvlText w:val="%1.%2.%3.%4.%5."/>
      <w:lvlJc w:val="left"/>
      <w:pPr>
        <w:ind w:left="992" w:hanging="992"/>
      </w:pPr>
      <w:rPr>
        <w:rFonts w:hint="eastAsia"/>
      </w:rPr>
    </w:lvl>
    <w:lvl w:ilvl="5" w:tentative="0">
      <w:start w:val="1"/>
      <w:numFmt w:val="decimal"/>
      <w:suff w:val="nothing"/>
      <w:lvlText w:val="%1.%2.%3.%4.%5.%6."/>
      <w:lvlJc w:val="left"/>
      <w:pPr>
        <w:ind w:left="1134" w:hanging="1134"/>
      </w:pPr>
      <w:rPr>
        <w:rFonts w:hint="eastAsia"/>
      </w:rPr>
    </w:lvl>
    <w:lvl w:ilvl="6" w:tentative="0">
      <w:start w:val="1"/>
      <w:numFmt w:val="decimal"/>
      <w:suff w:val="nothing"/>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2">
    <w:nsid w:val="2BA2CE16"/>
    <w:multiLevelType w:val="singleLevel"/>
    <w:tmpl w:val="2BA2CE16"/>
    <w:lvl w:ilvl="0" w:tentative="0">
      <w:start w:val="1"/>
      <w:numFmt w:val="decimal"/>
      <w:pStyle w:val="8"/>
      <w:lvlText w:val="%1."/>
      <w:lvlJc w:val="left"/>
      <w:pPr>
        <w:tabs>
          <w:tab w:val="left" w:pos="780"/>
        </w:tabs>
        <w:ind w:left="7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formatting="1"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DDC"/>
    <w:rsid w:val="0002665B"/>
    <w:rsid w:val="00080933"/>
    <w:rsid w:val="001009F6"/>
    <w:rsid w:val="00152F2D"/>
    <w:rsid w:val="0017317F"/>
    <w:rsid w:val="00181AA2"/>
    <w:rsid w:val="001E2219"/>
    <w:rsid w:val="002D5D03"/>
    <w:rsid w:val="00513631"/>
    <w:rsid w:val="005167CE"/>
    <w:rsid w:val="005446B3"/>
    <w:rsid w:val="00736EAC"/>
    <w:rsid w:val="00771404"/>
    <w:rsid w:val="00800AF6"/>
    <w:rsid w:val="008F7DDC"/>
    <w:rsid w:val="00AB2516"/>
    <w:rsid w:val="00D95CED"/>
    <w:rsid w:val="00E90C0D"/>
    <w:rsid w:val="0104646A"/>
    <w:rsid w:val="01187BDA"/>
    <w:rsid w:val="0170404F"/>
    <w:rsid w:val="01D461B1"/>
    <w:rsid w:val="0245782A"/>
    <w:rsid w:val="024F5C5D"/>
    <w:rsid w:val="02701C77"/>
    <w:rsid w:val="02B229EB"/>
    <w:rsid w:val="02B70766"/>
    <w:rsid w:val="02D848CE"/>
    <w:rsid w:val="02FD4578"/>
    <w:rsid w:val="032356B1"/>
    <w:rsid w:val="032B2CE5"/>
    <w:rsid w:val="03504D33"/>
    <w:rsid w:val="035D6DD6"/>
    <w:rsid w:val="0394417E"/>
    <w:rsid w:val="03986975"/>
    <w:rsid w:val="03C377B9"/>
    <w:rsid w:val="03C55A68"/>
    <w:rsid w:val="03E01117"/>
    <w:rsid w:val="045D4134"/>
    <w:rsid w:val="04AA26ED"/>
    <w:rsid w:val="04AB57B8"/>
    <w:rsid w:val="04F847F5"/>
    <w:rsid w:val="0522647B"/>
    <w:rsid w:val="052F448C"/>
    <w:rsid w:val="05467826"/>
    <w:rsid w:val="0559557B"/>
    <w:rsid w:val="055E632C"/>
    <w:rsid w:val="056004DF"/>
    <w:rsid w:val="05821D18"/>
    <w:rsid w:val="05E56C0B"/>
    <w:rsid w:val="05FB615F"/>
    <w:rsid w:val="05FD5DDE"/>
    <w:rsid w:val="0609281A"/>
    <w:rsid w:val="065232EA"/>
    <w:rsid w:val="06C47189"/>
    <w:rsid w:val="07300CC3"/>
    <w:rsid w:val="074D67A4"/>
    <w:rsid w:val="07534192"/>
    <w:rsid w:val="07844961"/>
    <w:rsid w:val="07BA7D6F"/>
    <w:rsid w:val="07D9038F"/>
    <w:rsid w:val="07F12D96"/>
    <w:rsid w:val="0815126B"/>
    <w:rsid w:val="0818193B"/>
    <w:rsid w:val="081B3BDB"/>
    <w:rsid w:val="082422EC"/>
    <w:rsid w:val="083A5534"/>
    <w:rsid w:val="0843532F"/>
    <w:rsid w:val="08591B61"/>
    <w:rsid w:val="0875556E"/>
    <w:rsid w:val="08955D9F"/>
    <w:rsid w:val="08CC5F7D"/>
    <w:rsid w:val="08D02891"/>
    <w:rsid w:val="092D4D1C"/>
    <w:rsid w:val="094E5251"/>
    <w:rsid w:val="096170E4"/>
    <w:rsid w:val="09A12779"/>
    <w:rsid w:val="09A7749A"/>
    <w:rsid w:val="09B8526D"/>
    <w:rsid w:val="09B92A28"/>
    <w:rsid w:val="09F31262"/>
    <w:rsid w:val="0A4550B4"/>
    <w:rsid w:val="0A8E162E"/>
    <w:rsid w:val="0A9510A0"/>
    <w:rsid w:val="0AA54E8A"/>
    <w:rsid w:val="0AB2039C"/>
    <w:rsid w:val="0AC01979"/>
    <w:rsid w:val="0ADD11E0"/>
    <w:rsid w:val="0AEA3D79"/>
    <w:rsid w:val="0AEA5805"/>
    <w:rsid w:val="0AEF497D"/>
    <w:rsid w:val="0B005F1C"/>
    <w:rsid w:val="0B4778F0"/>
    <w:rsid w:val="0C1F4093"/>
    <w:rsid w:val="0C2D5CD4"/>
    <w:rsid w:val="0C3D2EAC"/>
    <w:rsid w:val="0C4A13B6"/>
    <w:rsid w:val="0CB9526E"/>
    <w:rsid w:val="0D003464"/>
    <w:rsid w:val="0D0904F0"/>
    <w:rsid w:val="0D143F17"/>
    <w:rsid w:val="0DDF724E"/>
    <w:rsid w:val="0E860CE1"/>
    <w:rsid w:val="0EB12E2A"/>
    <w:rsid w:val="0EDB5D92"/>
    <w:rsid w:val="0F5305BA"/>
    <w:rsid w:val="0F8F183D"/>
    <w:rsid w:val="10195E83"/>
    <w:rsid w:val="103B2931"/>
    <w:rsid w:val="10453240"/>
    <w:rsid w:val="104F42A7"/>
    <w:rsid w:val="105E5089"/>
    <w:rsid w:val="10720452"/>
    <w:rsid w:val="10B93A27"/>
    <w:rsid w:val="10FD716C"/>
    <w:rsid w:val="111D6A6D"/>
    <w:rsid w:val="118C5756"/>
    <w:rsid w:val="119B5D70"/>
    <w:rsid w:val="119E2444"/>
    <w:rsid w:val="11B451AC"/>
    <w:rsid w:val="120C4DAA"/>
    <w:rsid w:val="124B7483"/>
    <w:rsid w:val="12DB71B2"/>
    <w:rsid w:val="12FD6BC9"/>
    <w:rsid w:val="12FD7F36"/>
    <w:rsid w:val="13140157"/>
    <w:rsid w:val="13272F78"/>
    <w:rsid w:val="13443CDD"/>
    <w:rsid w:val="13537504"/>
    <w:rsid w:val="136640E2"/>
    <w:rsid w:val="13714672"/>
    <w:rsid w:val="13841114"/>
    <w:rsid w:val="13B341E1"/>
    <w:rsid w:val="13C13090"/>
    <w:rsid w:val="13C17921"/>
    <w:rsid w:val="13C269FA"/>
    <w:rsid w:val="159921D5"/>
    <w:rsid w:val="15A85596"/>
    <w:rsid w:val="15B77106"/>
    <w:rsid w:val="15DE269F"/>
    <w:rsid w:val="16084742"/>
    <w:rsid w:val="16D162FD"/>
    <w:rsid w:val="16F342B3"/>
    <w:rsid w:val="17753588"/>
    <w:rsid w:val="17821FDA"/>
    <w:rsid w:val="178725A8"/>
    <w:rsid w:val="17A62E5D"/>
    <w:rsid w:val="187447AF"/>
    <w:rsid w:val="191841DE"/>
    <w:rsid w:val="1928378F"/>
    <w:rsid w:val="19517616"/>
    <w:rsid w:val="195F1010"/>
    <w:rsid w:val="19B24C92"/>
    <w:rsid w:val="19E03922"/>
    <w:rsid w:val="19FA1CC1"/>
    <w:rsid w:val="1A081343"/>
    <w:rsid w:val="1A0C7D49"/>
    <w:rsid w:val="1A2608F3"/>
    <w:rsid w:val="1A6229BC"/>
    <w:rsid w:val="1AEF5DBD"/>
    <w:rsid w:val="1B2977B9"/>
    <w:rsid w:val="1B301DA5"/>
    <w:rsid w:val="1B345DDA"/>
    <w:rsid w:val="1B8E0535"/>
    <w:rsid w:val="1BC16115"/>
    <w:rsid w:val="1BD0092E"/>
    <w:rsid w:val="1C3C4BCB"/>
    <w:rsid w:val="1C3F1DCF"/>
    <w:rsid w:val="1C710F90"/>
    <w:rsid w:val="1C8E1FE6"/>
    <w:rsid w:val="1CA101E9"/>
    <w:rsid w:val="1CE4275D"/>
    <w:rsid w:val="1D155742"/>
    <w:rsid w:val="1D5368AC"/>
    <w:rsid w:val="1D554B87"/>
    <w:rsid w:val="1D9F2C02"/>
    <w:rsid w:val="1DF46A4D"/>
    <w:rsid w:val="1E002BDC"/>
    <w:rsid w:val="1E2C0F08"/>
    <w:rsid w:val="1EE726A3"/>
    <w:rsid w:val="1F022D6F"/>
    <w:rsid w:val="1F2A0C86"/>
    <w:rsid w:val="1F2B06B0"/>
    <w:rsid w:val="1F46255F"/>
    <w:rsid w:val="1F9906FB"/>
    <w:rsid w:val="1FC16625"/>
    <w:rsid w:val="20404975"/>
    <w:rsid w:val="209C7B4E"/>
    <w:rsid w:val="20AC32A4"/>
    <w:rsid w:val="20B42736"/>
    <w:rsid w:val="20BE0AC7"/>
    <w:rsid w:val="20EC0311"/>
    <w:rsid w:val="212B31DD"/>
    <w:rsid w:val="21666E2B"/>
    <w:rsid w:val="217207CC"/>
    <w:rsid w:val="21E71DB5"/>
    <w:rsid w:val="223E223C"/>
    <w:rsid w:val="22873935"/>
    <w:rsid w:val="22A45D59"/>
    <w:rsid w:val="22A55472"/>
    <w:rsid w:val="22A76BC4"/>
    <w:rsid w:val="22D40FA2"/>
    <w:rsid w:val="22DB33C0"/>
    <w:rsid w:val="230D2F13"/>
    <w:rsid w:val="231738FF"/>
    <w:rsid w:val="231E2950"/>
    <w:rsid w:val="2320310E"/>
    <w:rsid w:val="232542DA"/>
    <w:rsid w:val="23765EEA"/>
    <w:rsid w:val="238232C5"/>
    <w:rsid w:val="23A25BE1"/>
    <w:rsid w:val="23A80971"/>
    <w:rsid w:val="23B57719"/>
    <w:rsid w:val="23EA3872"/>
    <w:rsid w:val="241F6AF4"/>
    <w:rsid w:val="244A5795"/>
    <w:rsid w:val="245C2990"/>
    <w:rsid w:val="245E018F"/>
    <w:rsid w:val="246F29D3"/>
    <w:rsid w:val="247107D4"/>
    <w:rsid w:val="24873909"/>
    <w:rsid w:val="24C1171A"/>
    <w:rsid w:val="24D623F9"/>
    <w:rsid w:val="25172C02"/>
    <w:rsid w:val="25323514"/>
    <w:rsid w:val="25943595"/>
    <w:rsid w:val="259557B7"/>
    <w:rsid w:val="25AC53DC"/>
    <w:rsid w:val="25D00CE5"/>
    <w:rsid w:val="2621539B"/>
    <w:rsid w:val="26340339"/>
    <w:rsid w:val="2688131F"/>
    <w:rsid w:val="269243D5"/>
    <w:rsid w:val="2726686C"/>
    <w:rsid w:val="27360F82"/>
    <w:rsid w:val="276A016D"/>
    <w:rsid w:val="27A03DE2"/>
    <w:rsid w:val="280755BB"/>
    <w:rsid w:val="285C4CC5"/>
    <w:rsid w:val="2876460D"/>
    <w:rsid w:val="28B00ECC"/>
    <w:rsid w:val="28B44624"/>
    <w:rsid w:val="28E848A9"/>
    <w:rsid w:val="290D4AE9"/>
    <w:rsid w:val="29A94967"/>
    <w:rsid w:val="29D341CB"/>
    <w:rsid w:val="2A19049E"/>
    <w:rsid w:val="2A327D22"/>
    <w:rsid w:val="2A3B7474"/>
    <w:rsid w:val="2A5C15F5"/>
    <w:rsid w:val="2A6A6FA4"/>
    <w:rsid w:val="2AA76E09"/>
    <w:rsid w:val="2AC94DBF"/>
    <w:rsid w:val="2ACD1247"/>
    <w:rsid w:val="2B264349"/>
    <w:rsid w:val="2B394179"/>
    <w:rsid w:val="2B62753C"/>
    <w:rsid w:val="2B7042D3"/>
    <w:rsid w:val="2B817587"/>
    <w:rsid w:val="2B9B099A"/>
    <w:rsid w:val="2BB36BE6"/>
    <w:rsid w:val="2BE1588C"/>
    <w:rsid w:val="2C362245"/>
    <w:rsid w:val="2C380FC2"/>
    <w:rsid w:val="2C547DC9"/>
    <w:rsid w:val="2CEE4CC5"/>
    <w:rsid w:val="2D5910B4"/>
    <w:rsid w:val="2D5A1875"/>
    <w:rsid w:val="2D757EA0"/>
    <w:rsid w:val="2D9716DA"/>
    <w:rsid w:val="2DCE3DB2"/>
    <w:rsid w:val="2E1113A3"/>
    <w:rsid w:val="2E570428"/>
    <w:rsid w:val="2E683FB0"/>
    <w:rsid w:val="2EB63E04"/>
    <w:rsid w:val="2EFE4DF5"/>
    <w:rsid w:val="2F65794A"/>
    <w:rsid w:val="2F964A23"/>
    <w:rsid w:val="2FA62B4E"/>
    <w:rsid w:val="2FBD105F"/>
    <w:rsid w:val="2FBF4562"/>
    <w:rsid w:val="2FEC412C"/>
    <w:rsid w:val="300C1BA6"/>
    <w:rsid w:val="30121DEE"/>
    <w:rsid w:val="301C0840"/>
    <w:rsid w:val="3020552E"/>
    <w:rsid w:val="306206C2"/>
    <w:rsid w:val="30704386"/>
    <w:rsid w:val="3086432B"/>
    <w:rsid w:val="30B8257C"/>
    <w:rsid w:val="31252BA8"/>
    <w:rsid w:val="31A30558"/>
    <w:rsid w:val="32724DD0"/>
    <w:rsid w:val="327C57E6"/>
    <w:rsid w:val="32930B88"/>
    <w:rsid w:val="32B3636B"/>
    <w:rsid w:val="32E4562D"/>
    <w:rsid w:val="32FA2CBE"/>
    <w:rsid w:val="331D2CEA"/>
    <w:rsid w:val="334503B8"/>
    <w:rsid w:val="335D1C32"/>
    <w:rsid w:val="33757815"/>
    <w:rsid w:val="33953C2E"/>
    <w:rsid w:val="33FF585B"/>
    <w:rsid w:val="341344FC"/>
    <w:rsid w:val="342F05A9"/>
    <w:rsid w:val="343018AE"/>
    <w:rsid w:val="343A43BC"/>
    <w:rsid w:val="343F4753"/>
    <w:rsid w:val="34845EC7"/>
    <w:rsid w:val="34C20EBA"/>
    <w:rsid w:val="34CE4170"/>
    <w:rsid w:val="34EA7B3E"/>
    <w:rsid w:val="35201CDC"/>
    <w:rsid w:val="353A55E3"/>
    <w:rsid w:val="3554290A"/>
    <w:rsid w:val="35547EC2"/>
    <w:rsid w:val="35576F3E"/>
    <w:rsid w:val="35796EEA"/>
    <w:rsid w:val="35B20DC8"/>
    <w:rsid w:val="363C5ACF"/>
    <w:rsid w:val="36AC5B4A"/>
    <w:rsid w:val="36C373FA"/>
    <w:rsid w:val="36DD0212"/>
    <w:rsid w:val="36E347D7"/>
    <w:rsid w:val="374D5661"/>
    <w:rsid w:val="37A543D8"/>
    <w:rsid w:val="3810116A"/>
    <w:rsid w:val="3812280E"/>
    <w:rsid w:val="382C4093"/>
    <w:rsid w:val="38F96743"/>
    <w:rsid w:val="395F4A2E"/>
    <w:rsid w:val="39647B01"/>
    <w:rsid w:val="39857592"/>
    <w:rsid w:val="3998390E"/>
    <w:rsid w:val="39F01D9F"/>
    <w:rsid w:val="3A7F2907"/>
    <w:rsid w:val="3AA86AB0"/>
    <w:rsid w:val="3AAE0ACA"/>
    <w:rsid w:val="3AE91C5C"/>
    <w:rsid w:val="3B105E50"/>
    <w:rsid w:val="3B5D312D"/>
    <w:rsid w:val="3BBD5BD0"/>
    <w:rsid w:val="3BC67B9B"/>
    <w:rsid w:val="3BDC7EC0"/>
    <w:rsid w:val="3BE63153"/>
    <w:rsid w:val="3BFA1DF4"/>
    <w:rsid w:val="3C0C6D3C"/>
    <w:rsid w:val="3C1D522E"/>
    <w:rsid w:val="3C20213A"/>
    <w:rsid w:val="3CA24C33"/>
    <w:rsid w:val="3CBA4BB4"/>
    <w:rsid w:val="3CE55B08"/>
    <w:rsid w:val="3D1761C0"/>
    <w:rsid w:val="3D733BDF"/>
    <w:rsid w:val="3D9E2898"/>
    <w:rsid w:val="3DBC1A54"/>
    <w:rsid w:val="3DC67C40"/>
    <w:rsid w:val="3E0125DA"/>
    <w:rsid w:val="3E096F60"/>
    <w:rsid w:val="3E781FED"/>
    <w:rsid w:val="3EF422CC"/>
    <w:rsid w:val="403646E7"/>
    <w:rsid w:val="407676CF"/>
    <w:rsid w:val="409619DD"/>
    <w:rsid w:val="40AC7BA9"/>
    <w:rsid w:val="40DE4D21"/>
    <w:rsid w:val="41466299"/>
    <w:rsid w:val="417B466A"/>
    <w:rsid w:val="41ED5FB7"/>
    <w:rsid w:val="42026EA4"/>
    <w:rsid w:val="421A3400"/>
    <w:rsid w:val="426E780A"/>
    <w:rsid w:val="42D96B66"/>
    <w:rsid w:val="42DE0AA4"/>
    <w:rsid w:val="43065006"/>
    <w:rsid w:val="43780574"/>
    <w:rsid w:val="43782A6B"/>
    <w:rsid w:val="43AD1BCF"/>
    <w:rsid w:val="43D20FC4"/>
    <w:rsid w:val="43F1391C"/>
    <w:rsid w:val="441805D2"/>
    <w:rsid w:val="44647CC4"/>
    <w:rsid w:val="449A478B"/>
    <w:rsid w:val="44BA2C52"/>
    <w:rsid w:val="44F853CC"/>
    <w:rsid w:val="454C21C0"/>
    <w:rsid w:val="456C2437"/>
    <w:rsid w:val="45EA3344"/>
    <w:rsid w:val="466350A6"/>
    <w:rsid w:val="4672015B"/>
    <w:rsid w:val="46896345"/>
    <w:rsid w:val="46C53FAB"/>
    <w:rsid w:val="46D354BF"/>
    <w:rsid w:val="46E8616F"/>
    <w:rsid w:val="47011D53"/>
    <w:rsid w:val="478D4538"/>
    <w:rsid w:val="47A16E12"/>
    <w:rsid w:val="47C105D2"/>
    <w:rsid w:val="47EA507A"/>
    <w:rsid w:val="47F71D9F"/>
    <w:rsid w:val="48141018"/>
    <w:rsid w:val="482D0EBE"/>
    <w:rsid w:val="48745C44"/>
    <w:rsid w:val="48754DEC"/>
    <w:rsid w:val="48847404"/>
    <w:rsid w:val="49287F12"/>
    <w:rsid w:val="494D1FE0"/>
    <w:rsid w:val="49743CCB"/>
    <w:rsid w:val="49950546"/>
    <w:rsid w:val="49956163"/>
    <w:rsid w:val="49A3785C"/>
    <w:rsid w:val="4A0059F7"/>
    <w:rsid w:val="4A424FAB"/>
    <w:rsid w:val="4A5C2977"/>
    <w:rsid w:val="4A6960D7"/>
    <w:rsid w:val="4A9C01C8"/>
    <w:rsid w:val="4ABE4B31"/>
    <w:rsid w:val="4AE10568"/>
    <w:rsid w:val="4B193F45"/>
    <w:rsid w:val="4B1B7449"/>
    <w:rsid w:val="4B2F3088"/>
    <w:rsid w:val="4C22727F"/>
    <w:rsid w:val="4C484637"/>
    <w:rsid w:val="4C49352C"/>
    <w:rsid w:val="4C5174C5"/>
    <w:rsid w:val="4C6E0B92"/>
    <w:rsid w:val="4C8E5CA5"/>
    <w:rsid w:val="4CCC58C2"/>
    <w:rsid w:val="4D1F5594"/>
    <w:rsid w:val="4D251900"/>
    <w:rsid w:val="4D357738"/>
    <w:rsid w:val="4D385B61"/>
    <w:rsid w:val="4D583170"/>
    <w:rsid w:val="4D85015C"/>
    <w:rsid w:val="4DAC067B"/>
    <w:rsid w:val="4E053826"/>
    <w:rsid w:val="4E283848"/>
    <w:rsid w:val="4E2914CF"/>
    <w:rsid w:val="4E3603DC"/>
    <w:rsid w:val="4E8339D4"/>
    <w:rsid w:val="4EB124A8"/>
    <w:rsid w:val="4EEE450B"/>
    <w:rsid w:val="4F0F02C3"/>
    <w:rsid w:val="4F6C2617"/>
    <w:rsid w:val="4F714D32"/>
    <w:rsid w:val="4FAE10C6"/>
    <w:rsid w:val="501E3B7D"/>
    <w:rsid w:val="50282F8E"/>
    <w:rsid w:val="50AA7C6B"/>
    <w:rsid w:val="51067F55"/>
    <w:rsid w:val="511F5FE2"/>
    <w:rsid w:val="512A3E35"/>
    <w:rsid w:val="518854D4"/>
    <w:rsid w:val="519B66F3"/>
    <w:rsid w:val="51BE7B9B"/>
    <w:rsid w:val="51C4714F"/>
    <w:rsid w:val="51CB5725"/>
    <w:rsid w:val="526E44CD"/>
    <w:rsid w:val="52CF79E9"/>
    <w:rsid w:val="52D82877"/>
    <w:rsid w:val="52EC32A8"/>
    <w:rsid w:val="533639A4"/>
    <w:rsid w:val="533D513A"/>
    <w:rsid w:val="54060DCC"/>
    <w:rsid w:val="54391651"/>
    <w:rsid w:val="54704F4A"/>
    <w:rsid w:val="54A06FD3"/>
    <w:rsid w:val="54CA432C"/>
    <w:rsid w:val="54D849E7"/>
    <w:rsid w:val="5503463C"/>
    <w:rsid w:val="55186629"/>
    <w:rsid w:val="557B3584"/>
    <w:rsid w:val="55834F86"/>
    <w:rsid w:val="55B85C47"/>
    <w:rsid w:val="55F35093"/>
    <w:rsid w:val="566B6A05"/>
    <w:rsid w:val="569C505A"/>
    <w:rsid w:val="56F03CB1"/>
    <w:rsid w:val="57396B67"/>
    <w:rsid w:val="57456733"/>
    <w:rsid w:val="577B1697"/>
    <w:rsid w:val="5782244E"/>
    <w:rsid w:val="578B60AE"/>
    <w:rsid w:val="57B0425B"/>
    <w:rsid w:val="58375495"/>
    <w:rsid w:val="588F22E7"/>
    <w:rsid w:val="58C439AE"/>
    <w:rsid w:val="58DD21D7"/>
    <w:rsid w:val="58E41B62"/>
    <w:rsid w:val="58F05975"/>
    <w:rsid w:val="59023DD0"/>
    <w:rsid w:val="59936B0C"/>
    <w:rsid w:val="59A305DF"/>
    <w:rsid w:val="59AD4E2E"/>
    <w:rsid w:val="59E71888"/>
    <w:rsid w:val="5A4F2439"/>
    <w:rsid w:val="5A82610B"/>
    <w:rsid w:val="5AA9184E"/>
    <w:rsid w:val="5ABC1C03"/>
    <w:rsid w:val="5ABF1AD4"/>
    <w:rsid w:val="5B0B05EE"/>
    <w:rsid w:val="5B20148D"/>
    <w:rsid w:val="5B82245A"/>
    <w:rsid w:val="5BCB74B3"/>
    <w:rsid w:val="5BFC10FB"/>
    <w:rsid w:val="5BFD4B16"/>
    <w:rsid w:val="5C432C43"/>
    <w:rsid w:val="5C57280E"/>
    <w:rsid w:val="5CBA4F3D"/>
    <w:rsid w:val="5D1C1A4D"/>
    <w:rsid w:val="5D277664"/>
    <w:rsid w:val="5D724260"/>
    <w:rsid w:val="5D834FDC"/>
    <w:rsid w:val="5DFE7D98"/>
    <w:rsid w:val="5E190B4A"/>
    <w:rsid w:val="5E546DD1"/>
    <w:rsid w:val="5E703DBC"/>
    <w:rsid w:val="5E8069BA"/>
    <w:rsid w:val="5E972D3D"/>
    <w:rsid w:val="5EAE2B4A"/>
    <w:rsid w:val="5ED527E8"/>
    <w:rsid w:val="5F1E5A14"/>
    <w:rsid w:val="5F3414DE"/>
    <w:rsid w:val="5F51216C"/>
    <w:rsid w:val="5F6409C3"/>
    <w:rsid w:val="5FAD3EA6"/>
    <w:rsid w:val="60030762"/>
    <w:rsid w:val="601766B2"/>
    <w:rsid w:val="60675D31"/>
    <w:rsid w:val="613F1772"/>
    <w:rsid w:val="616D6B28"/>
    <w:rsid w:val="626A69EC"/>
    <w:rsid w:val="62C77C75"/>
    <w:rsid w:val="62D21DAE"/>
    <w:rsid w:val="62E15A4A"/>
    <w:rsid w:val="62F12662"/>
    <w:rsid w:val="62FA2859"/>
    <w:rsid w:val="636A50A9"/>
    <w:rsid w:val="63DC4C88"/>
    <w:rsid w:val="63FE5DBE"/>
    <w:rsid w:val="644B199A"/>
    <w:rsid w:val="644F61B8"/>
    <w:rsid w:val="645C4011"/>
    <w:rsid w:val="64900E0A"/>
    <w:rsid w:val="650023C2"/>
    <w:rsid w:val="65254AF7"/>
    <w:rsid w:val="65865E9F"/>
    <w:rsid w:val="659867F9"/>
    <w:rsid w:val="65CC4662"/>
    <w:rsid w:val="65EF15F3"/>
    <w:rsid w:val="660968C8"/>
    <w:rsid w:val="664A52F9"/>
    <w:rsid w:val="664B4E8E"/>
    <w:rsid w:val="664F5C96"/>
    <w:rsid w:val="669A46E2"/>
    <w:rsid w:val="66A84CFD"/>
    <w:rsid w:val="66D66AC5"/>
    <w:rsid w:val="66DE60D0"/>
    <w:rsid w:val="673A09E8"/>
    <w:rsid w:val="67463F61"/>
    <w:rsid w:val="679E39E3"/>
    <w:rsid w:val="67A12314"/>
    <w:rsid w:val="67D7796D"/>
    <w:rsid w:val="67DB6373"/>
    <w:rsid w:val="67DF4D79"/>
    <w:rsid w:val="67E74618"/>
    <w:rsid w:val="67F75096"/>
    <w:rsid w:val="68312110"/>
    <w:rsid w:val="68592137"/>
    <w:rsid w:val="68860A0A"/>
    <w:rsid w:val="68A16023"/>
    <w:rsid w:val="68AD66CB"/>
    <w:rsid w:val="69091829"/>
    <w:rsid w:val="69A16802"/>
    <w:rsid w:val="69B45BF9"/>
    <w:rsid w:val="6A2007AB"/>
    <w:rsid w:val="6A24111E"/>
    <w:rsid w:val="6AAC4B9F"/>
    <w:rsid w:val="6AB36DAF"/>
    <w:rsid w:val="6AF46DC8"/>
    <w:rsid w:val="6B7407F1"/>
    <w:rsid w:val="6BDC4305"/>
    <w:rsid w:val="6C1F0271"/>
    <w:rsid w:val="6C693B68"/>
    <w:rsid w:val="6CFB6F1C"/>
    <w:rsid w:val="6DA539A7"/>
    <w:rsid w:val="6DAC2DEB"/>
    <w:rsid w:val="6DD134BB"/>
    <w:rsid w:val="6DDB184C"/>
    <w:rsid w:val="6E337CDC"/>
    <w:rsid w:val="6E3D5C27"/>
    <w:rsid w:val="6E4C7581"/>
    <w:rsid w:val="6E6B6825"/>
    <w:rsid w:val="6E7C22BE"/>
    <w:rsid w:val="6EB55F6A"/>
    <w:rsid w:val="6F5F19C8"/>
    <w:rsid w:val="6F752020"/>
    <w:rsid w:val="6F8C1333"/>
    <w:rsid w:val="6F9A4CA5"/>
    <w:rsid w:val="6FD53D31"/>
    <w:rsid w:val="6FDC0F91"/>
    <w:rsid w:val="708D6B88"/>
    <w:rsid w:val="712A6CFC"/>
    <w:rsid w:val="719B7499"/>
    <w:rsid w:val="71C70564"/>
    <w:rsid w:val="71CD6765"/>
    <w:rsid w:val="71E93270"/>
    <w:rsid w:val="720D4729"/>
    <w:rsid w:val="72E67F8D"/>
    <w:rsid w:val="73CE218C"/>
    <w:rsid w:val="73EB753D"/>
    <w:rsid w:val="741C1D44"/>
    <w:rsid w:val="74335733"/>
    <w:rsid w:val="747D15B6"/>
    <w:rsid w:val="74CA112A"/>
    <w:rsid w:val="74CC0B19"/>
    <w:rsid w:val="74CD7BCE"/>
    <w:rsid w:val="750B1B93"/>
    <w:rsid w:val="7532457F"/>
    <w:rsid w:val="757C7B83"/>
    <w:rsid w:val="758A7EE3"/>
    <w:rsid w:val="75C83BAE"/>
    <w:rsid w:val="766453A9"/>
    <w:rsid w:val="76960031"/>
    <w:rsid w:val="7696711C"/>
    <w:rsid w:val="76B349CA"/>
    <w:rsid w:val="76EE3833"/>
    <w:rsid w:val="77027AD0"/>
    <w:rsid w:val="774E68CA"/>
    <w:rsid w:val="777B5DEB"/>
    <w:rsid w:val="778F43EB"/>
    <w:rsid w:val="78823444"/>
    <w:rsid w:val="78B85B50"/>
    <w:rsid w:val="78C12F29"/>
    <w:rsid w:val="78C819B4"/>
    <w:rsid w:val="79171739"/>
    <w:rsid w:val="798072FF"/>
    <w:rsid w:val="799C191A"/>
    <w:rsid w:val="79A12131"/>
    <w:rsid w:val="79B741FD"/>
    <w:rsid w:val="79E649C1"/>
    <w:rsid w:val="79EB7193"/>
    <w:rsid w:val="79FC019D"/>
    <w:rsid w:val="7A302E74"/>
    <w:rsid w:val="7A4E2702"/>
    <w:rsid w:val="7A973A07"/>
    <w:rsid w:val="7AF45E60"/>
    <w:rsid w:val="7B1F1B0E"/>
    <w:rsid w:val="7B201152"/>
    <w:rsid w:val="7B3F44A7"/>
    <w:rsid w:val="7B615DFB"/>
    <w:rsid w:val="7B6D7759"/>
    <w:rsid w:val="7BED2128"/>
    <w:rsid w:val="7C166823"/>
    <w:rsid w:val="7C214BB4"/>
    <w:rsid w:val="7C46661C"/>
    <w:rsid w:val="7C5717FC"/>
    <w:rsid w:val="7C586BF6"/>
    <w:rsid w:val="7C915E33"/>
    <w:rsid w:val="7CB9602C"/>
    <w:rsid w:val="7CC90BBB"/>
    <w:rsid w:val="7CC92892"/>
    <w:rsid w:val="7CCD6110"/>
    <w:rsid w:val="7D0475AA"/>
    <w:rsid w:val="7D150D20"/>
    <w:rsid w:val="7D641D48"/>
    <w:rsid w:val="7D872579"/>
    <w:rsid w:val="7DBF115D"/>
    <w:rsid w:val="7DC93C6B"/>
    <w:rsid w:val="7DFD53BF"/>
    <w:rsid w:val="7E477DBC"/>
    <w:rsid w:val="7EBE547D"/>
    <w:rsid w:val="7ECE2AA4"/>
    <w:rsid w:val="7EEB0490"/>
    <w:rsid w:val="7EF91DDE"/>
    <w:rsid w:val="7EFB4A94"/>
    <w:rsid w:val="7F024D76"/>
    <w:rsid w:val="7F8918B0"/>
    <w:rsid w:val="7FB9221D"/>
    <w:rsid w:val="7FCB2843"/>
    <w:rsid w:val="7FE342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unhideWhenUsed/>
    <w:qFormat/>
    <w:uiPriority w:val="9"/>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unhideWhenUsed/>
    <w:qFormat/>
    <w:uiPriority w:val="9"/>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pPr>
  </w:style>
  <w:style w:type="paragraph" w:styleId="3">
    <w:name w:val="Title"/>
    <w:basedOn w:val="1"/>
    <w:next w:val="1"/>
    <w:qFormat/>
    <w:uiPriority w:val="0"/>
    <w:pPr>
      <w:widowControl/>
      <w:spacing w:before="240" w:beforeLines="0" w:after="60" w:afterLines="0" w:line="560" w:lineRule="exact"/>
      <w:jc w:val="center"/>
      <w:outlineLvl w:val="0"/>
    </w:pPr>
    <w:rPr>
      <w:rFonts w:ascii="Arial" w:hAnsi="Arial" w:eastAsia="华文中宋" w:cs="Arial"/>
      <w:b/>
      <w:bCs/>
      <w:color w:val="FF0000"/>
      <w:kern w:val="0"/>
      <w:sz w:val="116"/>
      <w:szCs w:val="32"/>
    </w:rPr>
  </w:style>
  <w:style w:type="paragraph" w:styleId="8">
    <w:name w:val="List Number 2"/>
    <w:basedOn w:val="1"/>
    <w:unhideWhenUsed/>
    <w:qFormat/>
    <w:uiPriority w:val="99"/>
    <w:pPr>
      <w:numPr>
        <w:ilvl w:val="0"/>
        <w:numId w:val="1"/>
      </w:numPr>
    </w:pPr>
  </w:style>
  <w:style w:type="paragraph" w:styleId="9">
    <w:name w:val="annotation text"/>
    <w:basedOn w:val="1"/>
    <w:semiHidden/>
    <w:unhideWhenUsed/>
    <w:qFormat/>
    <w:uiPriority w:val="99"/>
    <w:pPr>
      <w:jc w:val="left"/>
    </w:pPr>
  </w:style>
  <w:style w:type="paragraph" w:styleId="10">
    <w:name w:val="toc 3"/>
    <w:basedOn w:val="1"/>
    <w:next w:val="1"/>
    <w:qFormat/>
    <w:uiPriority w:val="39"/>
    <w:pPr>
      <w:ind w:left="840" w:leftChars="400"/>
    </w:pPr>
  </w:style>
  <w:style w:type="paragraph" w:styleId="11">
    <w:name w:val="footer"/>
    <w:basedOn w:val="1"/>
    <w:link w:val="19"/>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2">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paragraph" w:styleId="15">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18">
    <w:name w:val="page number"/>
    <w:qFormat/>
    <w:uiPriority w:val="0"/>
  </w:style>
  <w:style w:type="character" w:customStyle="1" w:styleId="19">
    <w:name w:val="页脚 Char"/>
    <w:link w:val="11"/>
    <w:qFormat/>
    <w:uiPriority w:val="99"/>
    <w:rPr>
      <w:sz w:val="18"/>
      <w:szCs w:val="18"/>
    </w:rPr>
  </w:style>
  <w:style w:type="character" w:customStyle="1" w:styleId="20">
    <w:name w:val="页脚 字符"/>
    <w:basedOn w:val="17"/>
    <w:semiHidden/>
    <w:qFormat/>
    <w:uiPriority w:val="99"/>
    <w:rPr>
      <w:rFonts w:ascii="Calibri" w:hAnsi="Calibri" w:eastAsia="宋体" w:cs="Times New Roman"/>
      <w:sz w:val="18"/>
      <w:szCs w:val="18"/>
    </w:rPr>
  </w:style>
  <w:style w:type="character" w:customStyle="1" w:styleId="21">
    <w:name w:val="页眉 Char"/>
    <w:basedOn w:val="17"/>
    <w:link w:val="12"/>
    <w:qFormat/>
    <w:uiPriority w:val="99"/>
    <w:rPr>
      <w:rFonts w:ascii="Calibri" w:hAnsi="Calibri" w:eastAsia="宋体" w:cs="Times New Roman"/>
      <w:sz w:val="18"/>
      <w:szCs w:val="18"/>
    </w:rPr>
  </w:style>
  <w:style w:type="paragraph" w:customStyle="1" w:styleId="22">
    <w:name w:val="_Style 2"/>
    <w:basedOn w:val="4"/>
    <w:next w:val="1"/>
    <w:qFormat/>
    <w:uiPriority w:val="39"/>
    <w:pPr>
      <w:widowControl/>
      <w:spacing w:before="480" w:beforeLines="0" w:after="0" w:afterLines="0" w:line="276" w:lineRule="auto"/>
      <w:jc w:val="left"/>
      <w:outlineLvl w:val="9"/>
    </w:pPr>
    <w:rPr>
      <w:rFonts w:ascii="Cambria" w:hAnsi="Cambria"/>
      <w:color w:val="365F91"/>
      <w:kern w:val="0"/>
      <w:sz w:val="28"/>
      <w:szCs w:val="28"/>
    </w:rPr>
  </w:style>
  <w:style w:type="paragraph" w:customStyle="1" w:styleId="23">
    <w:name w:val="Q2"/>
    <w:basedOn w:val="1"/>
    <w:qFormat/>
    <w:uiPriority w:val="0"/>
    <w:pPr>
      <w:keepNext/>
      <w:keepLines/>
      <w:numPr>
        <w:ilvl w:val="1"/>
        <w:numId w:val="2"/>
      </w:numPr>
      <w:spacing w:before="50" w:beforeLines="50" w:after="50" w:afterLines="50"/>
      <w:outlineLvl w:val="1"/>
    </w:pPr>
    <w:rPr>
      <w:rFonts w:ascii="宋体" w:hAnsi="宋体"/>
      <w:b/>
    </w:rPr>
  </w:style>
  <w:style w:type="paragraph" w:customStyle="1" w:styleId="24">
    <w:name w:val="样式1"/>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75</Words>
  <Characters>434</Characters>
  <Lines>3</Lines>
  <Paragraphs>1</Paragraphs>
  <TotalTime>0</TotalTime>
  <ScaleCrop>false</ScaleCrop>
  <LinksUpToDate>false</LinksUpToDate>
  <CharactersWithSpaces>508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2021-04-22T08:52:00Z</dcterms:created>
  <dc:creator>超裕 王</dc:creator>
  <cp:lastModifiedBy>E373D4D6C5A9B511E053064310ACB07F</cp:lastModifiedBy>
  <cp:lastPrinted>2025-12-01T07:44:00Z</cp:lastPrinted>
  <dcterms:modified xsi:type="dcterms:W3CDTF">2025-12-09T03:00:45Z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5438CD8D2BCF4755B1E4A4B3B6BE0181</vt:lpwstr>
  </property>
</Properties>
</file>