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23DD5">
      <w:pPr>
        <w:jc w:val="center"/>
        <w:rPr>
          <w:rFonts w:hint="eastAsia" w:ascii="宋体" w:hAnsi="宋体" w:eastAsia="宋体" w:cs="宋体"/>
          <w:b/>
          <w:bCs/>
          <w:color w:val="00000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6"/>
          <w:szCs w:val="36"/>
          <w:lang w:val="en-US" w:eastAsia="zh-CN"/>
        </w:rPr>
        <w:t>标的3：配网设备防外力破坏巡视服务标包3报价表</w:t>
      </w:r>
    </w:p>
    <w:tbl>
      <w:tblPr>
        <w:tblStyle w:val="2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2264"/>
        <w:gridCol w:w="1710"/>
        <w:gridCol w:w="780"/>
        <w:gridCol w:w="1599"/>
        <w:gridCol w:w="1881"/>
        <w:gridCol w:w="1371"/>
        <w:gridCol w:w="1761"/>
        <w:gridCol w:w="2103"/>
      </w:tblGrid>
      <w:tr w14:paraId="7C928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3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12EE2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工程名称：深圳供电有限公司2026年防外力破坏管线电力设施运维服务</w:t>
            </w:r>
          </w:p>
        </w:tc>
        <w:tc>
          <w:tcPr>
            <w:tcW w:w="5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68042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金额单位：元</w:t>
            </w:r>
          </w:p>
        </w:tc>
      </w:tr>
      <w:tr w14:paraId="3FC8D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exac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39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67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3F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类型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70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C4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（综合单价）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17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标包3预估工程量①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B3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标包3预估总价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89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投标单价（元）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②</w:t>
            </w: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87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投标小计（元）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（=①*②）</w:t>
            </w:r>
          </w:p>
        </w:tc>
      </w:tr>
      <w:tr w14:paraId="2B2A6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</w:trPr>
        <w:tc>
          <w:tcPr>
            <w:tcW w:w="6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D8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2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E4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防外力破坏日常巡视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B4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A类风险级路段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3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</w:t>
            </w:r>
          </w:p>
        </w:tc>
        <w:tc>
          <w:tcPr>
            <w:tcW w:w="1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36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228.48 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BB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35800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39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8179584.00 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E20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23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A54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</w:trPr>
        <w:tc>
          <w:tcPr>
            <w:tcW w:w="6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AAB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2E9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AE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B类风险级路段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D9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</w:t>
            </w:r>
          </w:p>
        </w:tc>
        <w:tc>
          <w:tcPr>
            <w:tcW w:w="1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40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194.20 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77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810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52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157302.00 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D18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624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3DAD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</w:trPr>
        <w:tc>
          <w:tcPr>
            <w:tcW w:w="6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166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C6A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B0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C类风险级路段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F8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段</w:t>
            </w:r>
          </w:p>
        </w:tc>
        <w:tc>
          <w:tcPr>
            <w:tcW w:w="1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E2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.43 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D0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9F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96000.80 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9EA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921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322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1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0E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防外力破坏隐患交底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4C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施工黑点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9C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8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452.58 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43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87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859902.00 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8F7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842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EF5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3C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C3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防外力破坏现场值守</w:t>
            </w:r>
          </w:p>
        </w:tc>
        <w:tc>
          <w:tcPr>
            <w:tcW w:w="1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55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施工黑点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BA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38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536.15 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A5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4D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107230.00 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B15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11B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DCF4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exact"/>
        </w:trPr>
        <w:tc>
          <w:tcPr>
            <w:tcW w:w="29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4213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059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60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5F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1582.84 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CC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39270 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1A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9400018.80 </w:t>
            </w:r>
          </w:p>
        </w:tc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003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A67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B20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0" w:hRule="atLeast"/>
        </w:trPr>
        <w:tc>
          <w:tcPr>
            <w:tcW w:w="1416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1D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备注：</w:t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1.评标价=投标小计。投标小计=预估工程量①*投标单价②。（投标单价不能超过单价最高限价。最终结算金额=实际发生工程*中标单价进行结算。）</w:t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2.如投标人不按本报价表格式进行报价、篡改格式或另外制作表格报价的，将作否决投标处理。</w:t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3.投标报价明细表须加盖单位公章或电子印章。</w:t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4.投标有效报价为最高限价及以下；本项目最高限价为940.00188万元，报价低于799.001598万元（最高限价的85%）的，需提供成本分析报告(通过数据表格及文字分析说明，阐明本项目成本构成内容，提供成本控制具体方案，以及各项成本的节约措施，并证明成本节约的实际成效)。</w:t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5.所有报价按四舍五入</w:t>
            </w:r>
            <w:r>
              <w:rPr>
                <w:rStyle w:val="5"/>
                <w:rFonts w:hint="eastAsia" w:ascii="宋体" w:hAnsi="宋体" w:eastAsia="宋体" w:cs="宋体"/>
                <w:lang w:val="en-US" w:eastAsia="zh-CN" w:bidi="ar"/>
              </w:rPr>
              <w:t>保留两位小数</w:t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。</w:t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br w:type="textWrapping"/>
            </w:r>
            <w:r>
              <w:rPr>
                <w:rStyle w:val="4"/>
                <w:rFonts w:hint="eastAsia" w:ascii="宋体" w:hAnsi="宋体" w:eastAsia="宋体" w:cs="宋体"/>
                <w:lang w:val="en-US" w:eastAsia="zh-CN" w:bidi="ar"/>
              </w:rPr>
              <w:t>6.所有报价均为含税报价，税率为6%。</w:t>
            </w:r>
          </w:p>
        </w:tc>
      </w:tr>
    </w:tbl>
    <w:p w14:paraId="4DC70C58">
      <w:pPr>
        <w:spacing w:line="440" w:lineRule="exact"/>
        <w:ind w:left="-420" w:leftChars="-200" w:firstLine="420" w:firstLineChars="199"/>
        <w:jc w:val="right"/>
        <w:rPr>
          <w:b/>
          <w:bCs/>
          <w:szCs w:val="21"/>
          <w:u w:val="none"/>
          <w:lang w:val="en-US" w:eastAsia="zh-CN"/>
        </w:rPr>
      </w:pPr>
      <w:r>
        <w:rPr>
          <w:b/>
          <w:bCs/>
          <w:szCs w:val="21"/>
          <w:u w:val="none"/>
          <w:lang w:val="en-US" w:eastAsia="zh-CN"/>
        </w:rPr>
        <w:t>投 标 人：（</w:t>
      </w:r>
      <w:r>
        <w:rPr>
          <w:rFonts w:hint="eastAsia"/>
          <w:b/>
          <w:bCs/>
          <w:szCs w:val="21"/>
          <w:u w:val="none"/>
          <w:lang w:val="en-US" w:eastAsia="zh-CN"/>
        </w:rPr>
        <w:t>盖单位公章或电子印章</w:t>
      </w:r>
      <w:r>
        <w:rPr>
          <w:b/>
          <w:bCs/>
          <w:szCs w:val="21"/>
          <w:u w:val="none"/>
          <w:lang w:val="en-US" w:eastAsia="zh-CN"/>
        </w:rPr>
        <w:t>）</w:t>
      </w:r>
    </w:p>
    <w:p w14:paraId="307FECAA">
      <w:pPr>
        <w:spacing w:line="440" w:lineRule="exact"/>
        <w:ind w:left="-420" w:leftChars="-200" w:firstLine="420" w:firstLineChars="199"/>
        <w:jc w:val="right"/>
      </w:pP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年</w:t>
      </w: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月</w:t>
      </w:r>
      <w:r>
        <w:rPr>
          <w:b/>
          <w:bCs/>
          <w:u w:val="none"/>
          <w:lang w:val="en-US" w:eastAsia="zh-CN"/>
        </w:rPr>
        <w:t xml:space="preserve">      </w:t>
      </w:r>
      <w:r>
        <w:rPr>
          <w:b/>
          <w:bCs/>
          <w:szCs w:val="21"/>
          <w:u w:val="none"/>
          <w:lang w:val="en-US" w:eastAsia="zh-CN"/>
        </w:rPr>
        <w:t>日</w:t>
      </w:r>
    </w:p>
    <w:p w14:paraId="7C5AF21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02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5">
    <w:name w:val="font41"/>
    <w:basedOn w:val="3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2025-12-09T08:55:34Z</dcterms:created>
  <dc:creator>Administrator</dc:creator>
  <cp:lastModifiedBy>Administrator</cp:lastModifiedBy>
  <dcterms:modified xsi:type="dcterms:W3CDTF">2025-12-09T08:58:15Z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eyJoZGlkIjoiZDlmMjNiODI5ODNkM2YyMzgzNWViOWQzZDY3Mzg1ZGQiLCJ1c2VySWQiOiI1NTg3NDIzMjYifQ==</vt:lpwstr>
  </property>
  <property fmtid="{D5CDD505-2E9C-101B-9397-08002B2CF9AE}" pid="4" name="ICV">
    <vt:lpwstr>2855A39055BA406E8DE02BE7F7F9DA98_12</vt:lpwstr>
  </property>
</Properties>
</file>