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接地钢筋压接管技术参数</w:t>
      </w:r>
    </w:p>
    <w:p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一、基本使用条件：</w:t>
      </w:r>
    </w:p>
    <w:p>
      <w:pPr>
        <w:numPr>
          <w:ilvl w:val="0"/>
          <w:numId w:val="0"/>
        </w:numPr>
        <w:tabs>
          <w:tab w:val="left" w:pos="1080"/>
        </w:tabs>
        <w:snapToGrid w:val="0"/>
        <w:spacing w:line="480" w:lineRule="atLeast"/>
        <w:ind w:leftChars="200"/>
        <w:textAlignment w:val="auto"/>
        <w:outlineLvl w:val="1"/>
        <w:rPr>
          <w:sz w:val="24"/>
          <w:szCs w:val="24"/>
          <w:highlight w:val="none"/>
        </w:rPr>
      </w:pPr>
      <w:bookmarkStart w:id="0" w:name="_Toc296073942"/>
      <w:bookmarkEnd w:id="0"/>
      <w:bookmarkStart w:id="1" w:name="_Toc296068764"/>
      <w:bookmarkEnd w:id="1"/>
      <w:bookmarkStart w:id="2" w:name="_Toc296108558"/>
      <w:bookmarkEnd w:id="2"/>
      <w:bookmarkStart w:id="3" w:name="_Toc296032170"/>
      <w:bookmarkEnd w:id="3"/>
      <w:bookmarkStart w:id="4" w:name="_Toc296071569"/>
      <w:bookmarkEnd w:id="4"/>
      <w:bookmarkStart w:id="5" w:name="_Toc296071203"/>
      <w:bookmarkEnd w:id="5"/>
      <w:bookmarkStart w:id="6" w:name="_Toc3134"/>
      <w:bookmarkStart w:id="7" w:name="_Toc292813255"/>
      <w:bookmarkStart w:id="8" w:name="_Toc247183330"/>
      <w:bookmarkStart w:id="9" w:name="_Toc312759826"/>
      <w:bookmarkStart w:id="10" w:name="_Toc442191093"/>
      <w:r>
        <w:rPr>
          <w:rFonts w:hint="eastAsia" w:hAnsi="宋体"/>
          <w:sz w:val="24"/>
          <w:szCs w:val="24"/>
          <w:highlight w:val="none"/>
          <w:lang w:val="en-US" w:eastAsia="zh-CN"/>
        </w:rPr>
        <w:t>1、</w:t>
      </w:r>
      <w:r>
        <w:rPr>
          <w:rFonts w:hAnsi="宋体"/>
          <w:sz w:val="24"/>
          <w:szCs w:val="24"/>
          <w:highlight w:val="none"/>
        </w:rPr>
        <w:t>正常工作大气条件</w:t>
      </w:r>
      <w:bookmarkEnd w:id="6"/>
      <w:bookmarkEnd w:id="7"/>
      <w:bookmarkEnd w:id="8"/>
      <w:bookmarkEnd w:id="9"/>
      <w:bookmarkEnd w:id="10"/>
    </w:p>
    <w:p>
      <w:pPr>
        <w:numPr>
          <w:ilvl w:val="0"/>
          <w:numId w:val="1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sz w:val="24"/>
          <w:szCs w:val="24"/>
          <w:highlight w:val="none"/>
        </w:rPr>
      </w:pPr>
      <w:bookmarkStart w:id="11" w:name="OLE_LINK4"/>
      <w:bookmarkStart w:id="12" w:name="OLE_LINK5"/>
      <w:r>
        <w:rPr>
          <w:rFonts w:hAnsi="宋体"/>
          <w:sz w:val="24"/>
          <w:szCs w:val="24"/>
          <w:highlight w:val="none"/>
        </w:rPr>
        <w:t>环境温度：</w:t>
      </w:r>
      <w:r>
        <w:rPr>
          <w:sz w:val="24"/>
          <w:szCs w:val="24"/>
          <w:highlight w:val="none"/>
        </w:rPr>
        <w:t>-10</w:t>
      </w:r>
      <w:r>
        <w:rPr>
          <w:rFonts w:hAnsi="宋体"/>
          <w:sz w:val="24"/>
          <w:szCs w:val="24"/>
          <w:highlight w:val="none"/>
        </w:rPr>
        <w:t>℃～</w:t>
      </w:r>
      <w:r>
        <w:rPr>
          <w:sz w:val="24"/>
          <w:szCs w:val="24"/>
          <w:highlight w:val="none"/>
        </w:rPr>
        <w:t>+55</w:t>
      </w:r>
      <w:r>
        <w:rPr>
          <w:rFonts w:hAnsi="宋体"/>
          <w:sz w:val="24"/>
          <w:szCs w:val="24"/>
          <w:highlight w:val="none"/>
        </w:rPr>
        <w:t>℃；</w:t>
      </w:r>
    </w:p>
    <w:p>
      <w:pPr>
        <w:numPr>
          <w:ilvl w:val="0"/>
          <w:numId w:val="1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sz w:val="24"/>
          <w:szCs w:val="24"/>
          <w:highlight w:val="none"/>
        </w:rPr>
      </w:pPr>
      <w:r>
        <w:rPr>
          <w:rFonts w:hAnsi="宋体"/>
          <w:sz w:val="24"/>
          <w:szCs w:val="24"/>
          <w:highlight w:val="none"/>
        </w:rPr>
        <w:t>相对湿度：</w:t>
      </w:r>
      <w:r>
        <w:rPr>
          <w:sz w:val="24"/>
          <w:szCs w:val="24"/>
          <w:highlight w:val="none"/>
        </w:rPr>
        <w:t>5%~95%</w:t>
      </w:r>
      <w:r>
        <w:rPr>
          <w:rFonts w:hAnsi="宋体"/>
          <w:sz w:val="24"/>
          <w:szCs w:val="24"/>
          <w:highlight w:val="none"/>
        </w:rPr>
        <w:t>(产品内部既不应凝露，也不应结冰)；</w:t>
      </w:r>
    </w:p>
    <w:p>
      <w:pPr>
        <w:numPr>
          <w:ilvl w:val="0"/>
          <w:numId w:val="1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sz w:val="24"/>
          <w:szCs w:val="24"/>
          <w:highlight w:val="none"/>
        </w:rPr>
      </w:pPr>
      <w:r>
        <w:rPr>
          <w:rFonts w:hAnsi="宋体"/>
          <w:sz w:val="24"/>
          <w:szCs w:val="24"/>
          <w:highlight w:val="none"/>
        </w:rPr>
        <w:t>大气压力：</w:t>
      </w:r>
      <w:r>
        <w:rPr>
          <w:sz w:val="24"/>
          <w:szCs w:val="24"/>
          <w:highlight w:val="none"/>
        </w:rPr>
        <w:t>80kPa</w:t>
      </w:r>
      <w:r>
        <w:rPr>
          <w:rFonts w:hAnsi="宋体"/>
          <w:sz w:val="24"/>
          <w:szCs w:val="24"/>
          <w:highlight w:val="none"/>
        </w:rPr>
        <w:t>～</w:t>
      </w:r>
      <w:r>
        <w:rPr>
          <w:sz w:val="24"/>
          <w:szCs w:val="24"/>
          <w:highlight w:val="none"/>
        </w:rPr>
        <w:t>106kPa</w:t>
      </w:r>
      <w:r>
        <w:rPr>
          <w:rFonts w:hAnsi="宋体"/>
          <w:sz w:val="24"/>
          <w:szCs w:val="24"/>
          <w:highlight w:val="none"/>
        </w:rPr>
        <w:t>。</w:t>
      </w:r>
    </w:p>
    <w:p>
      <w:pPr>
        <w:numPr>
          <w:ilvl w:val="0"/>
          <w:numId w:val="0"/>
        </w:numPr>
        <w:tabs>
          <w:tab w:val="left" w:pos="1080"/>
        </w:tabs>
        <w:snapToGrid w:val="0"/>
        <w:spacing w:line="480" w:lineRule="atLeast"/>
        <w:ind w:leftChars="200"/>
        <w:textAlignment w:val="auto"/>
        <w:outlineLvl w:val="1"/>
        <w:rPr>
          <w:sz w:val="24"/>
          <w:szCs w:val="24"/>
          <w:highlight w:val="none"/>
        </w:rPr>
      </w:pPr>
      <w:bookmarkStart w:id="13" w:name="_Ref236140581"/>
      <w:bookmarkStart w:id="14" w:name="_Ref236027599"/>
      <w:bookmarkStart w:id="15" w:name="_Toc247183333"/>
      <w:bookmarkStart w:id="16" w:name="_Toc22552"/>
      <w:bookmarkStart w:id="17" w:name="_Toc292813256"/>
      <w:bookmarkStart w:id="18" w:name="_Toc312759827"/>
      <w:bookmarkStart w:id="19" w:name="_Toc442191094"/>
      <w:r>
        <w:rPr>
          <w:rFonts w:hint="eastAsia" w:hAnsi="宋体"/>
          <w:sz w:val="24"/>
          <w:szCs w:val="24"/>
          <w:highlight w:val="none"/>
          <w:lang w:val="en-US" w:eastAsia="zh-CN"/>
        </w:rPr>
        <w:t>1、1</w:t>
      </w:r>
      <w:r>
        <w:rPr>
          <w:rFonts w:hAnsi="宋体"/>
          <w:sz w:val="24"/>
          <w:szCs w:val="24"/>
          <w:highlight w:val="none"/>
        </w:rPr>
        <w:t>贮存、运输</w:t>
      </w:r>
      <w:bookmarkEnd w:id="13"/>
      <w:bookmarkEnd w:id="14"/>
      <w:bookmarkEnd w:id="15"/>
      <w:r>
        <w:rPr>
          <w:rFonts w:hAnsi="宋体"/>
          <w:sz w:val="24"/>
          <w:szCs w:val="24"/>
          <w:highlight w:val="none"/>
        </w:rPr>
        <w:t>环境条件</w:t>
      </w:r>
      <w:bookmarkEnd w:id="16"/>
      <w:bookmarkEnd w:id="17"/>
      <w:bookmarkEnd w:id="18"/>
      <w:bookmarkEnd w:id="19"/>
    </w:p>
    <w:p>
      <w:pPr>
        <w:numPr>
          <w:ilvl w:val="0"/>
          <w:numId w:val="2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sz w:val="24"/>
          <w:szCs w:val="24"/>
          <w:highlight w:val="none"/>
        </w:rPr>
      </w:pPr>
      <w:r>
        <w:rPr>
          <w:rFonts w:hAnsi="宋体"/>
          <w:sz w:val="24"/>
          <w:szCs w:val="24"/>
          <w:highlight w:val="none"/>
        </w:rPr>
        <w:t>装置在运输中允许的环境温度</w:t>
      </w:r>
      <w:r>
        <w:rPr>
          <w:sz w:val="24"/>
          <w:szCs w:val="24"/>
          <w:highlight w:val="none"/>
        </w:rPr>
        <w:t>-40</w:t>
      </w:r>
      <w:r>
        <w:rPr>
          <w:rFonts w:ascii="宋体" w:hAnsi="宋体"/>
          <w:sz w:val="24"/>
          <w:szCs w:val="24"/>
          <w:highlight w:val="none"/>
        </w:rPr>
        <w:t>℃</w:t>
      </w:r>
      <w:r>
        <w:rPr>
          <w:rFonts w:hAnsi="宋体"/>
          <w:sz w:val="24"/>
          <w:szCs w:val="24"/>
          <w:highlight w:val="none"/>
        </w:rPr>
        <w:t>～＋</w:t>
      </w:r>
      <w:r>
        <w:rPr>
          <w:sz w:val="24"/>
          <w:szCs w:val="24"/>
          <w:highlight w:val="none"/>
        </w:rPr>
        <w:t>70</w:t>
      </w:r>
      <w:r>
        <w:rPr>
          <w:rFonts w:ascii="宋体" w:hAnsi="宋体"/>
          <w:sz w:val="24"/>
          <w:szCs w:val="24"/>
          <w:highlight w:val="none"/>
        </w:rPr>
        <w:t>℃</w:t>
      </w:r>
      <w:r>
        <w:rPr>
          <w:rFonts w:hAnsi="宋体"/>
          <w:sz w:val="24"/>
          <w:szCs w:val="24"/>
          <w:highlight w:val="none"/>
        </w:rPr>
        <w:t>，相对湿度不大于</w:t>
      </w:r>
      <w:r>
        <w:rPr>
          <w:sz w:val="24"/>
          <w:szCs w:val="24"/>
          <w:highlight w:val="none"/>
        </w:rPr>
        <w:t>85%</w:t>
      </w:r>
      <w:r>
        <w:rPr>
          <w:rFonts w:hAnsi="宋体"/>
          <w:sz w:val="24"/>
          <w:szCs w:val="24"/>
          <w:highlight w:val="none"/>
        </w:rPr>
        <w:t>；</w:t>
      </w:r>
    </w:p>
    <w:p>
      <w:pPr>
        <w:numPr>
          <w:ilvl w:val="0"/>
          <w:numId w:val="2"/>
        </w:numPr>
        <w:tabs>
          <w:tab w:val="left" w:pos="851"/>
          <w:tab w:val="clear" w:pos="360"/>
        </w:tabs>
        <w:snapToGrid w:val="0"/>
        <w:spacing w:line="480" w:lineRule="atLeast"/>
        <w:ind w:left="0" w:firstLine="480" w:firstLineChars="200"/>
        <w:rPr>
          <w:sz w:val="24"/>
          <w:szCs w:val="24"/>
          <w:highlight w:val="none"/>
        </w:rPr>
      </w:pPr>
      <w:r>
        <w:rPr>
          <w:rFonts w:hAnsi="宋体"/>
          <w:sz w:val="24"/>
          <w:szCs w:val="24"/>
          <w:highlight w:val="none"/>
        </w:rPr>
        <w:t>在贮存中允许的环境温度</w:t>
      </w:r>
      <w:r>
        <w:rPr>
          <w:sz w:val="24"/>
          <w:szCs w:val="24"/>
          <w:highlight w:val="none"/>
        </w:rPr>
        <w:t>-25</w:t>
      </w:r>
      <w:r>
        <w:rPr>
          <w:rFonts w:ascii="宋体" w:hAnsi="宋体"/>
          <w:sz w:val="24"/>
          <w:szCs w:val="24"/>
          <w:highlight w:val="none"/>
        </w:rPr>
        <w:t>℃</w:t>
      </w:r>
      <w:r>
        <w:rPr>
          <w:rFonts w:hAnsi="宋体"/>
          <w:sz w:val="24"/>
          <w:szCs w:val="24"/>
          <w:highlight w:val="none"/>
        </w:rPr>
        <w:t>～＋</w:t>
      </w:r>
      <w:r>
        <w:rPr>
          <w:sz w:val="24"/>
          <w:szCs w:val="24"/>
          <w:highlight w:val="none"/>
        </w:rPr>
        <w:t>55</w:t>
      </w:r>
      <w:r>
        <w:rPr>
          <w:rFonts w:ascii="宋体" w:hAnsi="宋体"/>
          <w:sz w:val="24"/>
          <w:szCs w:val="24"/>
          <w:highlight w:val="none"/>
        </w:rPr>
        <w:t>℃</w:t>
      </w:r>
      <w:r>
        <w:rPr>
          <w:rFonts w:hAnsi="宋体"/>
          <w:sz w:val="24"/>
          <w:szCs w:val="24"/>
          <w:highlight w:val="none"/>
        </w:rPr>
        <w:t>，相对湿度不大于</w:t>
      </w:r>
      <w:r>
        <w:rPr>
          <w:sz w:val="24"/>
          <w:szCs w:val="24"/>
          <w:highlight w:val="none"/>
        </w:rPr>
        <w:t>85%</w:t>
      </w:r>
      <w:r>
        <w:rPr>
          <w:rFonts w:hAnsi="宋体"/>
          <w:sz w:val="24"/>
          <w:szCs w:val="24"/>
          <w:highlight w:val="none"/>
        </w:rPr>
        <w:t>，在不施加任何激励量的条件下，装置不出现不可逆变化。</w:t>
      </w:r>
    </w:p>
    <w:bookmarkEnd w:id="11"/>
    <w:bookmarkEnd w:id="12"/>
    <w:p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二、技术要求</w:t>
      </w:r>
    </w:p>
    <w:p>
      <w:pPr>
        <w:spacing w:before="255" w:line="219" w:lineRule="auto"/>
        <w:rPr>
          <w:rFonts w:hint="default" w:ascii="宋体" w:hAnsi="宋体" w:eastAsia="宋体" w:cs="宋体"/>
          <w:b/>
          <w:bCs/>
          <w:sz w:val="21"/>
          <w:szCs w:val="21"/>
          <w:lang w:val="en-US"/>
        </w:rPr>
      </w:pPr>
      <w:r>
        <w:rPr>
          <w:rFonts w:hint="eastAsia" w:ascii="宋体" w:hAnsi="宋体" w:eastAsia="宋体" w:cs="宋体"/>
          <w:spacing w:val="-10"/>
          <w:sz w:val="21"/>
          <w:szCs w:val="21"/>
          <w:lang w:val="en-US" w:eastAsia="zh-CN"/>
        </w:rPr>
        <w:t>材质及尺寸：</w:t>
      </w:r>
      <w:r>
        <w:rPr>
          <w:rFonts w:hint="eastAsia" w:ascii="宋体" w:hAnsi="宋体" w:eastAsia="宋体" w:cs="宋体"/>
          <w:b/>
          <w:bCs/>
          <w:color w:val="000000" w:themeColor="text1"/>
          <w:spacing w:val="-10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材质为铝管 </w:t>
      </w:r>
    </w:p>
    <w:p>
      <w:pPr>
        <w:spacing w:before="142" w:line="220" w:lineRule="auto"/>
        <w:rPr>
          <w:rFonts w:ascii="Times New Roman" w:hAnsi="Times New Roman" w:eastAsia="Times New Roman" w:cs="Times New Roman"/>
          <w:b/>
          <w:bCs/>
          <w:sz w:val="21"/>
          <w:szCs w:val="21"/>
        </w:rPr>
      </w:pPr>
      <w:r>
        <w:rPr>
          <w:rFonts w:ascii="宋体" w:hAnsi="宋体" w:eastAsia="宋体" w:cs="宋体"/>
          <w:b/>
          <w:bCs/>
          <w:spacing w:val="-17"/>
          <w:w w:val="97"/>
          <w:sz w:val="21"/>
          <w:szCs w:val="21"/>
        </w:rPr>
        <w:t>单位：</w:t>
      </w:r>
      <w:r>
        <w:rPr>
          <w:rFonts w:ascii="Times New Roman" w:hAnsi="Times New Roman" w:eastAsia="Times New Roman" w:cs="Times New Roman"/>
          <w:b/>
          <w:bCs/>
          <w:spacing w:val="-17"/>
          <w:w w:val="97"/>
          <w:sz w:val="21"/>
          <w:szCs w:val="21"/>
        </w:rPr>
        <w:t>mm</w:t>
      </w:r>
    </w:p>
    <w:p>
      <w:pPr>
        <w:spacing w:line="95" w:lineRule="exact"/>
      </w:pPr>
    </w:p>
    <w:tbl>
      <w:tblPr>
        <w:tblStyle w:val="5"/>
        <w:tblpPr w:leftFromText="180" w:rightFromText="180" w:vertAnchor="text" w:horzAnchor="page" w:tblpX="1705" w:tblpY="127"/>
        <w:tblOverlap w:val="never"/>
        <w:tblW w:w="722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4"/>
        <w:gridCol w:w="970"/>
        <w:gridCol w:w="1910"/>
        <w:gridCol w:w="1380"/>
        <w:gridCol w:w="1080"/>
        <w:gridCol w:w="12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664" w:type="dxa"/>
            <w:noWrap w:val="0"/>
            <w:vAlign w:val="center"/>
          </w:tcPr>
          <w:p>
            <w:pPr>
              <w:pStyle w:val="4"/>
              <w:spacing w:before="24" w:line="368" w:lineRule="exact"/>
              <w:ind w:firstLine="558" w:firstLineChars="300"/>
              <w:jc w:val="both"/>
            </w:pPr>
            <w:r>
              <w:rPr>
                <w:rFonts w:hint="eastAsia"/>
                <w:spacing w:val="-2"/>
                <w:position w:val="13"/>
                <w:lang w:val="en-US" w:eastAsia="zh-CN"/>
              </w:rPr>
              <w:t xml:space="preserve"> </w:t>
            </w:r>
            <w:r>
              <w:rPr>
                <w:spacing w:val="-2"/>
                <w:position w:val="13"/>
              </w:rPr>
              <w:t>接地体</w:t>
            </w:r>
          </w:p>
          <w:p>
            <w:pPr>
              <w:pStyle w:val="4"/>
              <w:spacing w:line="219" w:lineRule="auto"/>
              <w:ind w:left="134"/>
              <w:jc w:val="center"/>
            </w:pPr>
          </w:p>
        </w:tc>
        <w:tc>
          <w:tcPr>
            <w:tcW w:w="970" w:type="dxa"/>
            <w:noWrap w:val="0"/>
            <w:vAlign w:val="top"/>
          </w:tcPr>
          <w:p>
            <w:pPr>
              <w:pStyle w:val="4"/>
              <w:spacing w:before="272" w:line="219" w:lineRule="auto"/>
            </w:pPr>
            <w:r>
              <w:rPr>
                <w:spacing w:val="-2"/>
              </w:rPr>
              <w:t>连接头形式</w:t>
            </w:r>
          </w:p>
        </w:tc>
        <w:tc>
          <w:tcPr>
            <w:tcW w:w="1910" w:type="dxa"/>
            <w:noWrap w:val="0"/>
            <w:vAlign w:val="top"/>
          </w:tcPr>
          <w:p>
            <w:pPr>
              <w:pStyle w:val="4"/>
              <w:spacing w:before="273" w:line="220" w:lineRule="auto"/>
              <w:ind w:left="144" w:firstLine="368" w:firstLineChars="20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尺寸要求</w:t>
            </w:r>
          </w:p>
        </w:tc>
        <w:tc>
          <w:tcPr>
            <w:tcW w:w="1380" w:type="dxa"/>
            <w:noWrap w:val="0"/>
            <w:vAlign w:val="top"/>
          </w:tcPr>
          <w:p>
            <w:pPr>
              <w:pStyle w:val="4"/>
              <w:spacing w:before="202" w:line="219" w:lineRule="auto"/>
              <w:ind w:left="178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使用范围</w:t>
            </w:r>
          </w:p>
        </w:tc>
        <w:tc>
          <w:tcPr>
            <w:tcW w:w="1080" w:type="dxa"/>
            <w:noWrap w:val="0"/>
            <w:vAlign w:val="top"/>
          </w:tcPr>
          <w:p>
            <w:pPr>
              <w:pStyle w:val="4"/>
              <w:spacing w:before="272" w:line="219" w:lineRule="auto"/>
              <w:ind w:left="13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>数量（套）</w:t>
            </w:r>
          </w:p>
        </w:tc>
        <w:tc>
          <w:tcPr>
            <w:tcW w:w="1220" w:type="dxa"/>
            <w:noWrap w:val="0"/>
            <w:vAlign w:val="top"/>
          </w:tcPr>
          <w:p>
            <w:pPr>
              <w:pStyle w:val="4"/>
              <w:spacing w:before="272" w:line="219" w:lineRule="auto"/>
              <w:ind w:left="130"/>
              <w:rPr>
                <w:rFonts w:hint="default"/>
                <w:spacing w:val="2"/>
                <w:lang w:val="en-US"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664" w:type="dxa"/>
            <w:vMerge w:val="restart"/>
            <w:tcBorders>
              <w:bottom w:val="nil"/>
            </w:tcBorders>
            <w:noWrap w:val="0"/>
            <w:vAlign w:val="top"/>
          </w:tcPr>
          <w:p>
            <w:pPr>
              <w:spacing w:line="27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27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278" w:lineRule="auto"/>
              <w:rPr>
                <w:rFonts w:ascii="Arial"/>
                <w:color w:val="auto"/>
                <w:sz w:val="21"/>
              </w:rPr>
            </w:pPr>
          </w:p>
          <w:p>
            <w:pPr>
              <w:spacing w:line="278" w:lineRule="auto"/>
              <w:rPr>
                <w:rFonts w:ascii="Arial"/>
                <w:color w:val="auto"/>
                <w:sz w:val="21"/>
              </w:rPr>
            </w:pPr>
          </w:p>
          <w:p>
            <w:pPr>
              <w:pStyle w:val="4"/>
              <w:spacing w:before="62" w:line="277" w:lineRule="auto"/>
              <w:ind w:left="224" w:right="31" w:hanging="190"/>
              <w:rPr>
                <w:color w:val="auto"/>
              </w:rPr>
            </w:pPr>
            <w:r>
              <w:rPr>
                <w:rFonts w:hint="eastAsia"/>
                <w:color w:val="auto"/>
                <w:spacing w:val="4"/>
                <w:lang w:val="en-US" w:eastAsia="zh-CN"/>
              </w:rPr>
              <w:t xml:space="preserve"> </w:t>
            </w:r>
            <w:r>
              <w:rPr>
                <w:color w:val="auto"/>
                <w:spacing w:val="4"/>
              </w:rPr>
              <w:t>圆</w:t>
            </w:r>
            <w:r>
              <w:rPr>
                <w:color w:val="auto"/>
              </w:rPr>
              <w:t xml:space="preserve"> 钢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pStyle w:val="4"/>
              <w:spacing w:before="29" w:line="219" w:lineRule="auto"/>
              <w:jc w:val="lef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3"/>
                <w:sz w:val="18"/>
                <w:szCs w:val="18"/>
              </w:rPr>
              <w:t>一字连接</w:t>
            </w:r>
          </w:p>
        </w:tc>
        <w:tc>
          <w:tcPr>
            <w:tcW w:w="1910" w:type="dxa"/>
            <w:noWrap w:val="0"/>
            <w:vAlign w:val="center"/>
          </w:tcPr>
          <w:p>
            <w:pPr>
              <w:pStyle w:val="4"/>
              <w:spacing w:before="76" w:line="235" w:lineRule="auto"/>
              <w:jc w:val="left"/>
              <w:rPr>
                <w:rFonts w:hint="default"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/>
                <w:color w:val="auto"/>
                <w:spacing w:val="-2"/>
                <w:sz w:val="18"/>
                <w:szCs w:val="18"/>
                <w:lang w:val="en-US" w:eastAsia="zh-CN"/>
              </w:rPr>
              <w:t>长度不低于200mm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Style w:val="4"/>
              <w:spacing w:before="76" w:line="235" w:lineRule="auto"/>
              <w:ind w:left="128"/>
              <w:jc w:val="center"/>
              <w:rPr>
                <w:rFonts w:hint="eastAsia" w:eastAsia="宋体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适用于</w:t>
            </w:r>
            <w:r>
              <w:rPr>
                <w:color w:val="auto"/>
                <w:spacing w:val="7"/>
                <w:sz w:val="18"/>
                <w:szCs w:val="18"/>
              </w:rPr>
              <w:t>φ1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2圆钢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pacing w:before="45" w:line="224" w:lineRule="auto"/>
              <w:jc w:val="center"/>
              <w:rPr>
                <w:rFonts w:hint="default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265</w:t>
            </w:r>
          </w:p>
        </w:tc>
        <w:tc>
          <w:tcPr>
            <w:tcW w:w="1220" w:type="dxa"/>
            <w:noWrap w:val="0"/>
            <w:vAlign w:val="center"/>
          </w:tcPr>
          <w:p>
            <w:pPr>
              <w:pStyle w:val="4"/>
              <w:spacing w:before="45" w:line="224" w:lineRule="auto"/>
              <w:ind w:left="359"/>
              <w:jc w:val="right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图1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664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70" w:type="dxa"/>
            <w:noWrap w:val="0"/>
            <w:vAlign w:val="center"/>
          </w:tcPr>
          <w:p>
            <w:pPr>
              <w:pStyle w:val="4"/>
              <w:spacing w:before="41" w:line="219" w:lineRule="auto"/>
              <w:jc w:val="left"/>
              <w:rPr>
                <w:rFonts w:hint="eastAsia" w:eastAsia="宋体"/>
                <w:color w:val="auto"/>
                <w:sz w:val="18"/>
                <w:szCs w:val="18"/>
                <w:lang w:eastAsia="zh-CN"/>
              </w:rPr>
            </w:pPr>
            <w:r>
              <w:rPr>
                <w:color w:val="auto"/>
                <w:spacing w:val="-1"/>
                <w:sz w:val="18"/>
                <w:szCs w:val="18"/>
              </w:rPr>
              <w:t>T字连接</w:t>
            </w:r>
          </w:p>
        </w:tc>
        <w:tc>
          <w:tcPr>
            <w:tcW w:w="1910" w:type="dxa"/>
            <w:noWrap w:val="0"/>
            <w:vAlign w:val="center"/>
          </w:tcPr>
          <w:p>
            <w:pPr>
              <w:pStyle w:val="4"/>
              <w:spacing w:before="76" w:line="235" w:lineRule="auto"/>
              <w:ind w:left="94" w:leftChars="0"/>
              <w:jc w:val="left"/>
              <w:rPr>
                <w:rFonts w:hint="default"/>
                <w:color w:val="auto"/>
                <w:sz w:val="18"/>
                <w:szCs w:val="18"/>
                <w:lang w:val="en-US"/>
              </w:rPr>
            </w:pPr>
            <w:r>
              <w:rPr>
                <w:color w:val="auto"/>
                <w:spacing w:val="7"/>
                <w:sz w:val="18"/>
                <w:szCs w:val="18"/>
              </w:rPr>
              <w:t>φ1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color w:val="auto"/>
                <w:spacing w:val="-3"/>
                <w:sz w:val="18"/>
                <w:szCs w:val="18"/>
                <w:lang w:val="en-US" w:eastAsia="zh-CN"/>
              </w:rPr>
              <w:t>横向</w:t>
            </w:r>
            <w:r>
              <w:rPr>
                <w:color w:val="auto"/>
                <w:spacing w:val="-3"/>
                <w:sz w:val="18"/>
                <w:szCs w:val="18"/>
              </w:rPr>
              <w:t>长度</w:t>
            </w:r>
            <w:r>
              <w:rPr>
                <w:rFonts w:hint="eastAsia"/>
                <w:color w:val="auto"/>
                <w:spacing w:val="-2"/>
                <w:sz w:val="18"/>
                <w:szCs w:val="18"/>
                <w:lang w:val="en-US" w:eastAsia="zh-CN"/>
              </w:rPr>
              <w:t>不低于200mm，</w:t>
            </w:r>
            <w:r>
              <w:rPr>
                <w:color w:val="auto"/>
                <w:spacing w:val="7"/>
                <w:sz w:val="18"/>
                <w:szCs w:val="18"/>
              </w:rPr>
              <w:t>φ1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4纵向长度不低于100mm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Style w:val="4"/>
              <w:spacing w:before="62" w:line="235" w:lineRule="auto"/>
              <w:ind w:left="204" w:hanging="194" w:hangingChars="100"/>
              <w:jc w:val="both"/>
              <w:rPr>
                <w:rFonts w:hint="default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适用于横向</w:t>
            </w:r>
            <w:r>
              <w:rPr>
                <w:color w:val="auto"/>
                <w:spacing w:val="7"/>
                <w:sz w:val="18"/>
                <w:szCs w:val="18"/>
              </w:rPr>
              <w:t>φ1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2圆钢*纵向</w:t>
            </w:r>
            <w:r>
              <w:rPr>
                <w:color w:val="auto"/>
                <w:spacing w:val="7"/>
                <w:sz w:val="18"/>
                <w:szCs w:val="18"/>
              </w:rPr>
              <w:t>φ1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4圆钢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pacing w:before="62" w:line="235" w:lineRule="auto"/>
              <w:jc w:val="center"/>
              <w:rPr>
                <w:rFonts w:hint="default" w:eastAsia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265</w:t>
            </w:r>
          </w:p>
        </w:tc>
        <w:tc>
          <w:tcPr>
            <w:tcW w:w="1220" w:type="dxa"/>
            <w:noWrap w:val="0"/>
            <w:vAlign w:val="center"/>
          </w:tcPr>
          <w:p>
            <w:pPr>
              <w:pStyle w:val="4"/>
              <w:spacing w:before="62" w:line="235" w:lineRule="auto"/>
              <w:jc w:val="right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图2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</w:trPr>
        <w:tc>
          <w:tcPr>
            <w:tcW w:w="664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70" w:type="dxa"/>
            <w:noWrap w:val="0"/>
            <w:vAlign w:val="center"/>
          </w:tcPr>
          <w:p>
            <w:pPr>
              <w:pStyle w:val="4"/>
              <w:spacing w:before="44" w:line="219" w:lineRule="auto"/>
              <w:jc w:val="lef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18"/>
                <w:szCs w:val="18"/>
              </w:rPr>
              <w:t>T字连接</w:t>
            </w:r>
          </w:p>
          <w:p>
            <w:pPr>
              <w:pStyle w:val="4"/>
              <w:spacing w:before="126" w:line="221" w:lineRule="auto"/>
              <w:ind w:left="460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1910" w:type="dxa"/>
            <w:noWrap w:val="0"/>
            <w:vAlign w:val="center"/>
          </w:tcPr>
          <w:p>
            <w:pPr>
              <w:pStyle w:val="4"/>
              <w:spacing w:before="62" w:line="235" w:lineRule="auto"/>
              <w:jc w:val="left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pacing w:val="-3"/>
                <w:sz w:val="18"/>
                <w:szCs w:val="18"/>
                <w:lang w:val="en-US" w:eastAsia="zh-CN"/>
              </w:rPr>
              <w:t>横向</w:t>
            </w:r>
            <w:r>
              <w:rPr>
                <w:color w:val="auto"/>
                <w:spacing w:val="-3"/>
                <w:sz w:val="18"/>
                <w:szCs w:val="18"/>
              </w:rPr>
              <w:t>长度</w:t>
            </w:r>
            <w:r>
              <w:rPr>
                <w:rFonts w:hint="eastAsia"/>
                <w:color w:val="auto"/>
                <w:spacing w:val="-2"/>
                <w:sz w:val="18"/>
                <w:szCs w:val="18"/>
                <w:lang w:val="en-US" w:eastAsia="zh-CN"/>
              </w:rPr>
              <w:t>不低于200mm，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纵向长度不低于100mm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spacing w:line="416" w:lineRule="auto"/>
              <w:jc w:val="center"/>
              <w:rPr>
                <w:rFonts w:hint="eastAsia" w:eastAsia="宋体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>适用于</w:t>
            </w:r>
            <w:r>
              <w:rPr>
                <w:color w:val="auto"/>
                <w:spacing w:val="7"/>
                <w:sz w:val="18"/>
                <w:szCs w:val="18"/>
              </w:rPr>
              <w:t>φ1</w:t>
            </w:r>
            <w:r>
              <w:rPr>
                <w:rFonts w:hint="eastAsia"/>
                <w:color w:val="auto"/>
                <w:spacing w:val="7"/>
                <w:sz w:val="18"/>
                <w:szCs w:val="18"/>
                <w:lang w:val="en-US" w:eastAsia="zh-CN"/>
              </w:rPr>
              <w:t xml:space="preserve">2 圆钢 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416" w:lineRule="auto"/>
              <w:jc w:val="center"/>
              <w:rPr>
                <w:rFonts w:hint="default" w:ascii="Arial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318</w:t>
            </w:r>
          </w:p>
          <w:p>
            <w:pPr>
              <w:pStyle w:val="4"/>
              <w:spacing w:before="62" w:line="235" w:lineRule="auto"/>
              <w:ind w:left="80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220" w:type="dxa"/>
            <w:noWrap w:val="0"/>
            <w:vAlign w:val="center"/>
          </w:tcPr>
          <w:p>
            <w:pPr>
              <w:pStyle w:val="4"/>
              <w:spacing w:before="62" w:line="235" w:lineRule="auto"/>
              <w:ind w:left="80"/>
              <w:jc w:val="right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图3</w:t>
            </w:r>
          </w:p>
        </w:tc>
      </w:tr>
    </w:tbl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1510" w:lineRule="exact"/>
        <w:ind w:firstLine="3253"/>
        <w:rPr>
          <w:position w:val="-30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eastAsia" w:hAnsi="宋体"/>
          <w:b/>
          <w:sz w:val="24"/>
          <w:szCs w:val="24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eastAsia" w:hAnsi="宋体"/>
          <w:b/>
          <w:sz w:val="24"/>
          <w:szCs w:val="24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eastAsia" w:hAnsi="宋体"/>
          <w:b/>
          <w:sz w:val="24"/>
          <w:szCs w:val="24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default" w:hAnsi="宋体" w:eastAsiaTheme="minorEastAsia"/>
          <w:b/>
          <w:sz w:val="24"/>
          <w:szCs w:val="24"/>
          <w:lang w:val="en-US" w:eastAsia="zh-CN"/>
        </w:rPr>
      </w:pPr>
      <w:r>
        <w:drawing>
          <wp:inline distT="0" distB="0" distL="114300" distR="114300">
            <wp:extent cx="1851660" cy="1388745"/>
            <wp:effectExtent l="0" t="0" r="15240" b="1905"/>
            <wp:docPr id="2" name="图片 1" descr="直线型接续管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直线型接续管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图1</w:t>
      </w:r>
      <w:r>
        <w:drawing>
          <wp:inline distT="0" distB="0" distL="114300" distR="114300">
            <wp:extent cx="1842135" cy="1384300"/>
            <wp:effectExtent l="0" t="0" r="5715" b="6350"/>
            <wp:docPr id="1" name="图片 2" descr="T型接续管-Φ14与Φ12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T型接续管-Φ14与Φ12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2135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图2</w:t>
      </w: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eastAsia" w:hAnsi="宋体"/>
          <w:b/>
          <w:sz w:val="24"/>
          <w:szCs w:val="24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default" w:hAnsi="宋体" w:eastAsiaTheme="minorEastAsia"/>
          <w:b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图3</w:t>
      </w:r>
      <w:r>
        <w:drawing>
          <wp:inline distT="0" distB="0" distL="114300" distR="114300">
            <wp:extent cx="1910715" cy="1436370"/>
            <wp:effectExtent l="0" t="0" r="13335" b="11430"/>
            <wp:docPr id="5" name="图片 4" descr="T型接续管-Φ12与Φ12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T型接续管-Φ12与Φ12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0715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eastAsia" w:hAnsi="宋体"/>
          <w:b/>
          <w:sz w:val="24"/>
          <w:szCs w:val="24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rFonts w:hint="eastAsia" w:hAnsi="宋体"/>
          <w:b/>
          <w:sz w:val="24"/>
          <w:szCs w:val="24"/>
          <w:lang w:val="en-US" w:eastAsia="zh-CN"/>
        </w:rPr>
      </w:pPr>
    </w:p>
    <w:p>
      <w:pPr>
        <w:tabs>
          <w:tab w:val="left" w:pos="2259"/>
        </w:tabs>
        <w:snapToGrid w:val="0"/>
        <w:spacing w:line="480" w:lineRule="atLeast"/>
        <w:outlineLvl w:val="0"/>
        <w:rPr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  <w:lang w:val="en-US" w:eastAsia="zh-CN"/>
        </w:rPr>
        <w:t>三、</w:t>
      </w:r>
      <w:r>
        <w:rPr>
          <w:rFonts w:hAnsi="宋体"/>
          <w:b/>
          <w:sz w:val="24"/>
          <w:szCs w:val="24"/>
        </w:rPr>
        <w:t>包装、运输、贮存和质量保证</w:t>
      </w:r>
    </w:p>
    <w:p>
      <w:pPr>
        <w:tabs>
          <w:tab w:val="left" w:pos="1440"/>
          <w:tab w:val="left" w:pos="3960"/>
        </w:tabs>
        <w:snapToGrid w:val="0"/>
        <w:spacing w:line="480" w:lineRule="atLeast"/>
        <w:ind w:firstLine="240" w:firstLineChars="10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r>
        <w:rPr>
          <w:sz w:val="24"/>
          <w:szCs w:val="24"/>
        </w:rPr>
        <w:t xml:space="preserve"> </w:t>
      </w:r>
      <w:r>
        <w:rPr>
          <w:rFonts w:hint="eastAsia" w:hAnsi="宋体"/>
          <w:sz w:val="24"/>
          <w:szCs w:val="24"/>
          <w:lang w:eastAsia="zh-CN"/>
        </w:rPr>
        <w:t>产品</w:t>
      </w:r>
      <w:r>
        <w:rPr>
          <w:rFonts w:hAnsi="宋体"/>
          <w:sz w:val="24"/>
          <w:szCs w:val="24"/>
        </w:rPr>
        <w:t>得到切实的保护</w:t>
      </w:r>
      <w:r>
        <w:rPr>
          <w:sz w:val="24"/>
          <w:szCs w:val="24"/>
        </w:rPr>
        <w:t xml:space="preserve">, </w:t>
      </w:r>
      <w:r>
        <w:rPr>
          <w:rFonts w:hAnsi="宋体"/>
          <w:sz w:val="24"/>
          <w:szCs w:val="24"/>
        </w:rPr>
        <w:t>确保其不受污损。</w:t>
      </w:r>
    </w:p>
    <w:p>
      <w:pPr>
        <w:tabs>
          <w:tab w:val="left" w:pos="1440"/>
          <w:tab w:val="left" w:pos="3960"/>
        </w:tabs>
        <w:snapToGrid w:val="0"/>
        <w:spacing w:line="480" w:lineRule="atLeast"/>
        <w:ind w:firstLine="240" w:firstLineChars="10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2、</w:t>
      </w:r>
      <w:r>
        <w:rPr>
          <w:sz w:val="24"/>
          <w:szCs w:val="24"/>
        </w:rPr>
        <w:t xml:space="preserve"> </w:t>
      </w:r>
      <w:r>
        <w:rPr>
          <w:rFonts w:hAnsi="宋体"/>
          <w:sz w:val="24"/>
          <w:szCs w:val="24"/>
        </w:rPr>
        <w:t>所有</w:t>
      </w:r>
      <w:r>
        <w:rPr>
          <w:rFonts w:hint="eastAsia" w:hAnsi="宋体"/>
          <w:sz w:val="24"/>
          <w:szCs w:val="24"/>
          <w:lang w:eastAsia="zh-CN"/>
        </w:rPr>
        <w:t>产品</w:t>
      </w:r>
      <w:r>
        <w:rPr>
          <w:rFonts w:hAnsi="宋体"/>
          <w:sz w:val="24"/>
          <w:szCs w:val="24"/>
        </w:rPr>
        <w:t>经妥善包装</w:t>
      </w:r>
      <w:r>
        <w:rPr>
          <w:rFonts w:hint="eastAsia" w:hAnsi="宋体"/>
          <w:sz w:val="24"/>
          <w:szCs w:val="24"/>
          <w:lang w:eastAsia="zh-CN"/>
        </w:rPr>
        <w:t>，</w:t>
      </w:r>
      <w:r>
        <w:rPr>
          <w:rFonts w:hAnsi="宋体"/>
          <w:sz w:val="24"/>
          <w:szCs w:val="24"/>
        </w:rPr>
        <w:t>在运输过程中尚应采取其它防护措施</w:t>
      </w:r>
      <w:r>
        <w:rPr>
          <w:sz w:val="24"/>
          <w:szCs w:val="24"/>
        </w:rPr>
        <w:t xml:space="preserve">, </w:t>
      </w:r>
      <w:r>
        <w:rPr>
          <w:rFonts w:hAnsi="宋体"/>
          <w:sz w:val="24"/>
          <w:szCs w:val="24"/>
        </w:rPr>
        <w:t>以免损坏或被盗。</w:t>
      </w:r>
    </w:p>
    <w:p>
      <w:pPr>
        <w:tabs>
          <w:tab w:val="left" w:pos="1440"/>
          <w:tab w:val="left" w:pos="3960"/>
        </w:tabs>
        <w:snapToGrid w:val="0"/>
        <w:spacing w:line="480" w:lineRule="atLeast"/>
        <w:ind w:firstLine="240" w:firstLineChars="10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3、</w:t>
      </w:r>
      <w:r>
        <w:rPr>
          <w:sz w:val="24"/>
          <w:szCs w:val="24"/>
        </w:rPr>
        <w:t xml:space="preserve">  </w:t>
      </w:r>
      <w:r>
        <w:rPr>
          <w:rFonts w:hAnsi="宋体"/>
          <w:sz w:val="24"/>
          <w:szCs w:val="24"/>
        </w:rPr>
        <w:t>在包装箱外应标明需方的订货号、发货号。</w:t>
      </w:r>
    </w:p>
    <w:p>
      <w:pPr>
        <w:tabs>
          <w:tab w:val="left" w:pos="651"/>
        </w:tabs>
        <w:bidi w:val="0"/>
        <w:ind w:firstLine="240" w:firstLineChars="100"/>
        <w:jc w:val="left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</w:t>
      </w:r>
      <w:r>
        <w:rPr>
          <w:sz w:val="24"/>
          <w:szCs w:val="24"/>
        </w:rPr>
        <w:t xml:space="preserve"> </w:t>
      </w:r>
      <w:r>
        <w:rPr>
          <w:rFonts w:hint="eastAsia" w:hAnsi="宋体"/>
          <w:sz w:val="24"/>
          <w:szCs w:val="24"/>
          <w:lang w:eastAsia="zh-CN"/>
        </w:rPr>
        <w:t>供货</w:t>
      </w:r>
      <w:r>
        <w:rPr>
          <w:rFonts w:hAnsi="宋体"/>
          <w:sz w:val="24"/>
          <w:szCs w:val="24"/>
        </w:rPr>
        <w:t>方还应提供</w:t>
      </w:r>
      <w:r>
        <w:rPr>
          <w:rFonts w:hint="eastAsia" w:hAnsi="宋体"/>
          <w:sz w:val="24"/>
          <w:szCs w:val="24"/>
          <w:lang w:eastAsia="zh-CN"/>
        </w:rPr>
        <w:t>产品合格证</w:t>
      </w:r>
      <w:r>
        <w:rPr>
          <w:rFonts w:hint="eastAsia" w:hAnsi="宋体"/>
          <w:sz w:val="24"/>
          <w:szCs w:val="24"/>
          <w:lang w:val="en-US" w:eastAsia="zh-CN"/>
        </w:rPr>
        <w:t>及出厂检验报告</w:t>
      </w:r>
      <w:bookmarkStart w:id="20" w:name="_GoBack"/>
      <w:bookmarkEnd w:id="20"/>
      <w:r>
        <w:rPr>
          <w:rFonts w:hint="eastAsia" w:hAnsi="宋体"/>
          <w:sz w:val="24"/>
          <w:szCs w:val="24"/>
          <w:lang w:eastAsia="zh-CN"/>
        </w:rPr>
        <w:t>。</w:t>
      </w:r>
    </w:p>
    <w:sectPr>
      <w:pgSz w:w="11906" w:h="16838"/>
      <w:pgMar w:top="1157" w:right="1973" w:bottom="1100" w:left="197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3.%2"/>
      <w:lvlJc w:val="left"/>
      <w:pPr>
        <w:tabs>
          <w:tab w:val="left" w:pos="525"/>
        </w:tabs>
        <w:ind w:left="525" w:hanging="525"/>
      </w:pPr>
      <w:rPr>
        <w:rFonts w:hint="default" w:ascii="Times New Roman" w:hAnsi="Times New Roman" w:eastAsia="宋体" w:cs="Times New Roman"/>
      </w:rPr>
    </w:lvl>
    <w:lvl w:ilvl="2" w:tentative="0">
      <w:start w:val="1"/>
      <w:numFmt w:val="decimal"/>
      <w:isLgl/>
      <w:lvlText w:val="3.%2.%3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eastAsia="宋体" w:cs="Times New Roman"/>
      </w:rPr>
    </w:lvl>
    <w:lvl w:ilvl="3" w:tentative="0">
      <w:start w:val="1"/>
      <w:numFmt w:val="decimal"/>
      <w:isLgl/>
      <w:lvlText w:val="3.%2.%3.%4"/>
      <w:lvlJc w:val="left"/>
      <w:pPr>
        <w:tabs>
          <w:tab w:val="left" w:pos="851"/>
        </w:tabs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0000002D"/>
    <w:multiLevelType w:val="multilevel"/>
    <w:tmpl w:val="0000002D"/>
    <w:lvl w:ilvl="0" w:tentative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3.%2"/>
      <w:lvlJc w:val="left"/>
      <w:pPr>
        <w:tabs>
          <w:tab w:val="left" w:pos="525"/>
        </w:tabs>
        <w:ind w:left="525" w:hanging="525"/>
      </w:pPr>
      <w:rPr>
        <w:rFonts w:hint="default" w:ascii="Times New Roman" w:hAnsi="Times New Roman" w:eastAsia="宋体" w:cs="Times New Roman"/>
      </w:rPr>
    </w:lvl>
    <w:lvl w:ilvl="2" w:tentative="0">
      <w:start w:val="1"/>
      <w:numFmt w:val="decimal"/>
      <w:isLgl/>
      <w:lvlText w:val="3.%2.%3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eastAsia="宋体" w:cs="Times New Roman"/>
      </w:rPr>
    </w:lvl>
    <w:lvl w:ilvl="3" w:tentative="0">
      <w:start w:val="1"/>
      <w:numFmt w:val="decimal"/>
      <w:isLgl/>
      <w:lvlText w:val="3.%2.%3.%4"/>
      <w:lvlJc w:val="left"/>
      <w:pPr>
        <w:tabs>
          <w:tab w:val="left" w:pos="851"/>
        </w:tabs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FB599E"/>
    <w:rsid w:val="00200A3D"/>
    <w:rsid w:val="009422FB"/>
    <w:rsid w:val="00E3697B"/>
    <w:rsid w:val="00E73196"/>
    <w:rsid w:val="010E0795"/>
    <w:rsid w:val="011D70FE"/>
    <w:rsid w:val="013A2042"/>
    <w:rsid w:val="01551B96"/>
    <w:rsid w:val="018D5653"/>
    <w:rsid w:val="01A76CB5"/>
    <w:rsid w:val="02354B2F"/>
    <w:rsid w:val="026F4113"/>
    <w:rsid w:val="02DE4643"/>
    <w:rsid w:val="03453D69"/>
    <w:rsid w:val="039D250D"/>
    <w:rsid w:val="03A74366"/>
    <w:rsid w:val="03D74CFB"/>
    <w:rsid w:val="046544E4"/>
    <w:rsid w:val="049A40F3"/>
    <w:rsid w:val="04A847B0"/>
    <w:rsid w:val="04C33772"/>
    <w:rsid w:val="04D0340B"/>
    <w:rsid w:val="04D20169"/>
    <w:rsid w:val="051D298F"/>
    <w:rsid w:val="05363446"/>
    <w:rsid w:val="05445CC2"/>
    <w:rsid w:val="055D022F"/>
    <w:rsid w:val="056F682C"/>
    <w:rsid w:val="05756A2C"/>
    <w:rsid w:val="058204AF"/>
    <w:rsid w:val="05A3270C"/>
    <w:rsid w:val="05CA49DA"/>
    <w:rsid w:val="05CF60A0"/>
    <w:rsid w:val="060033D0"/>
    <w:rsid w:val="06077593"/>
    <w:rsid w:val="0652706E"/>
    <w:rsid w:val="068E1E2C"/>
    <w:rsid w:val="06BF375D"/>
    <w:rsid w:val="06D64871"/>
    <w:rsid w:val="06F8250B"/>
    <w:rsid w:val="077A4E0F"/>
    <w:rsid w:val="07917912"/>
    <w:rsid w:val="07C307ED"/>
    <w:rsid w:val="07CA1450"/>
    <w:rsid w:val="083B688C"/>
    <w:rsid w:val="08457E15"/>
    <w:rsid w:val="08A81883"/>
    <w:rsid w:val="08D94164"/>
    <w:rsid w:val="092A7758"/>
    <w:rsid w:val="0A235031"/>
    <w:rsid w:val="0A2E56E1"/>
    <w:rsid w:val="0A396143"/>
    <w:rsid w:val="0AFC7C58"/>
    <w:rsid w:val="0B031AAB"/>
    <w:rsid w:val="0B23223A"/>
    <w:rsid w:val="0B5B15B7"/>
    <w:rsid w:val="0B8B323C"/>
    <w:rsid w:val="0B9435BC"/>
    <w:rsid w:val="0BAD225D"/>
    <w:rsid w:val="0BCE0684"/>
    <w:rsid w:val="0C177C63"/>
    <w:rsid w:val="0C4D4DCA"/>
    <w:rsid w:val="0C552B00"/>
    <w:rsid w:val="0C9311EA"/>
    <w:rsid w:val="0D085285"/>
    <w:rsid w:val="0D6856B2"/>
    <w:rsid w:val="0DB56A93"/>
    <w:rsid w:val="0E8F76B4"/>
    <w:rsid w:val="0EED1CAB"/>
    <w:rsid w:val="0F3B1F7A"/>
    <w:rsid w:val="0F470D9F"/>
    <w:rsid w:val="102649A5"/>
    <w:rsid w:val="10606C12"/>
    <w:rsid w:val="107377DF"/>
    <w:rsid w:val="10913FBD"/>
    <w:rsid w:val="10D71C58"/>
    <w:rsid w:val="10DB0A5B"/>
    <w:rsid w:val="110A31C2"/>
    <w:rsid w:val="11454142"/>
    <w:rsid w:val="11566535"/>
    <w:rsid w:val="116569B9"/>
    <w:rsid w:val="11861A16"/>
    <w:rsid w:val="11B04E48"/>
    <w:rsid w:val="120027A3"/>
    <w:rsid w:val="128B21E1"/>
    <w:rsid w:val="12C672AF"/>
    <w:rsid w:val="12EF758F"/>
    <w:rsid w:val="13127D8F"/>
    <w:rsid w:val="13591B27"/>
    <w:rsid w:val="13936F72"/>
    <w:rsid w:val="13A32DEB"/>
    <w:rsid w:val="13C23E19"/>
    <w:rsid w:val="13EE0A04"/>
    <w:rsid w:val="13FA5964"/>
    <w:rsid w:val="143D776E"/>
    <w:rsid w:val="14A17F87"/>
    <w:rsid w:val="14B55986"/>
    <w:rsid w:val="15164470"/>
    <w:rsid w:val="1523096A"/>
    <w:rsid w:val="15233AEE"/>
    <w:rsid w:val="155E3C8F"/>
    <w:rsid w:val="15667D71"/>
    <w:rsid w:val="157B568F"/>
    <w:rsid w:val="15957CF8"/>
    <w:rsid w:val="15CC45C5"/>
    <w:rsid w:val="15F601BA"/>
    <w:rsid w:val="16230E51"/>
    <w:rsid w:val="164E6730"/>
    <w:rsid w:val="16716A92"/>
    <w:rsid w:val="16847DF6"/>
    <w:rsid w:val="16B25B40"/>
    <w:rsid w:val="16E024CB"/>
    <w:rsid w:val="16FF0053"/>
    <w:rsid w:val="171005F6"/>
    <w:rsid w:val="174C193B"/>
    <w:rsid w:val="17871EE9"/>
    <w:rsid w:val="178F63A8"/>
    <w:rsid w:val="180B5B87"/>
    <w:rsid w:val="180C797F"/>
    <w:rsid w:val="181032A7"/>
    <w:rsid w:val="18261033"/>
    <w:rsid w:val="18374D79"/>
    <w:rsid w:val="186F516C"/>
    <w:rsid w:val="190056E4"/>
    <w:rsid w:val="19082DC0"/>
    <w:rsid w:val="193934ED"/>
    <w:rsid w:val="1983468F"/>
    <w:rsid w:val="19B20BE9"/>
    <w:rsid w:val="19DD3824"/>
    <w:rsid w:val="1A430E58"/>
    <w:rsid w:val="1A467817"/>
    <w:rsid w:val="1A534C6A"/>
    <w:rsid w:val="1A6A2647"/>
    <w:rsid w:val="1AA56EE5"/>
    <w:rsid w:val="1AAF6B30"/>
    <w:rsid w:val="1ABA7249"/>
    <w:rsid w:val="1B1C2398"/>
    <w:rsid w:val="1B2B6338"/>
    <w:rsid w:val="1B592385"/>
    <w:rsid w:val="1B5E387B"/>
    <w:rsid w:val="1B7F58E5"/>
    <w:rsid w:val="1B980FD6"/>
    <w:rsid w:val="1BA051B5"/>
    <w:rsid w:val="1BF91567"/>
    <w:rsid w:val="1C0923F3"/>
    <w:rsid w:val="1C0D4DAA"/>
    <w:rsid w:val="1C445C67"/>
    <w:rsid w:val="1C4A0FC3"/>
    <w:rsid w:val="1C730E16"/>
    <w:rsid w:val="1CC05A50"/>
    <w:rsid w:val="1CC41F1C"/>
    <w:rsid w:val="1CCD5CE0"/>
    <w:rsid w:val="1D8E205E"/>
    <w:rsid w:val="1DA2662B"/>
    <w:rsid w:val="1DBD5E78"/>
    <w:rsid w:val="1DEF43DA"/>
    <w:rsid w:val="1E372873"/>
    <w:rsid w:val="1E5E11C3"/>
    <w:rsid w:val="1E6F2BF3"/>
    <w:rsid w:val="1E9442F8"/>
    <w:rsid w:val="1ED7638C"/>
    <w:rsid w:val="1EE3069E"/>
    <w:rsid w:val="1F450AEA"/>
    <w:rsid w:val="1F5977F3"/>
    <w:rsid w:val="1FCB003D"/>
    <w:rsid w:val="1FFB599E"/>
    <w:rsid w:val="204B0AD0"/>
    <w:rsid w:val="207135BD"/>
    <w:rsid w:val="20AE108B"/>
    <w:rsid w:val="20D47FB2"/>
    <w:rsid w:val="211B19AF"/>
    <w:rsid w:val="216E563C"/>
    <w:rsid w:val="21AF7215"/>
    <w:rsid w:val="220556D5"/>
    <w:rsid w:val="221A5494"/>
    <w:rsid w:val="224A201B"/>
    <w:rsid w:val="225B50C7"/>
    <w:rsid w:val="22665ABF"/>
    <w:rsid w:val="226B556B"/>
    <w:rsid w:val="22F81EE3"/>
    <w:rsid w:val="23D533C2"/>
    <w:rsid w:val="24322FA2"/>
    <w:rsid w:val="244864F0"/>
    <w:rsid w:val="2466197E"/>
    <w:rsid w:val="247934D6"/>
    <w:rsid w:val="248654B6"/>
    <w:rsid w:val="24973EF4"/>
    <w:rsid w:val="24F73E6A"/>
    <w:rsid w:val="250932F7"/>
    <w:rsid w:val="251E124C"/>
    <w:rsid w:val="2526083C"/>
    <w:rsid w:val="256311E0"/>
    <w:rsid w:val="25B248FF"/>
    <w:rsid w:val="25B76C84"/>
    <w:rsid w:val="260B64E6"/>
    <w:rsid w:val="261A035C"/>
    <w:rsid w:val="26744F45"/>
    <w:rsid w:val="268E32F0"/>
    <w:rsid w:val="26B44362"/>
    <w:rsid w:val="26E865EA"/>
    <w:rsid w:val="27056722"/>
    <w:rsid w:val="271C6829"/>
    <w:rsid w:val="2722154F"/>
    <w:rsid w:val="273A2539"/>
    <w:rsid w:val="2748140F"/>
    <w:rsid w:val="27B379D6"/>
    <w:rsid w:val="27B91EBE"/>
    <w:rsid w:val="283143AE"/>
    <w:rsid w:val="28441FD9"/>
    <w:rsid w:val="285271FE"/>
    <w:rsid w:val="2885165D"/>
    <w:rsid w:val="28CC2672"/>
    <w:rsid w:val="28CE77A3"/>
    <w:rsid w:val="28FE388F"/>
    <w:rsid w:val="29422EC3"/>
    <w:rsid w:val="29627A2A"/>
    <w:rsid w:val="296853C8"/>
    <w:rsid w:val="29A0228E"/>
    <w:rsid w:val="29A96D5E"/>
    <w:rsid w:val="29AB2C9E"/>
    <w:rsid w:val="29C066DE"/>
    <w:rsid w:val="2A0E2AB5"/>
    <w:rsid w:val="2A16531B"/>
    <w:rsid w:val="2AA1431A"/>
    <w:rsid w:val="2AA828D5"/>
    <w:rsid w:val="2AF90844"/>
    <w:rsid w:val="2B1C31CA"/>
    <w:rsid w:val="2B272457"/>
    <w:rsid w:val="2B3C6CD5"/>
    <w:rsid w:val="2B5F3E9C"/>
    <w:rsid w:val="2BD05155"/>
    <w:rsid w:val="2C16391B"/>
    <w:rsid w:val="2C38438B"/>
    <w:rsid w:val="2C777CB3"/>
    <w:rsid w:val="2C7B6C92"/>
    <w:rsid w:val="2CDC3F32"/>
    <w:rsid w:val="2CF155B8"/>
    <w:rsid w:val="2D271F03"/>
    <w:rsid w:val="2D291172"/>
    <w:rsid w:val="2D2F5506"/>
    <w:rsid w:val="2D6F1DBE"/>
    <w:rsid w:val="2D7D02FB"/>
    <w:rsid w:val="2D9551C6"/>
    <w:rsid w:val="2D977E22"/>
    <w:rsid w:val="2DD133D0"/>
    <w:rsid w:val="2DD1632C"/>
    <w:rsid w:val="2E082246"/>
    <w:rsid w:val="2E2B56BB"/>
    <w:rsid w:val="2EFF452C"/>
    <w:rsid w:val="2F46209D"/>
    <w:rsid w:val="2FAC2B44"/>
    <w:rsid w:val="2FAF4C99"/>
    <w:rsid w:val="2FBF2AD3"/>
    <w:rsid w:val="2FC027F9"/>
    <w:rsid w:val="302A376D"/>
    <w:rsid w:val="30381E24"/>
    <w:rsid w:val="307A1DA4"/>
    <w:rsid w:val="30A14F96"/>
    <w:rsid w:val="30ED6A01"/>
    <w:rsid w:val="313B6CBC"/>
    <w:rsid w:val="319D2AA4"/>
    <w:rsid w:val="31A21F72"/>
    <w:rsid w:val="31C13D12"/>
    <w:rsid w:val="31CB5650"/>
    <w:rsid w:val="31D5107F"/>
    <w:rsid w:val="31EA3892"/>
    <w:rsid w:val="329D72DC"/>
    <w:rsid w:val="32DA0C93"/>
    <w:rsid w:val="331436C4"/>
    <w:rsid w:val="33452203"/>
    <w:rsid w:val="33917A68"/>
    <w:rsid w:val="339A6622"/>
    <w:rsid w:val="33EA67C9"/>
    <w:rsid w:val="340813C5"/>
    <w:rsid w:val="344B1094"/>
    <w:rsid w:val="34C151E2"/>
    <w:rsid w:val="34DD74F9"/>
    <w:rsid w:val="34E57808"/>
    <w:rsid w:val="352D7780"/>
    <w:rsid w:val="35E1120C"/>
    <w:rsid w:val="363F1233"/>
    <w:rsid w:val="36524065"/>
    <w:rsid w:val="36901D8D"/>
    <w:rsid w:val="37403724"/>
    <w:rsid w:val="374F2CBF"/>
    <w:rsid w:val="3757341D"/>
    <w:rsid w:val="37C21B27"/>
    <w:rsid w:val="37DC3D99"/>
    <w:rsid w:val="38915E15"/>
    <w:rsid w:val="38BC1844"/>
    <w:rsid w:val="38DA0E23"/>
    <w:rsid w:val="38EF7429"/>
    <w:rsid w:val="38FC75FE"/>
    <w:rsid w:val="39142031"/>
    <w:rsid w:val="396C2CC9"/>
    <w:rsid w:val="39AE6788"/>
    <w:rsid w:val="3A207C3D"/>
    <w:rsid w:val="3A5F35B6"/>
    <w:rsid w:val="3AB73E74"/>
    <w:rsid w:val="3AB8470F"/>
    <w:rsid w:val="3AF36C0E"/>
    <w:rsid w:val="3B385742"/>
    <w:rsid w:val="3B4404BD"/>
    <w:rsid w:val="3B6061E6"/>
    <w:rsid w:val="3B74435D"/>
    <w:rsid w:val="3B753439"/>
    <w:rsid w:val="3B78758E"/>
    <w:rsid w:val="3B8F26A0"/>
    <w:rsid w:val="3B984763"/>
    <w:rsid w:val="3BB04709"/>
    <w:rsid w:val="3C3B437A"/>
    <w:rsid w:val="3CCD4ED8"/>
    <w:rsid w:val="3CE82FCA"/>
    <w:rsid w:val="3CEA7157"/>
    <w:rsid w:val="3D421B32"/>
    <w:rsid w:val="3D58381A"/>
    <w:rsid w:val="3D9F097C"/>
    <w:rsid w:val="3DED18FB"/>
    <w:rsid w:val="3E08645B"/>
    <w:rsid w:val="3E3D766B"/>
    <w:rsid w:val="3E457795"/>
    <w:rsid w:val="3E957DCB"/>
    <w:rsid w:val="3EB06F25"/>
    <w:rsid w:val="3F357BD3"/>
    <w:rsid w:val="3F435E92"/>
    <w:rsid w:val="3F4D33D2"/>
    <w:rsid w:val="3F7A0B22"/>
    <w:rsid w:val="3F9F1027"/>
    <w:rsid w:val="3FEF1170"/>
    <w:rsid w:val="3FFD42AD"/>
    <w:rsid w:val="400C5479"/>
    <w:rsid w:val="402A6D52"/>
    <w:rsid w:val="4043287D"/>
    <w:rsid w:val="405D17E6"/>
    <w:rsid w:val="406A7E0A"/>
    <w:rsid w:val="40A1594A"/>
    <w:rsid w:val="40E3165D"/>
    <w:rsid w:val="415E59BF"/>
    <w:rsid w:val="418963B4"/>
    <w:rsid w:val="41931D92"/>
    <w:rsid w:val="41977193"/>
    <w:rsid w:val="41D54278"/>
    <w:rsid w:val="41D54F7E"/>
    <w:rsid w:val="42BF66AE"/>
    <w:rsid w:val="432B39CB"/>
    <w:rsid w:val="433C30B1"/>
    <w:rsid w:val="4377484B"/>
    <w:rsid w:val="43910205"/>
    <w:rsid w:val="43BB5CC0"/>
    <w:rsid w:val="43C40143"/>
    <w:rsid w:val="43E2132D"/>
    <w:rsid w:val="43FA0166"/>
    <w:rsid w:val="43FA6DFD"/>
    <w:rsid w:val="44145969"/>
    <w:rsid w:val="441C1C5E"/>
    <w:rsid w:val="444B1CB4"/>
    <w:rsid w:val="44551D38"/>
    <w:rsid w:val="44756405"/>
    <w:rsid w:val="449D4276"/>
    <w:rsid w:val="45737A1C"/>
    <w:rsid w:val="457D7DF9"/>
    <w:rsid w:val="45BA66BD"/>
    <w:rsid w:val="45C26B0E"/>
    <w:rsid w:val="46552F19"/>
    <w:rsid w:val="4682026A"/>
    <w:rsid w:val="46FF0917"/>
    <w:rsid w:val="470B1429"/>
    <w:rsid w:val="4726262F"/>
    <w:rsid w:val="476D73DA"/>
    <w:rsid w:val="4807041D"/>
    <w:rsid w:val="48747ABA"/>
    <w:rsid w:val="48DA6899"/>
    <w:rsid w:val="48E616F4"/>
    <w:rsid w:val="48F5438D"/>
    <w:rsid w:val="48F80731"/>
    <w:rsid w:val="49151806"/>
    <w:rsid w:val="498B3840"/>
    <w:rsid w:val="49B00F47"/>
    <w:rsid w:val="49F121B7"/>
    <w:rsid w:val="4A107BC6"/>
    <w:rsid w:val="4A4B7381"/>
    <w:rsid w:val="4A6335A0"/>
    <w:rsid w:val="4ABA161C"/>
    <w:rsid w:val="4AD05EE6"/>
    <w:rsid w:val="4AD14F81"/>
    <w:rsid w:val="4AF4513F"/>
    <w:rsid w:val="4AFC369E"/>
    <w:rsid w:val="4C0C75D1"/>
    <w:rsid w:val="4C2B3FCD"/>
    <w:rsid w:val="4C382D61"/>
    <w:rsid w:val="4C6E1DE8"/>
    <w:rsid w:val="4CAB06CB"/>
    <w:rsid w:val="4CDE1D61"/>
    <w:rsid w:val="4CE00865"/>
    <w:rsid w:val="4D202232"/>
    <w:rsid w:val="4D4D678F"/>
    <w:rsid w:val="4D5240B0"/>
    <w:rsid w:val="4D602233"/>
    <w:rsid w:val="4D7475E2"/>
    <w:rsid w:val="4D765E29"/>
    <w:rsid w:val="4DBF48AC"/>
    <w:rsid w:val="4DC45B4B"/>
    <w:rsid w:val="4DF46E42"/>
    <w:rsid w:val="4E1A0705"/>
    <w:rsid w:val="4E223460"/>
    <w:rsid w:val="4E3D4208"/>
    <w:rsid w:val="4E544AB5"/>
    <w:rsid w:val="4E7B3AFA"/>
    <w:rsid w:val="4E8A2BB5"/>
    <w:rsid w:val="4EB72F19"/>
    <w:rsid w:val="4F3C7D1B"/>
    <w:rsid w:val="4F7C4F8F"/>
    <w:rsid w:val="4F8F3212"/>
    <w:rsid w:val="4FA869EF"/>
    <w:rsid w:val="4FB80929"/>
    <w:rsid w:val="504938B2"/>
    <w:rsid w:val="50C457BA"/>
    <w:rsid w:val="51056474"/>
    <w:rsid w:val="51284D6D"/>
    <w:rsid w:val="513621BF"/>
    <w:rsid w:val="51377F38"/>
    <w:rsid w:val="51E56BB7"/>
    <w:rsid w:val="520F2791"/>
    <w:rsid w:val="520F3C46"/>
    <w:rsid w:val="5249351C"/>
    <w:rsid w:val="526B45C2"/>
    <w:rsid w:val="52770B3A"/>
    <w:rsid w:val="52AF11E3"/>
    <w:rsid w:val="52BD6EF1"/>
    <w:rsid w:val="52C02196"/>
    <w:rsid w:val="532A34EC"/>
    <w:rsid w:val="53CC012C"/>
    <w:rsid w:val="53E72BCE"/>
    <w:rsid w:val="540F388F"/>
    <w:rsid w:val="544976C4"/>
    <w:rsid w:val="545A6FE3"/>
    <w:rsid w:val="546B287A"/>
    <w:rsid w:val="547D4655"/>
    <w:rsid w:val="54D862A6"/>
    <w:rsid w:val="550C3F05"/>
    <w:rsid w:val="55A71DB4"/>
    <w:rsid w:val="55B430BB"/>
    <w:rsid w:val="567F70FE"/>
    <w:rsid w:val="569600DE"/>
    <w:rsid w:val="56D00133"/>
    <w:rsid w:val="572D047F"/>
    <w:rsid w:val="57464982"/>
    <w:rsid w:val="576A63B0"/>
    <w:rsid w:val="57715A53"/>
    <w:rsid w:val="5776584C"/>
    <w:rsid w:val="577816C8"/>
    <w:rsid w:val="57B01D3F"/>
    <w:rsid w:val="57CB0181"/>
    <w:rsid w:val="57DF0242"/>
    <w:rsid w:val="58625198"/>
    <w:rsid w:val="58A7758E"/>
    <w:rsid w:val="58B41BC5"/>
    <w:rsid w:val="59002B35"/>
    <w:rsid w:val="59472935"/>
    <w:rsid w:val="597E6158"/>
    <w:rsid w:val="599C1A23"/>
    <w:rsid w:val="5B0364AE"/>
    <w:rsid w:val="5B3E5DCC"/>
    <w:rsid w:val="5B7A4544"/>
    <w:rsid w:val="5BB34B9D"/>
    <w:rsid w:val="5C3E5379"/>
    <w:rsid w:val="5C49645A"/>
    <w:rsid w:val="5C5A6980"/>
    <w:rsid w:val="5C621449"/>
    <w:rsid w:val="5CFB4024"/>
    <w:rsid w:val="5D652084"/>
    <w:rsid w:val="5D690CB3"/>
    <w:rsid w:val="5D6A6C5C"/>
    <w:rsid w:val="5D7F6A2C"/>
    <w:rsid w:val="5D922E5C"/>
    <w:rsid w:val="5DAA333B"/>
    <w:rsid w:val="5DC100FC"/>
    <w:rsid w:val="5DCE3121"/>
    <w:rsid w:val="5E636F99"/>
    <w:rsid w:val="5EAA6B02"/>
    <w:rsid w:val="5F7A10E4"/>
    <w:rsid w:val="5F906153"/>
    <w:rsid w:val="60242CE5"/>
    <w:rsid w:val="613F401E"/>
    <w:rsid w:val="61437AEB"/>
    <w:rsid w:val="615C5774"/>
    <w:rsid w:val="61C8341C"/>
    <w:rsid w:val="62DF74FC"/>
    <w:rsid w:val="62FF46D7"/>
    <w:rsid w:val="63406093"/>
    <w:rsid w:val="63834E5A"/>
    <w:rsid w:val="63912FD1"/>
    <w:rsid w:val="639A002C"/>
    <w:rsid w:val="63DA0AFF"/>
    <w:rsid w:val="64300B78"/>
    <w:rsid w:val="643E0F8F"/>
    <w:rsid w:val="64680AE1"/>
    <w:rsid w:val="64825E98"/>
    <w:rsid w:val="649712D3"/>
    <w:rsid w:val="64B9191B"/>
    <w:rsid w:val="64CA4982"/>
    <w:rsid w:val="64D330C5"/>
    <w:rsid w:val="64DA1AFD"/>
    <w:rsid w:val="65154651"/>
    <w:rsid w:val="652C7274"/>
    <w:rsid w:val="65877B1E"/>
    <w:rsid w:val="65F9795E"/>
    <w:rsid w:val="66076DD5"/>
    <w:rsid w:val="663A6160"/>
    <w:rsid w:val="66486E38"/>
    <w:rsid w:val="66AA2E42"/>
    <w:rsid w:val="66EB49A7"/>
    <w:rsid w:val="670E5763"/>
    <w:rsid w:val="676039BF"/>
    <w:rsid w:val="678B05EE"/>
    <w:rsid w:val="67A65B09"/>
    <w:rsid w:val="67C734A4"/>
    <w:rsid w:val="67D4618D"/>
    <w:rsid w:val="67F05289"/>
    <w:rsid w:val="681C58AC"/>
    <w:rsid w:val="6855015C"/>
    <w:rsid w:val="687E514F"/>
    <w:rsid w:val="68912574"/>
    <w:rsid w:val="68A46CE3"/>
    <w:rsid w:val="68B1017F"/>
    <w:rsid w:val="68E4516F"/>
    <w:rsid w:val="6902730D"/>
    <w:rsid w:val="69C54DD8"/>
    <w:rsid w:val="69E01227"/>
    <w:rsid w:val="6A2E6BCD"/>
    <w:rsid w:val="6A33485A"/>
    <w:rsid w:val="6A8F22BC"/>
    <w:rsid w:val="6AF302FD"/>
    <w:rsid w:val="6B656C93"/>
    <w:rsid w:val="6C0147F1"/>
    <w:rsid w:val="6C1134DB"/>
    <w:rsid w:val="6C6A7E00"/>
    <w:rsid w:val="6C995BFC"/>
    <w:rsid w:val="6C9C7C4A"/>
    <w:rsid w:val="6CD40AE3"/>
    <w:rsid w:val="6CDE7A79"/>
    <w:rsid w:val="6CFC7172"/>
    <w:rsid w:val="6D3B77D7"/>
    <w:rsid w:val="6D802E0E"/>
    <w:rsid w:val="6D861C65"/>
    <w:rsid w:val="6DEC2C88"/>
    <w:rsid w:val="6E527E06"/>
    <w:rsid w:val="6E5A19C9"/>
    <w:rsid w:val="6EB74FB0"/>
    <w:rsid w:val="6EDC771A"/>
    <w:rsid w:val="6EEF7F08"/>
    <w:rsid w:val="6F08727D"/>
    <w:rsid w:val="6F1B6513"/>
    <w:rsid w:val="6F21075E"/>
    <w:rsid w:val="6F287AC1"/>
    <w:rsid w:val="6F5E4CF5"/>
    <w:rsid w:val="6F6D120A"/>
    <w:rsid w:val="6F987F92"/>
    <w:rsid w:val="70025550"/>
    <w:rsid w:val="703621B8"/>
    <w:rsid w:val="706233B3"/>
    <w:rsid w:val="70A33711"/>
    <w:rsid w:val="70A61EEE"/>
    <w:rsid w:val="70C20428"/>
    <w:rsid w:val="710B36BA"/>
    <w:rsid w:val="71107197"/>
    <w:rsid w:val="713368A6"/>
    <w:rsid w:val="714E20F6"/>
    <w:rsid w:val="71684C0A"/>
    <w:rsid w:val="71762DA9"/>
    <w:rsid w:val="7188572E"/>
    <w:rsid w:val="71A74C34"/>
    <w:rsid w:val="721469A5"/>
    <w:rsid w:val="7218109D"/>
    <w:rsid w:val="722E58AB"/>
    <w:rsid w:val="724855B1"/>
    <w:rsid w:val="726C2E61"/>
    <w:rsid w:val="72C8686A"/>
    <w:rsid w:val="72CE1A5B"/>
    <w:rsid w:val="72DA0CE2"/>
    <w:rsid w:val="731978AC"/>
    <w:rsid w:val="73280DFC"/>
    <w:rsid w:val="733811EC"/>
    <w:rsid w:val="73CC6A72"/>
    <w:rsid w:val="740A3D17"/>
    <w:rsid w:val="74225C97"/>
    <w:rsid w:val="74265655"/>
    <w:rsid w:val="74AA1566"/>
    <w:rsid w:val="74B57F12"/>
    <w:rsid w:val="74C936A8"/>
    <w:rsid w:val="74D77C7D"/>
    <w:rsid w:val="74DE62FB"/>
    <w:rsid w:val="74F564E3"/>
    <w:rsid w:val="75101A49"/>
    <w:rsid w:val="751C4720"/>
    <w:rsid w:val="752B28F0"/>
    <w:rsid w:val="7530085B"/>
    <w:rsid w:val="753447CE"/>
    <w:rsid w:val="754A1A99"/>
    <w:rsid w:val="754D65AA"/>
    <w:rsid w:val="75AB0C2F"/>
    <w:rsid w:val="75DA7D19"/>
    <w:rsid w:val="761E7583"/>
    <w:rsid w:val="762B2AEA"/>
    <w:rsid w:val="763864B7"/>
    <w:rsid w:val="764D1C80"/>
    <w:rsid w:val="767F55B5"/>
    <w:rsid w:val="76A838A8"/>
    <w:rsid w:val="76BC6C6C"/>
    <w:rsid w:val="76C16778"/>
    <w:rsid w:val="76F11C81"/>
    <w:rsid w:val="770B48BF"/>
    <w:rsid w:val="77B23B50"/>
    <w:rsid w:val="77B519F8"/>
    <w:rsid w:val="77DF579E"/>
    <w:rsid w:val="78516D7F"/>
    <w:rsid w:val="787D2D74"/>
    <w:rsid w:val="78802200"/>
    <w:rsid w:val="78867E1C"/>
    <w:rsid w:val="78B97C5C"/>
    <w:rsid w:val="791E05F5"/>
    <w:rsid w:val="794D4DCE"/>
    <w:rsid w:val="794E74FB"/>
    <w:rsid w:val="796527A2"/>
    <w:rsid w:val="79EA58B9"/>
    <w:rsid w:val="7A2E0610"/>
    <w:rsid w:val="7A485E3A"/>
    <w:rsid w:val="7A4E32F0"/>
    <w:rsid w:val="7A8976DE"/>
    <w:rsid w:val="7AB741F7"/>
    <w:rsid w:val="7B7E0366"/>
    <w:rsid w:val="7B8629F7"/>
    <w:rsid w:val="7BBB41C8"/>
    <w:rsid w:val="7BD21B47"/>
    <w:rsid w:val="7C390FB6"/>
    <w:rsid w:val="7C4A2D78"/>
    <w:rsid w:val="7C853A9C"/>
    <w:rsid w:val="7C8C0F16"/>
    <w:rsid w:val="7CD2474B"/>
    <w:rsid w:val="7CDE2209"/>
    <w:rsid w:val="7D1B2AD7"/>
    <w:rsid w:val="7D400D20"/>
    <w:rsid w:val="7D511253"/>
    <w:rsid w:val="7D5B2967"/>
    <w:rsid w:val="7DAF21D9"/>
    <w:rsid w:val="7E462EC4"/>
    <w:rsid w:val="7E703F57"/>
    <w:rsid w:val="7E9F1E6D"/>
    <w:rsid w:val="7EA23D0F"/>
    <w:rsid w:val="7ED04524"/>
    <w:rsid w:val="7F240617"/>
    <w:rsid w:val="7F6100EC"/>
    <w:rsid w:val="7F644F89"/>
    <w:rsid w:val="7F783882"/>
    <w:rsid w:val="7F8D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2024-04-07T01:22:00Z</dcterms:created>
  <dc:creator>1A24B3B61EE049979B123AEC51A32B18</dc:creator>
  <cp:lastModifiedBy>王中亭</cp:lastModifiedBy>
  <dcterms:modified xsi:type="dcterms:W3CDTF">2025-12-01T08:21:38Z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C11F9AFDA76745BFBBC8F38FC5DBE9D6</vt:lpwstr>
  </property>
</Properties>
</file>