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b/>
          <w:sz w:val="36"/>
          <w:u w:val="single"/>
        </w:rPr>
      </w:pPr>
    </w:p>
    <w:p>
      <w:pPr>
        <w:jc w:val="center"/>
        <w:rPr>
          <w:rFonts w:hint="default" w:ascii="Times New Roman" w:hAnsi="Times New Roman" w:cs="Times New Roman"/>
          <w:b/>
          <w:sz w:val="36"/>
        </w:rPr>
      </w:pPr>
    </w:p>
    <w:p>
      <w:pPr>
        <w:jc w:val="center"/>
        <w:rPr>
          <w:rFonts w:hint="default" w:ascii="Times New Roman" w:hAnsi="Times New Roman" w:eastAsia="黑体" w:cs="Times New Roman"/>
          <w:b/>
          <w:sz w:val="52"/>
        </w:rPr>
      </w:pPr>
    </w:p>
    <w:p>
      <w:pPr>
        <w:jc w:val="center"/>
        <w:rPr>
          <w:rFonts w:hint="default" w:ascii="Times New Roman" w:hAnsi="Times New Roman" w:eastAsia="黑体" w:cs="Times New Roman"/>
          <w:b/>
          <w:sz w:val="52"/>
        </w:rPr>
      </w:pPr>
      <w:r>
        <w:rPr>
          <w:rFonts w:hint="default" w:ascii="Times New Roman" w:hAnsi="Times New Roman" w:eastAsia="黑体" w:cs="Times New Roman"/>
          <w:b/>
          <w:sz w:val="52"/>
        </w:rPr>
        <w:t>2025年百色供电局传输网设备日常维修-</w:t>
      </w:r>
      <w:r>
        <w:rPr>
          <w:rFonts w:hint="eastAsia" w:eastAsia="黑体" w:cs="Times New Roman"/>
          <w:b/>
          <w:sz w:val="52"/>
          <w:lang w:eastAsia="zh-CN"/>
        </w:rPr>
        <w:t>烽火</w:t>
      </w:r>
      <w:r>
        <w:rPr>
          <w:rFonts w:hint="default" w:ascii="Times New Roman" w:hAnsi="Times New Roman" w:eastAsia="黑体" w:cs="Times New Roman"/>
          <w:b/>
          <w:sz w:val="52"/>
        </w:rPr>
        <w:t>板件修理</w:t>
      </w:r>
      <w:r>
        <w:rPr>
          <w:rFonts w:hint="default" w:ascii="Times New Roman" w:hAnsi="Times New Roman" w:eastAsia="黑体" w:cs="Times New Roman"/>
          <w:b/>
          <w:sz w:val="52"/>
          <w:lang w:eastAsia="zh-CN"/>
        </w:rPr>
        <w:t>服务</w:t>
      </w:r>
      <w:r>
        <w:rPr>
          <w:rFonts w:hint="default" w:ascii="Times New Roman" w:hAnsi="Times New Roman" w:eastAsia="黑体" w:cs="Times New Roman"/>
          <w:b/>
          <w:sz w:val="52"/>
        </w:rPr>
        <w:t>技术规范书</w:t>
      </w:r>
    </w:p>
    <w:p>
      <w:pPr>
        <w:jc w:val="center"/>
        <w:rPr>
          <w:rFonts w:hint="default" w:ascii="Times New Roman" w:hAnsi="Times New Roman" w:eastAsia="黑体" w:cs="Times New Roman"/>
          <w:b/>
          <w:sz w:val="52"/>
        </w:rPr>
      </w:pPr>
    </w:p>
    <w:p>
      <w:pPr>
        <w:jc w:val="center"/>
        <w:rPr>
          <w:rFonts w:hint="default" w:ascii="Times New Roman" w:hAnsi="Times New Roman" w:cs="Times New Roman"/>
          <w:b/>
          <w:sz w:val="52"/>
          <w:szCs w:val="52"/>
        </w:rPr>
      </w:pPr>
    </w:p>
    <w:p>
      <w:pPr>
        <w:jc w:val="center"/>
        <w:rPr>
          <w:rFonts w:hint="default" w:ascii="Times New Roman" w:hAnsi="Times New Roman" w:cs="Times New Roman"/>
          <w:sz w:val="28"/>
        </w:rPr>
      </w:pPr>
    </w:p>
    <w:p>
      <w:pPr>
        <w:jc w:val="center"/>
        <w:rPr>
          <w:rFonts w:hint="default" w:ascii="Times New Roman" w:hAnsi="Times New Roman" w:cs="Times New Roman"/>
          <w:sz w:val="28"/>
        </w:rPr>
      </w:pPr>
    </w:p>
    <w:p>
      <w:pPr>
        <w:jc w:val="center"/>
        <w:rPr>
          <w:rFonts w:hint="default" w:ascii="Times New Roman" w:hAnsi="Times New Roman" w:cs="Times New Roman"/>
          <w:sz w:val="28"/>
        </w:rPr>
      </w:pPr>
    </w:p>
    <w:p>
      <w:pPr>
        <w:jc w:val="center"/>
        <w:rPr>
          <w:rFonts w:hint="default" w:ascii="Times New Roman" w:hAnsi="Times New Roman" w:cs="Times New Roman"/>
          <w:sz w:val="28"/>
        </w:rPr>
      </w:pPr>
    </w:p>
    <w:p>
      <w:pPr>
        <w:jc w:val="center"/>
        <w:rPr>
          <w:rFonts w:hint="default" w:ascii="Times New Roman" w:hAnsi="Times New Roman" w:cs="Times New Roman"/>
          <w:sz w:val="28"/>
        </w:rPr>
      </w:pPr>
    </w:p>
    <w:p>
      <w:pPr>
        <w:jc w:val="center"/>
        <w:rPr>
          <w:rFonts w:hint="default" w:ascii="Times New Roman" w:hAnsi="Times New Roman" w:cs="Times New Roman"/>
          <w:sz w:val="28"/>
        </w:rPr>
      </w:pPr>
    </w:p>
    <w:p>
      <w:pPr>
        <w:jc w:val="center"/>
        <w:rPr>
          <w:rFonts w:hint="default" w:ascii="Times New Roman" w:hAnsi="Times New Roman" w:cs="Times New Roman"/>
          <w:sz w:val="28"/>
        </w:rPr>
      </w:pPr>
    </w:p>
    <w:p>
      <w:pPr>
        <w:jc w:val="center"/>
        <w:rPr>
          <w:rFonts w:hint="default" w:ascii="Times New Roman" w:hAnsi="Times New Roman" w:cs="Times New Roman"/>
          <w:sz w:val="28"/>
        </w:rPr>
      </w:pPr>
    </w:p>
    <w:p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</w:rPr>
      </w:pPr>
      <w:r>
        <w:rPr>
          <w:rFonts w:hint="default" w:ascii="Times New Roman" w:hAnsi="Times New Roman" w:cs="Times New Roman"/>
          <w:b/>
          <w:bCs/>
          <w:sz w:val="28"/>
        </w:rPr>
        <w:t>广西电网有限责任公司</w:t>
      </w:r>
    </w:p>
    <w:p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</w:rPr>
      </w:pPr>
      <w:r>
        <w:rPr>
          <w:rFonts w:hint="default" w:ascii="Times New Roman" w:hAnsi="Times New Roman" w:cs="Times New Roman"/>
          <w:b/>
          <w:bCs/>
          <w:sz w:val="28"/>
        </w:rPr>
        <w:t>202</w:t>
      </w:r>
      <w:r>
        <w:rPr>
          <w:rFonts w:hint="default" w:ascii="Times New Roman" w:hAnsi="Times New Roman" w:cs="Times New Roman"/>
          <w:b/>
          <w:bCs/>
          <w:sz w:val="28"/>
          <w:lang w:val="en-US" w:eastAsia="zh-CN"/>
        </w:rPr>
        <w:t>5</w:t>
      </w:r>
      <w:r>
        <w:rPr>
          <w:rFonts w:hint="default" w:ascii="Times New Roman" w:hAnsi="Times New Roman" w:cs="Times New Roman"/>
          <w:b/>
          <w:bCs/>
          <w:sz w:val="28"/>
        </w:rPr>
        <w:t>年</w:t>
      </w:r>
      <w:r>
        <w:rPr>
          <w:rFonts w:hint="eastAsia" w:cs="Times New Roman"/>
          <w:b/>
          <w:bCs/>
          <w:sz w:val="28"/>
          <w:lang w:val="en-US" w:eastAsia="zh-CN"/>
        </w:rPr>
        <w:t>10</w:t>
      </w:r>
      <w:r>
        <w:rPr>
          <w:rFonts w:hint="default" w:ascii="Times New Roman" w:hAnsi="Times New Roman" w:cs="Times New Roman"/>
          <w:b/>
          <w:bCs/>
          <w:sz w:val="28"/>
        </w:rPr>
        <w:t>月</w:t>
      </w:r>
      <w:bookmarkStart w:id="0" w:name="_Toc205292079"/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br w:type="page"/>
      </w:r>
    </w:p>
    <w:p>
      <w:pPr>
        <w:rPr>
          <w:rFonts w:hint="default" w:ascii="Times New Roman" w:hAnsi="Times New Roman" w:cs="Times New Roman"/>
        </w:rPr>
      </w:pPr>
    </w:p>
    <w:p>
      <w:pPr>
        <w:pStyle w:val="11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目录</w:t>
      </w:r>
    </w:p>
    <w:p>
      <w:pPr>
        <w:pStyle w:val="11"/>
        <w:rPr>
          <w:rFonts w:hint="default" w:ascii="Times New Roman" w:hAnsi="Times New Roman" w:cs="Times New Roman"/>
        </w:rPr>
      </w:pPr>
    </w:p>
    <w:p>
      <w:pPr>
        <w:pStyle w:val="11"/>
        <w:tabs>
          <w:tab w:val="right" w:leader="dot" w:pos="8306"/>
          <w:tab w:val="clear" w:pos="420"/>
          <w:tab w:val="clear" w:pos="8296"/>
        </w:tabs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TOC \o "1-3" \h \z \u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HYPERLINK \l _Toc18021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cs="Times New Roman"/>
          <w:szCs w:val="28"/>
        </w:rPr>
        <w:t xml:space="preserve">1. </w:t>
      </w:r>
      <w:r>
        <w:rPr>
          <w:rFonts w:hint="default" w:ascii="Times New Roman" w:hAnsi="Times New Roman" w:cs="Times New Roman"/>
        </w:rPr>
        <w:t>总则</w:t>
      </w:r>
      <w:r>
        <w:rPr>
          <w:rFonts w:hint="default" w:ascii="Times New Roman" w:hAnsi="Times New Roman" w:cs="Times New Roman"/>
        </w:rPr>
        <w:tab/>
      </w: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PAGEREF _Toc18021 \h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cs="Times New Roman"/>
        </w:rPr>
        <w:t>3</w:t>
      </w:r>
      <w:r>
        <w:rPr>
          <w:rFonts w:hint="default" w:ascii="Times New Roman" w:hAnsi="Times New Roman" w:cs="Times New Roman"/>
        </w:rPr>
        <w:fldChar w:fldCharType="end"/>
      </w:r>
      <w:r>
        <w:rPr>
          <w:rFonts w:hint="default" w:ascii="Times New Roman" w:hAnsi="Times New Roman" w:cs="Times New Roman"/>
        </w:rPr>
        <w:fldChar w:fldCharType="end"/>
      </w:r>
    </w:p>
    <w:p>
      <w:pPr>
        <w:pStyle w:val="11"/>
        <w:tabs>
          <w:tab w:val="right" w:leader="dot" w:pos="8306"/>
          <w:tab w:val="clear" w:pos="420"/>
          <w:tab w:val="clear" w:pos="8296"/>
        </w:tabs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HYPERLINK \l _Toc1077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cs="Times New Roman"/>
        </w:rPr>
        <w:t>2. 适用标准</w:t>
      </w:r>
      <w:r>
        <w:rPr>
          <w:rFonts w:hint="default" w:ascii="Times New Roman" w:hAnsi="Times New Roman" w:cs="Times New Roman"/>
        </w:rPr>
        <w:tab/>
      </w: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PAGEREF _Toc1077 \h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cs="Times New Roman"/>
        </w:rPr>
        <w:t>3</w:t>
      </w:r>
      <w:r>
        <w:rPr>
          <w:rFonts w:hint="default" w:ascii="Times New Roman" w:hAnsi="Times New Roman" w:cs="Times New Roman"/>
        </w:rPr>
        <w:fldChar w:fldCharType="end"/>
      </w:r>
      <w:r>
        <w:rPr>
          <w:rFonts w:hint="default" w:ascii="Times New Roman" w:hAnsi="Times New Roman" w:cs="Times New Roman"/>
        </w:rPr>
        <w:fldChar w:fldCharType="end"/>
      </w:r>
    </w:p>
    <w:p>
      <w:pPr>
        <w:pStyle w:val="11"/>
        <w:tabs>
          <w:tab w:val="right" w:leader="dot" w:pos="8306"/>
          <w:tab w:val="clear" w:pos="420"/>
          <w:tab w:val="clear" w:pos="8296"/>
        </w:tabs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HYPERLINK \l _Toc24537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cs="Times New Roman"/>
        </w:rPr>
        <w:t>3. 项目概况</w:t>
      </w:r>
      <w:r>
        <w:rPr>
          <w:rFonts w:hint="default" w:ascii="Times New Roman" w:hAnsi="Times New Roman" w:cs="Times New Roman"/>
        </w:rPr>
        <w:tab/>
      </w: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PAGEREF _Toc24537 \h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cs="Times New Roman"/>
        </w:rPr>
        <w:t>3</w:t>
      </w:r>
      <w:r>
        <w:rPr>
          <w:rFonts w:hint="default" w:ascii="Times New Roman" w:hAnsi="Times New Roman" w:cs="Times New Roman"/>
        </w:rPr>
        <w:fldChar w:fldCharType="end"/>
      </w:r>
      <w:r>
        <w:rPr>
          <w:rFonts w:hint="default" w:ascii="Times New Roman" w:hAnsi="Times New Roman" w:cs="Times New Roman"/>
        </w:rPr>
        <w:fldChar w:fldCharType="end"/>
      </w:r>
    </w:p>
    <w:p>
      <w:pPr>
        <w:pStyle w:val="11"/>
        <w:tabs>
          <w:tab w:val="right" w:leader="dot" w:pos="8306"/>
          <w:tab w:val="clear" w:pos="420"/>
          <w:tab w:val="clear" w:pos="8296"/>
        </w:tabs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HYPERLINK \l _Toc10597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cs="Times New Roman"/>
        </w:rPr>
        <w:t>4. 技术服务要求</w:t>
      </w:r>
      <w:r>
        <w:rPr>
          <w:rFonts w:hint="default" w:ascii="Times New Roman" w:hAnsi="Times New Roman" w:cs="Times New Roman"/>
        </w:rPr>
        <w:tab/>
      </w: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PAGEREF _Toc10597 \h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cs="Times New Roman"/>
        </w:rPr>
        <w:t>4</w:t>
      </w:r>
      <w:r>
        <w:rPr>
          <w:rFonts w:hint="default" w:ascii="Times New Roman" w:hAnsi="Times New Roman" w:cs="Times New Roman"/>
        </w:rPr>
        <w:fldChar w:fldCharType="end"/>
      </w:r>
      <w:r>
        <w:rPr>
          <w:rFonts w:hint="default" w:ascii="Times New Roman" w:hAnsi="Times New Roman" w:cs="Times New Roman"/>
        </w:rPr>
        <w:fldChar w:fldCharType="end"/>
      </w:r>
    </w:p>
    <w:p>
      <w:pPr>
        <w:pStyle w:val="11"/>
        <w:tabs>
          <w:tab w:val="right" w:leader="dot" w:pos="8306"/>
          <w:tab w:val="clear" w:pos="420"/>
          <w:tab w:val="clear" w:pos="8296"/>
        </w:tabs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HYPERLINK \l _Toc9292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eastAsia="仿宋_GB2312" w:cs="Times New Roman"/>
          <w:kern w:val="2"/>
          <w:szCs w:val="24"/>
          <w:lang w:val="zh-CN"/>
        </w:rPr>
        <w:t>5.2025年百色供电局传输网设备日常维修-</w:t>
      </w:r>
      <w:r>
        <w:rPr>
          <w:rFonts w:hint="eastAsia" w:eastAsia="仿宋_GB2312" w:cs="Times New Roman"/>
          <w:kern w:val="2"/>
          <w:szCs w:val="24"/>
          <w:lang w:val="zh-CN"/>
        </w:rPr>
        <w:t>烽火</w:t>
      </w:r>
      <w:r>
        <w:rPr>
          <w:rFonts w:hint="default" w:ascii="Times New Roman" w:hAnsi="Times New Roman" w:eastAsia="仿宋_GB2312" w:cs="Times New Roman"/>
          <w:kern w:val="2"/>
          <w:szCs w:val="24"/>
          <w:lang w:val="zh-CN"/>
        </w:rPr>
        <w:t>板件修理</w:t>
      </w:r>
      <w:r>
        <w:rPr>
          <w:rFonts w:hint="default" w:ascii="Times New Roman" w:hAnsi="Times New Roman" w:eastAsia="仿宋_GB2312" w:cs="Times New Roman"/>
          <w:lang w:eastAsia="zh-CN"/>
        </w:rPr>
        <w:t>服务</w:t>
      </w:r>
      <w:r>
        <w:rPr>
          <w:rFonts w:hint="default" w:ascii="Times New Roman" w:hAnsi="Times New Roman" w:eastAsia="仿宋_GB2312" w:cs="Times New Roman"/>
          <w:kern w:val="2"/>
          <w:szCs w:val="24"/>
          <w:lang w:val="zh-CN"/>
        </w:rPr>
        <w:t>列表</w:t>
      </w:r>
      <w:r>
        <w:rPr>
          <w:rFonts w:hint="default" w:ascii="Times New Roman" w:hAnsi="Times New Roman" w:cs="Times New Roman"/>
        </w:rPr>
        <w:tab/>
      </w: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PAGEREF _Toc9292 \h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cs="Times New Roman"/>
        </w:rPr>
        <w:t>4</w:t>
      </w:r>
      <w:r>
        <w:rPr>
          <w:rFonts w:hint="default" w:ascii="Times New Roman" w:hAnsi="Times New Roman" w:cs="Times New Roman"/>
        </w:rPr>
        <w:fldChar w:fldCharType="end"/>
      </w:r>
      <w:r>
        <w:rPr>
          <w:rFonts w:hint="default" w:ascii="Times New Roman" w:hAnsi="Times New Roman" w:cs="Times New Roman"/>
        </w:rPr>
        <w:fldChar w:fldCharType="end"/>
      </w:r>
    </w:p>
    <w:p>
      <w:pPr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fldChar w:fldCharType="end"/>
      </w:r>
      <w:r>
        <w:rPr>
          <w:rFonts w:hint="default" w:ascii="Times New Roman" w:hAnsi="Times New Roman" w:cs="Times New Roman"/>
        </w:rPr>
        <w:br w:type="page"/>
      </w:r>
    </w:p>
    <w:p>
      <w:pPr>
        <w:pStyle w:val="2"/>
        <w:numPr>
          <w:ilvl w:val="0"/>
          <w:numId w:val="1"/>
        </w:numPr>
        <w:spacing w:before="156" w:after="156"/>
        <w:rPr>
          <w:rFonts w:hint="default" w:ascii="Times New Roman" w:hAnsi="Times New Roman" w:cs="Times New Roman"/>
          <w:szCs w:val="28"/>
        </w:rPr>
      </w:pPr>
      <w:bookmarkStart w:id="1" w:name="_Toc18021"/>
      <w:r>
        <w:rPr>
          <w:rFonts w:hint="default" w:ascii="Times New Roman" w:hAnsi="Times New Roman" w:cs="Times New Roman"/>
        </w:rPr>
        <w:t>总则</w:t>
      </w:r>
      <w:bookmarkEnd w:id="0"/>
      <w:bookmarkEnd w:id="1"/>
    </w:p>
    <w:p>
      <w:pPr>
        <w:tabs>
          <w:tab w:val="left" w:pos="8640"/>
        </w:tabs>
        <w:spacing w:line="500" w:lineRule="exact"/>
        <w:ind w:left="480" w:right="-57" w:rightChars="-27" w:hanging="480" w:hangingChars="200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1.1本规范书适用于2025年百色供电局传输网设备日常维修-</w:t>
      </w:r>
      <w:r>
        <w:rPr>
          <w:rFonts w:hint="eastAsia" w:eastAsia="仿宋_GB2312" w:cs="Times New Roman"/>
          <w:sz w:val="24"/>
          <w:lang w:eastAsia="zh-CN"/>
        </w:rPr>
        <w:t>烽火</w:t>
      </w:r>
      <w:r>
        <w:rPr>
          <w:rFonts w:hint="default" w:ascii="Times New Roman" w:hAnsi="Times New Roman" w:eastAsia="仿宋_GB2312" w:cs="Times New Roman"/>
          <w:sz w:val="24"/>
        </w:rPr>
        <w:t>板件修理服务。</w:t>
      </w:r>
    </w:p>
    <w:p>
      <w:pPr>
        <w:tabs>
          <w:tab w:val="left" w:pos="8640"/>
        </w:tabs>
        <w:spacing w:line="500" w:lineRule="exact"/>
        <w:ind w:left="360" w:right="-57" w:rightChars="-27" w:hanging="360" w:hangingChars="150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1.2本规范书提出的是最基本的技术要求，并未对一切技术细节做出规定，也未充分引述有关标准和规范的条文，承包商方应保证按本规范书要求开展技术服务。</w:t>
      </w:r>
    </w:p>
    <w:p>
      <w:pPr>
        <w:tabs>
          <w:tab w:val="left" w:pos="8640"/>
        </w:tabs>
        <w:spacing w:line="500" w:lineRule="exact"/>
        <w:ind w:left="360" w:right="-57" w:rightChars="-27" w:hanging="360" w:hangingChars="150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1.3本规范书仅对采购需求提出基本要求，投标方可结合自己的特点提出建议书并提供详细资料、图片及说明，以供参考。如有偏差，应得到委托方确认。</w:t>
      </w:r>
    </w:p>
    <w:p>
      <w:pPr>
        <w:tabs>
          <w:tab w:val="left" w:pos="8640"/>
        </w:tabs>
        <w:spacing w:line="500" w:lineRule="exact"/>
        <w:ind w:left="360" w:right="-57" w:rightChars="-27" w:hanging="360" w:hangingChars="150"/>
        <w:rPr>
          <w:rFonts w:hint="default" w:ascii="Times New Roman" w:hAnsi="Times New Roman" w:eastAsia="仿宋_GB2312" w:cs="Times New Roman"/>
          <w:sz w:val="24"/>
        </w:rPr>
      </w:pPr>
    </w:p>
    <w:p>
      <w:pPr>
        <w:pStyle w:val="2"/>
        <w:numPr>
          <w:ilvl w:val="0"/>
          <w:numId w:val="1"/>
        </w:numPr>
        <w:spacing w:before="156" w:after="156"/>
        <w:rPr>
          <w:rFonts w:hint="default" w:ascii="Times New Roman" w:hAnsi="Times New Roman" w:cs="Times New Roman"/>
        </w:rPr>
      </w:pPr>
      <w:bookmarkStart w:id="2" w:name="_Toc1077"/>
      <w:r>
        <w:rPr>
          <w:rFonts w:hint="default" w:ascii="Times New Roman" w:hAnsi="Times New Roman" w:cs="Times New Roman"/>
        </w:rPr>
        <w:t>适用标准</w:t>
      </w:r>
      <w:bookmarkEnd w:id="2"/>
    </w:p>
    <w:p>
      <w:pPr>
        <w:tabs>
          <w:tab w:val="left" w:pos="8640"/>
        </w:tabs>
        <w:spacing w:line="500" w:lineRule="exact"/>
        <w:ind w:right="-57" w:rightChars="-27" w:firstLine="480" w:firstLineChars="200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投标方提供的所有工作产品，除本规范书中规定的技术参数和要求外，其余均应遵照最新版本的国际电信联盟(ITU)、国际电工委员会标准(IEC)、国际公制(SI)、国际标准化组织（ISO）及国家标准，这是对设备的最低要求。如果投标方有自己的标准或规范经招标方同意方可采用，但原则上均不能低于上述标准的有关规定，特别是这些规定或规程中互相矛盾的地方，应先征得招标方同意后，才能制造。</w:t>
      </w:r>
    </w:p>
    <w:p>
      <w:pPr>
        <w:tabs>
          <w:tab w:val="left" w:pos="8640"/>
        </w:tabs>
        <w:spacing w:line="500" w:lineRule="exact"/>
        <w:ind w:right="-57" w:rightChars="-27" w:firstLine="480" w:firstLineChars="200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本项目的材料、设备、施工须达到下列现行中华人民共和国以及南方电网公司、广西电网公司的工程建设标准、规范的要求：</w:t>
      </w:r>
    </w:p>
    <w:p>
      <w:pPr>
        <w:numPr>
          <w:ilvl w:val="0"/>
          <w:numId w:val="2"/>
        </w:numPr>
        <w:tabs>
          <w:tab w:val="left" w:pos="8640"/>
        </w:tabs>
        <w:spacing w:line="500" w:lineRule="exact"/>
        <w:ind w:right="-57" w:rightChars="-27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Q/CSG-212021-2011中国南方电网通信管理规定</w:t>
      </w:r>
    </w:p>
    <w:p>
      <w:pPr>
        <w:tabs>
          <w:tab w:val="left" w:pos="8640"/>
        </w:tabs>
        <w:spacing w:line="500" w:lineRule="exact"/>
        <w:ind w:right="-57" w:rightChars="-27" w:firstLine="480" w:firstLineChars="200"/>
        <w:rPr>
          <w:rFonts w:hint="default" w:ascii="Times New Roman" w:hAnsi="Times New Roman" w:eastAsia="仿宋_GB2312" w:cs="Times New Roman"/>
          <w:sz w:val="24"/>
        </w:rPr>
      </w:pPr>
      <w:bookmarkStart w:id="3" w:name="_Toc84038119"/>
      <w:bookmarkStart w:id="4" w:name="_Toc83724327"/>
      <w:bookmarkStart w:id="5" w:name="_Toc84038376"/>
      <w:bookmarkStart w:id="6" w:name="_Toc171303941"/>
      <w:bookmarkStart w:id="7" w:name="_Toc84038456"/>
      <w:bookmarkStart w:id="8" w:name="_Toc83808935"/>
      <w:bookmarkStart w:id="9" w:name="_Toc84037432"/>
      <w:bookmarkStart w:id="10" w:name="_Toc84038536"/>
    </w:p>
    <w:p>
      <w:pPr>
        <w:pStyle w:val="2"/>
        <w:numPr>
          <w:ilvl w:val="0"/>
          <w:numId w:val="1"/>
        </w:numPr>
        <w:spacing w:before="156" w:after="156"/>
        <w:rPr>
          <w:rFonts w:hint="default" w:ascii="Times New Roman" w:hAnsi="Times New Roman" w:cs="Times New Roman"/>
        </w:rPr>
      </w:pPr>
      <w:bookmarkStart w:id="11" w:name="_Toc24537"/>
      <w:r>
        <w:rPr>
          <w:rFonts w:hint="default" w:ascii="Times New Roman" w:hAnsi="Times New Roman" w:cs="Times New Roman"/>
        </w:rPr>
        <w:t>项目概况</w:t>
      </w:r>
      <w:bookmarkEnd w:id="11"/>
    </w:p>
    <w:p>
      <w:pPr>
        <w:numPr>
          <w:ilvl w:val="0"/>
          <w:numId w:val="0"/>
        </w:numPr>
        <w:autoSpaceDE w:val="0"/>
        <w:autoSpaceDN w:val="0"/>
        <w:adjustRightInd w:val="0"/>
        <w:spacing w:line="360" w:lineRule="auto"/>
        <w:ind w:firstLine="480" w:firstLineChars="200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需将有故障的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板件</w:t>
      </w:r>
      <w:r>
        <w:rPr>
          <w:rFonts w:hint="default" w:ascii="Times New Roman" w:hAnsi="Times New Roman" w:eastAsia="仿宋_GB2312" w:cs="Times New Roman"/>
          <w:sz w:val="24"/>
        </w:rPr>
        <w:t>进行维修，维修后的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板件</w:t>
      </w:r>
      <w:r>
        <w:rPr>
          <w:rFonts w:hint="default" w:ascii="Times New Roman" w:hAnsi="Times New Roman" w:eastAsia="仿宋_GB2312" w:cs="Times New Roman"/>
          <w:sz w:val="24"/>
        </w:rPr>
        <w:t>应满足《中国南方电网有限责任公司光通信设备招标技术规范书》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、《</w:t>
      </w:r>
      <w:r>
        <w:rPr>
          <w:rFonts w:hint="default" w:ascii="Times New Roman" w:hAnsi="Times New Roman" w:eastAsia="仿宋_GB2312" w:cs="Times New Roman"/>
          <w:sz w:val="24"/>
        </w:rPr>
        <w:t>中国南方电网有限责任公司光通信设备招标技术规范书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》</w:t>
      </w:r>
      <w:r>
        <w:rPr>
          <w:rFonts w:hint="default" w:ascii="Times New Roman" w:hAnsi="Times New Roman" w:eastAsia="仿宋_GB2312" w:cs="Times New Roman"/>
          <w:sz w:val="24"/>
        </w:rPr>
        <w:t>等对应类型通信设备技术运行指标。</w:t>
      </w:r>
    </w:p>
    <w:p>
      <w:pPr>
        <w:tabs>
          <w:tab w:val="left" w:pos="8640"/>
        </w:tabs>
        <w:spacing w:line="500" w:lineRule="exact"/>
        <w:ind w:right="-57" w:rightChars="-27" w:firstLine="360" w:firstLineChars="150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" w:cs="Times New Roman"/>
          <w:sz w:val="24"/>
        </w:rPr>
        <w:t>3.1</w:t>
      </w:r>
      <w:r>
        <w:rPr>
          <w:rFonts w:hint="default" w:ascii="Times New Roman" w:hAnsi="Times New Roman" w:eastAsia="仿宋_GB2312" w:cs="Times New Roman"/>
          <w:sz w:val="24"/>
        </w:rPr>
        <w:t>项目范围</w:t>
      </w:r>
    </w:p>
    <w:p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firstLine="420"/>
        <w:rPr>
          <w:rFonts w:hint="default" w:ascii="Times New Roman" w:hAnsi="Times New Roman" w:eastAsia="仿宋_GB2312" w:cs="Times New Roman"/>
          <w:sz w:val="24"/>
        </w:rPr>
      </w:pPr>
      <w:r>
        <w:rPr>
          <w:rFonts w:hint="default" w:ascii="Times New Roman" w:hAnsi="Times New Roman" w:eastAsia="仿宋_GB2312" w:cs="Times New Roman"/>
          <w:sz w:val="24"/>
        </w:rPr>
        <w:t>对项目清单内的</w:t>
      </w:r>
      <w:r>
        <w:rPr>
          <w:rFonts w:hint="eastAsia" w:eastAsia="仿宋_GB2312" w:cs="Times New Roman"/>
          <w:sz w:val="24"/>
          <w:lang w:eastAsia="zh-CN"/>
        </w:rPr>
        <w:t>百色</w:t>
      </w:r>
      <w:r>
        <w:rPr>
          <w:rFonts w:hint="default" w:ascii="Times New Roman" w:hAnsi="Times New Roman" w:eastAsia="仿宋_GB2312" w:cs="Times New Roman"/>
          <w:sz w:val="24"/>
        </w:rPr>
        <w:t>供电局故障的</w:t>
      </w:r>
      <w:r>
        <w:rPr>
          <w:rFonts w:hint="eastAsia" w:eastAsia="仿宋_GB2312" w:cs="Times New Roman"/>
          <w:sz w:val="24"/>
          <w:lang w:val="en-US" w:eastAsia="zh-CN"/>
        </w:rPr>
        <w:t>7</w:t>
      </w:r>
      <w:r>
        <w:rPr>
          <w:rFonts w:hint="default" w:ascii="Times New Roman" w:hAnsi="Times New Roman" w:eastAsia="仿宋_GB2312" w:cs="Times New Roman"/>
          <w:sz w:val="24"/>
        </w:rPr>
        <w:t>块</w:t>
      </w:r>
      <w:r>
        <w:rPr>
          <w:rFonts w:hint="eastAsia" w:eastAsia="仿宋_GB2312" w:cs="Times New Roman"/>
          <w:sz w:val="24"/>
          <w:lang w:eastAsia="zh-CN"/>
        </w:rPr>
        <w:t>烽火传输设备</w:t>
      </w:r>
      <w:r>
        <w:rPr>
          <w:rFonts w:hint="default" w:ascii="Times New Roman" w:hAnsi="Times New Roman" w:eastAsia="仿宋_GB2312" w:cs="Times New Roman"/>
          <w:sz w:val="24"/>
        </w:rPr>
        <w:t>板件进行维修使其正常使用要求。（详见:2025年百色供电局传输网设备日常维修-</w:t>
      </w:r>
      <w:r>
        <w:rPr>
          <w:rFonts w:hint="eastAsia" w:eastAsia="仿宋_GB2312" w:cs="Times New Roman"/>
          <w:sz w:val="24"/>
          <w:lang w:eastAsia="zh-CN"/>
        </w:rPr>
        <w:t>烽火</w:t>
      </w:r>
      <w:r>
        <w:rPr>
          <w:rFonts w:hint="default" w:ascii="Times New Roman" w:hAnsi="Times New Roman" w:eastAsia="仿宋_GB2312" w:cs="Times New Roman"/>
          <w:sz w:val="24"/>
        </w:rPr>
        <w:t>板件修理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服务列表</w:t>
      </w:r>
      <w:r>
        <w:rPr>
          <w:rFonts w:hint="default" w:ascii="Times New Roman" w:hAnsi="Times New Roman" w:eastAsia="仿宋_GB2312" w:cs="Times New Roman"/>
          <w:sz w:val="24"/>
        </w:rPr>
        <w:t>）。</w:t>
      </w:r>
    </w:p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eastAsia="仿宋_GB2312" w:cs="Times New Roman"/>
          <w:sz w:val="24"/>
          <w:lang w:val="zh-CN"/>
        </w:rPr>
      </w:pPr>
    </w:p>
    <w:p>
      <w:pPr>
        <w:pStyle w:val="2"/>
        <w:numPr>
          <w:ilvl w:val="0"/>
          <w:numId w:val="1"/>
        </w:numPr>
        <w:spacing w:before="156" w:after="156"/>
        <w:rPr>
          <w:rFonts w:hint="default" w:ascii="Times New Roman" w:hAnsi="Times New Roman" w:cs="Times New Roman"/>
        </w:rPr>
      </w:pPr>
      <w:bookmarkStart w:id="12" w:name="_Toc10597"/>
      <w:r>
        <w:rPr>
          <w:rFonts w:hint="default" w:ascii="Times New Roman" w:hAnsi="Times New Roman" w:cs="Times New Roman"/>
        </w:rPr>
        <w:t>技术服务要求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2"/>
      <w:bookmarkStart w:id="13" w:name="_Toc171303942"/>
    </w:p>
    <w:bookmarkEnd w:id="13"/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eastAsia="仿宋_GB2312" w:cs="Times New Roman"/>
          <w:b/>
          <w:bCs/>
          <w:sz w:val="24"/>
          <w:lang w:val="zh-CN"/>
        </w:rPr>
      </w:pPr>
      <w:bookmarkStart w:id="14" w:name="_Toc171303944"/>
      <w:r>
        <w:rPr>
          <w:rFonts w:hint="default" w:ascii="Times New Roman" w:hAnsi="Times New Roman" w:eastAsia="仿宋_GB2312" w:cs="Times New Roman"/>
          <w:b/>
          <w:bCs/>
          <w:sz w:val="24"/>
        </w:rPr>
        <w:t xml:space="preserve">4.1 </w:t>
      </w:r>
      <w:r>
        <w:rPr>
          <w:rFonts w:hint="default" w:ascii="Times New Roman" w:hAnsi="Times New Roman" w:eastAsia="仿宋_GB2312" w:cs="Times New Roman"/>
          <w:b/>
          <w:bCs/>
          <w:sz w:val="24"/>
          <w:lang w:val="zh-CN"/>
        </w:rPr>
        <w:t>本项目涉及的服务主要包括:</w:t>
      </w:r>
    </w:p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eastAsia="仿宋_GB2312" w:cs="Times New Roman"/>
          <w:sz w:val="24"/>
          <w:lang w:val="zh-CN"/>
        </w:rPr>
      </w:pPr>
      <w:r>
        <w:rPr>
          <w:rFonts w:hint="default" w:ascii="Times New Roman" w:hAnsi="Times New Roman" w:eastAsia="仿宋_GB2312" w:cs="Times New Roman"/>
          <w:sz w:val="24"/>
          <w:lang w:val="zh-CN"/>
        </w:rPr>
        <w:t>(1) 对</w:t>
      </w:r>
      <w:r>
        <w:rPr>
          <w:rFonts w:hint="default" w:ascii="Times New Roman" w:hAnsi="Times New Roman" w:eastAsia="仿宋_GB2312" w:cs="Times New Roman"/>
          <w:sz w:val="24"/>
        </w:rPr>
        <w:t>有故障的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板件</w:t>
      </w:r>
      <w:r>
        <w:rPr>
          <w:rFonts w:hint="default" w:ascii="Times New Roman" w:hAnsi="Times New Roman" w:eastAsia="仿宋_GB2312" w:cs="Times New Roman"/>
          <w:sz w:val="24"/>
        </w:rPr>
        <w:t>进行维修</w:t>
      </w:r>
      <w:r>
        <w:rPr>
          <w:rFonts w:hint="default" w:ascii="Times New Roman" w:hAnsi="Times New Roman" w:eastAsia="仿宋_GB2312" w:cs="Times New Roman"/>
          <w:sz w:val="24"/>
          <w:lang w:val="zh-CN"/>
        </w:rPr>
        <w:t>（或以旧板换新板）</w:t>
      </w:r>
      <w:r>
        <w:rPr>
          <w:rFonts w:hint="default" w:ascii="Times New Roman" w:hAnsi="Times New Roman" w:eastAsia="仿宋_GB2312" w:cs="Times New Roman"/>
          <w:sz w:val="24"/>
        </w:rPr>
        <w:t>，维修后的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板件</w:t>
      </w:r>
      <w:r>
        <w:rPr>
          <w:rFonts w:hint="default" w:ascii="Times New Roman" w:hAnsi="Times New Roman" w:eastAsia="仿宋_GB2312" w:cs="Times New Roman"/>
          <w:sz w:val="24"/>
        </w:rPr>
        <w:t>应满足《中国南方电网有限责任公司光通信设备招标技术规范书》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、《</w:t>
      </w:r>
      <w:r>
        <w:rPr>
          <w:rFonts w:hint="default" w:ascii="Times New Roman" w:hAnsi="Times New Roman" w:eastAsia="仿宋_GB2312" w:cs="Times New Roman"/>
          <w:sz w:val="24"/>
        </w:rPr>
        <w:t>中国南方电网有限责任公司光通信设备招标技术规范书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》</w:t>
      </w:r>
      <w:r>
        <w:rPr>
          <w:rFonts w:hint="default" w:ascii="Times New Roman" w:hAnsi="Times New Roman" w:eastAsia="仿宋_GB2312" w:cs="Times New Roman"/>
          <w:sz w:val="24"/>
        </w:rPr>
        <w:t>等对应类型通信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设备</w:t>
      </w:r>
      <w:r>
        <w:rPr>
          <w:rFonts w:hint="default" w:ascii="Times New Roman" w:hAnsi="Times New Roman" w:eastAsia="仿宋_GB2312" w:cs="Times New Roman"/>
          <w:sz w:val="24"/>
        </w:rPr>
        <w:t>技术运行指标</w:t>
      </w:r>
      <w:r>
        <w:rPr>
          <w:rFonts w:hint="default" w:ascii="Times New Roman" w:hAnsi="Times New Roman" w:eastAsia="仿宋_GB2312" w:cs="Times New Roman"/>
          <w:sz w:val="24"/>
          <w:lang w:val="zh-CN"/>
        </w:rPr>
        <w:t>。</w:t>
      </w:r>
    </w:p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eastAsia="仿宋_GB2312" w:cs="Times New Roman"/>
          <w:sz w:val="24"/>
          <w:lang w:val="zh-CN"/>
        </w:rPr>
      </w:pPr>
      <w:r>
        <w:rPr>
          <w:rFonts w:hint="default" w:ascii="Times New Roman" w:hAnsi="Times New Roman" w:eastAsia="仿宋_GB2312" w:cs="Times New Roman"/>
          <w:sz w:val="24"/>
          <w:lang w:val="zh-CN"/>
        </w:rPr>
        <w:tab/>
      </w:r>
      <w:r>
        <w:rPr>
          <w:rFonts w:hint="default" w:ascii="Times New Roman" w:hAnsi="Times New Roman" w:eastAsia="仿宋_GB2312" w:cs="Times New Roman"/>
          <w:sz w:val="24"/>
          <w:lang w:val="zh-CN"/>
        </w:rPr>
        <w:t>以下对投标人提供的服务内容进行说明并提出每类服务的总体要求。投标人须在标书中根据投标的对象和服务的总体要求，对所提供的服务进行更加具体的描述，若提供原厂服务须提供原厂授权文件。</w:t>
      </w:r>
    </w:p>
    <w:p>
      <w:pPr>
        <w:autoSpaceDE w:val="0"/>
        <w:autoSpaceDN w:val="0"/>
        <w:adjustRightInd w:val="0"/>
        <w:spacing w:line="360" w:lineRule="auto"/>
        <w:ind w:firstLine="420"/>
        <w:rPr>
          <w:rFonts w:hint="default" w:ascii="Times New Roman" w:hAnsi="Times New Roman" w:eastAsia="仿宋_GB2312" w:cs="Times New Roman"/>
          <w:sz w:val="24"/>
          <w:lang w:val="zh-CN"/>
        </w:rPr>
      </w:pPr>
    </w:p>
    <w:p>
      <w:pPr>
        <w:autoSpaceDE w:val="0"/>
        <w:autoSpaceDN w:val="0"/>
        <w:adjustRightInd w:val="0"/>
        <w:spacing w:line="360" w:lineRule="auto"/>
        <w:rPr>
          <w:rFonts w:hint="default" w:ascii="Times New Roman" w:hAnsi="Times New Roman" w:eastAsia="仿宋_GB2312" w:cs="Times New Roman"/>
          <w:b/>
          <w:bCs/>
          <w:sz w:val="24"/>
          <w:lang w:val="zh-CN"/>
        </w:rPr>
      </w:pPr>
      <w:r>
        <w:rPr>
          <w:rFonts w:hint="default" w:ascii="Times New Roman" w:hAnsi="Times New Roman" w:eastAsia="仿宋_GB2312" w:cs="Times New Roman"/>
          <w:b/>
          <w:bCs/>
          <w:sz w:val="24"/>
        </w:rPr>
        <w:t xml:space="preserve">4.2 </w:t>
      </w:r>
      <w:r>
        <w:rPr>
          <w:rFonts w:hint="default" w:ascii="Times New Roman" w:hAnsi="Times New Roman" w:eastAsia="仿宋_GB2312" w:cs="Times New Roman"/>
          <w:b/>
          <w:bCs/>
          <w:sz w:val="24"/>
          <w:lang w:val="zh-CN"/>
        </w:rPr>
        <w:t>项目资料要求</w:t>
      </w:r>
    </w:p>
    <w:p>
      <w:pPr>
        <w:autoSpaceDE w:val="0"/>
        <w:autoSpaceDN w:val="0"/>
        <w:adjustRightInd w:val="0"/>
        <w:spacing w:line="360" w:lineRule="auto"/>
        <w:ind w:firstLine="420"/>
        <w:rPr>
          <w:rFonts w:hint="default" w:ascii="Times New Roman" w:hAnsi="Times New Roman" w:eastAsia="仿宋_GB2312" w:cs="Times New Roman"/>
          <w:sz w:val="24"/>
          <w:lang w:val="zh-CN"/>
        </w:rPr>
      </w:pPr>
      <w:r>
        <w:rPr>
          <w:rFonts w:hint="default" w:ascii="Times New Roman" w:hAnsi="Times New Roman" w:eastAsia="仿宋_GB2312" w:cs="Times New Roman"/>
          <w:sz w:val="24"/>
          <w:lang w:val="zh-CN"/>
        </w:rPr>
        <w:t>1、投标人为招标人提供现场服务后，须及时提交详细的故障处理报告。</w:t>
      </w:r>
    </w:p>
    <w:p>
      <w:pPr>
        <w:autoSpaceDE w:val="0"/>
        <w:autoSpaceDN w:val="0"/>
        <w:adjustRightInd w:val="0"/>
        <w:spacing w:line="360" w:lineRule="auto"/>
        <w:ind w:firstLine="420"/>
        <w:rPr>
          <w:rFonts w:hint="default" w:ascii="Times New Roman" w:hAnsi="Times New Roman" w:eastAsia="仿宋_GB2312" w:cs="Times New Roman"/>
          <w:sz w:val="24"/>
          <w:lang w:val="zh-CN"/>
        </w:rPr>
      </w:pPr>
      <w:r>
        <w:rPr>
          <w:rFonts w:hint="default" w:ascii="Times New Roman" w:hAnsi="Times New Roman" w:eastAsia="仿宋_GB2312" w:cs="Times New Roman"/>
          <w:sz w:val="24"/>
          <w:lang w:val="zh-CN"/>
        </w:rPr>
        <w:t>2、投标人为招标人提供的文档（包括但不限于服务报告及建议方案）必须满足招标人提出的文档质量要求。</w:t>
      </w:r>
    </w:p>
    <w:p>
      <w:pPr>
        <w:autoSpaceDE w:val="0"/>
        <w:autoSpaceDN w:val="0"/>
        <w:adjustRightInd w:val="0"/>
        <w:spacing w:line="360" w:lineRule="auto"/>
        <w:ind w:firstLine="420"/>
        <w:rPr>
          <w:rFonts w:hint="default" w:ascii="Times New Roman" w:hAnsi="Times New Roman" w:eastAsia="仿宋_GB2312" w:cs="Times New Roman"/>
          <w:sz w:val="24"/>
          <w:lang w:val="zh-CN"/>
        </w:rPr>
      </w:pPr>
      <w:r>
        <w:rPr>
          <w:rFonts w:hint="default" w:ascii="Times New Roman" w:hAnsi="Times New Roman" w:eastAsia="仿宋_GB2312" w:cs="Times New Roman"/>
          <w:sz w:val="24"/>
          <w:lang w:val="zh-CN"/>
        </w:rPr>
        <w:t>3、投标人需建立客户服务档案，对本招标书中所有设备的运行状态、维护历史等情况进行记录，并向招标人提供服务报告。</w:t>
      </w:r>
    </w:p>
    <w:p>
      <w:pPr>
        <w:autoSpaceDE w:val="0"/>
        <w:autoSpaceDN w:val="0"/>
        <w:adjustRightInd w:val="0"/>
        <w:spacing w:line="360" w:lineRule="auto"/>
        <w:ind w:firstLine="420"/>
        <w:jc w:val="left"/>
        <w:rPr>
          <w:rFonts w:hint="default" w:ascii="Times New Roman" w:hAnsi="Times New Roman" w:eastAsia="仿宋_GB2312" w:cs="Times New Roman"/>
          <w:sz w:val="24"/>
          <w:lang w:val="zh-CN"/>
        </w:rPr>
      </w:pPr>
      <w:r>
        <w:rPr>
          <w:rFonts w:hint="default" w:ascii="Times New Roman" w:hAnsi="Times New Roman" w:eastAsia="仿宋_GB2312" w:cs="Times New Roman"/>
          <w:sz w:val="24"/>
          <w:lang w:val="zh-CN"/>
        </w:rPr>
        <w:t>4、投标人提供的资料采用中国国家法定单位制，语言为中文。</w:t>
      </w:r>
      <w:bookmarkStart w:id="16" w:name="_GoBack"/>
      <w:bookmarkEnd w:id="16"/>
    </w:p>
    <w:p>
      <w:pPr>
        <w:autoSpaceDE w:val="0"/>
        <w:autoSpaceDN w:val="0"/>
        <w:adjustRightInd w:val="0"/>
        <w:spacing w:line="360" w:lineRule="auto"/>
        <w:ind w:firstLine="420"/>
        <w:rPr>
          <w:rFonts w:hint="default" w:ascii="Times New Roman" w:hAnsi="Times New Roman" w:eastAsia="仿宋_GB2312" w:cs="Times New Roman"/>
          <w:sz w:val="24"/>
          <w:lang w:val="zh-CN"/>
        </w:rPr>
      </w:pPr>
      <w:r>
        <w:rPr>
          <w:rFonts w:hint="default" w:ascii="Times New Roman" w:hAnsi="Times New Roman" w:eastAsia="仿宋_GB2312" w:cs="Times New Roman"/>
          <w:sz w:val="24"/>
          <w:lang w:val="zh-CN"/>
        </w:rPr>
        <w:t>5、投标人资料的提交及时充分，满足项目管理要求。</w:t>
      </w:r>
    </w:p>
    <w:p>
      <w:pPr>
        <w:autoSpaceDE w:val="0"/>
        <w:autoSpaceDN w:val="0"/>
        <w:adjustRightInd w:val="0"/>
        <w:spacing w:line="360" w:lineRule="auto"/>
        <w:ind w:firstLine="420"/>
        <w:rPr>
          <w:rFonts w:hint="default" w:ascii="Times New Roman" w:hAnsi="Times New Roman" w:eastAsia="仿宋_GB2312" w:cs="Times New Roman"/>
          <w:sz w:val="24"/>
          <w:lang w:val="zh-CN"/>
        </w:rPr>
      </w:pPr>
      <w:r>
        <w:rPr>
          <w:rFonts w:hint="default" w:ascii="Times New Roman" w:hAnsi="Times New Roman" w:eastAsia="仿宋_GB2312" w:cs="Times New Roman"/>
          <w:sz w:val="24"/>
          <w:lang w:val="zh-CN"/>
        </w:rPr>
        <w:t>6、投标人所提供的纸质资料与电子文档内容必须完全一致。</w:t>
      </w:r>
    </w:p>
    <w:p>
      <w:pPr>
        <w:pStyle w:val="2"/>
        <w:numPr>
          <w:ilvl w:val="0"/>
          <w:numId w:val="1"/>
        </w:numPr>
        <w:spacing w:before="156" w:after="156"/>
        <w:rPr>
          <w:rFonts w:hint="default" w:ascii="Times New Roman" w:hAnsi="Times New Roman" w:eastAsia="仿宋_GB2312" w:cs="Times New Roman"/>
          <w:kern w:val="2"/>
          <w:sz w:val="24"/>
          <w:szCs w:val="24"/>
          <w:lang w:val="zh-CN"/>
        </w:rPr>
      </w:pPr>
      <w:bookmarkStart w:id="15" w:name="_Toc9292"/>
      <w:r>
        <w:rPr>
          <w:rFonts w:hint="default" w:ascii="Times New Roman" w:hAnsi="Times New Roman" w:eastAsia="仿宋_GB2312" w:cs="Times New Roman"/>
          <w:sz w:val="24"/>
        </w:rPr>
        <w:t>2025年百色供电局传输网设备日常维修-</w:t>
      </w:r>
      <w:r>
        <w:rPr>
          <w:rFonts w:hint="eastAsia" w:eastAsia="仿宋_GB2312" w:cs="Times New Roman"/>
          <w:sz w:val="24"/>
          <w:lang w:eastAsia="zh-CN"/>
        </w:rPr>
        <w:t>烽火</w:t>
      </w:r>
      <w:r>
        <w:rPr>
          <w:rFonts w:hint="default" w:ascii="Times New Roman" w:hAnsi="Times New Roman" w:eastAsia="仿宋_GB2312" w:cs="Times New Roman"/>
          <w:sz w:val="24"/>
        </w:rPr>
        <w:t>板件修理</w:t>
      </w:r>
      <w:r>
        <w:rPr>
          <w:rFonts w:hint="default" w:ascii="Times New Roman" w:hAnsi="Times New Roman" w:eastAsia="仿宋_GB2312" w:cs="Times New Roman"/>
          <w:sz w:val="24"/>
          <w:lang w:eastAsia="zh-CN"/>
        </w:rPr>
        <w:t>服务</w:t>
      </w:r>
      <w:r>
        <w:rPr>
          <w:rFonts w:hint="default" w:ascii="Times New Roman" w:hAnsi="Times New Roman" w:eastAsia="仿宋_GB2312" w:cs="Times New Roman"/>
          <w:kern w:val="2"/>
          <w:sz w:val="24"/>
          <w:szCs w:val="24"/>
          <w:lang w:val="zh-CN"/>
        </w:rPr>
        <w:t>列表</w:t>
      </w:r>
      <w:bookmarkEnd w:id="15"/>
    </w:p>
    <w:bookmarkEnd w:id="14"/>
    <w:tbl>
      <w:tblPr>
        <w:tblStyle w:val="16"/>
        <w:tblW w:w="84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758"/>
        <w:gridCol w:w="2629"/>
        <w:gridCol w:w="22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微软雅黑" w:cs="Times New Roman"/>
                <w:b/>
                <w:color w:val="auto"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275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微软雅黑" w:cs="Times New Roman"/>
                <w:b/>
                <w:color w:val="auto"/>
                <w:kern w:val="0"/>
                <w:sz w:val="20"/>
                <w:szCs w:val="20"/>
                <w:lang w:bidi="ar"/>
              </w:rPr>
              <w:t>设备名称</w:t>
            </w:r>
          </w:p>
        </w:tc>
        <w:tc>
          <w:tcPr>
            <w:tcW w:w="262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微软雅黑" w:cs="Times New Roman"/>
                <w:b/>
                <w:color w:val="auto"/>
                <w:kern w:val="0"/>
                <w:sz w:val="20"/>
                <w:szCs w:val="20"/>
                <w:lang w:bidi="ar"/>
              </w:rPr>
              <w:t>设备型号</w:t>
            </w:r>
          </w:p>
        </w:tc>
        <w:tc>
          <w:tcPr>
            <w:tcW w:w="2221" w:type="dxa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微软雅黑" w:cs="Times New Roman"/>
                <w:b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default" w:ascii="Times New Roman" w:hAnsi="Times New Roman" w:eastAsia="微软雅黑" w:cs="Times New Roman"/>
                <w:b/>
                <w:color w:val="auto"/>
                <w:kern w:val="0"/>
                <w:sz w:val="20"/>
                <w:szCs w:val="20"/>
                <w:lang w:bidi="ar"/>
              </w:rPr>
              <w:t>数量（块）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lang w:val="en-US" w:eastAsia="zh-CN" w:bidi="ar"/>
              </w:rPr>
              <w:t>1</w:t>
            </w:r>
          </w:p>
        </w:tc>
        <w:tc>
          <w:tcPr>
            <w:tcW w:w="2758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lang w:val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烽火780B</w:t>
            </w:r>
          </w:p>
        </w:tc>
        <w:tc>
          <w:tcPr>
            <w:tcW w:w="2629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lang w:val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2M板</w:t>
            </w:r>
          </w:p>
        </w:tc>
        <w:tc>
          <w:tcPr>
            <w:tcW w:w="2221" w:type="dxa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lang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lang w:val="en-US" w:eastAsia="zh-CN" w:bidi="ar"/>
              </w:rPr>
              <w:t>2</w:t>
            </w:r>
          </w:p>
        </w:tc>
        <w:tc>
          <w:tcPr>
            <w:tcW w:w="2758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烽火780B</w:t>
            </w:r>
          </w:p>
        </w:tc>
        <w:tc>
          <w:tcPr>
            <w:tcW w:w="2629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STM</w:t>
            </w:r>
            <w:r>
              <w:rPr>
                <w:rFonts w:hint="eastAsia" w:eastAsia="仿宋_GB2312" w:cs="Times New Roman"/>
                <w:color w:val="auto"/>
                <w:sz w:val="24"/>
                <w:lang w:val="en-US" w:eastAsia="zh-CN"/>
              </w:rPr>
              <w:t>16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光接口盘（O</w:t>
            </w:r>
            <w:r>
              <w:rPr>
                <w:rFonts w:hint="eastAsia" w:eastAsia="仿宋_GB2312" w:cs="Times New Roman"/>
                <w:color w:val="auto"/>
                <w:sz w:val="24"/>
                <w:lang w:val="en-US" w:eastAsia="zh-CN"/>
              </w:rPr>
              <w:t>2500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）</w:t>
            </w:r>
          </w:p>
        </w:tc>
        <w:tc>
          <w:tcPr>
            <w:tcW w:w="2221" w:type="dxa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="Times New Roman" w:hAnsi="Times New Roman" w:eastAsia="仿宋_GB2312" w:cs="Times New Roman"/>
                <w:color w:val="auto"/>
                <w:sz w:val="24"/>
                <w:lang w:eastAsia="zh-CN"/>
              </w:rPr>
            </w:pPr>
            <w:r>
              <w:rPr>
                <w:rFonts w:hint="eastAsia" w:eastAsia="仿宋_GB2312" w:cs="Times New Roman"/>
                <w:color w:val="auto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lang w:val="en-US" w:eastAsia="zh-CN" w:bidi="ar"/>
              </w:rPr>
              <w:t>3</w:t>
            </w:r>
          </w:p>
        </w:tc>
        <w:tc>
          <w:tcPr>
            <w:tcW w:w="2758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烽火780B</w:t>
            </w:r>
          </w:p>
        </w:tc>
        <w:tc>
          <w:tcPr>
            <w:tcW w:w="2629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lang w:val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STM4光接口盘（O622-4）</w:t>
            </w:r>
          </w:p>
        </w:tc>
        <w:tc>
          <w:tcPr>
            <w:tcW w:w="2221" w:type="dxa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="Times New Roman" w:hAnsi="Times New Roman" w:eastAsia="仿宋_GB2312" w:cs="Times New Roman"/>
                <w:color w:val="auto"/>
                <w:sz w:val="24"/>
                <w:lang w:eastAsia="zh-CN"/>
              </w:rPr>
            </w:pPr>
            <w:r>
              <w:rPr>
                <w:rFonts w:hint="eastAsia" w:eastAsia="仿宋_GB2312" w:cs="Times New Roman"/>
                <w:color w:val="auto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lang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4"/>
                <w:lang w:val="en-US" w:eastAsia="zh-CN" w:bidi="ar"/>
              </w:rPr>
              <w:t>4</w:t>
            </w:r>
          </w:p>
        </w:tc>
        <w:tc>
          <w:tcPr>
            <w:tcW w:w="2758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烽火780B</w:t>
            </w:r>
          </w:p>
        </w:tc>
        <w:tc>
          <w:tcPr>
            <w:tcW w:w="2629" w:type="dxa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lang w:val="en-US" w:eastAsia="zh-CN"/>
              </w:rPr>
            </w:pPr>
            <w:r>
              <w:rPr>
                <w:rFonts w:hint="eastAsia" w:eastAsia="仿宋_GB2312" w:cs="Times New Roman"/>
                <w:color w:val="auto"/>
                <w:sz w:val="24"/>
                <w:lang w:val="en-US" w:eastAsia="zh-CN"/>
              </w:rPr>
              <w:t>BA2</w:t>
            </w:r>
          </w:p>
        </w:tc>
        <w:tc>
          <w:tcPr>
            <w:tcW w:w="2221" w:type="dxa"/>
          </w:tcPr>
          <w:p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</w:rPr>
              <w:t>１</w:t>
            </w:r>
          </w:p>
        </w:tc>
      </w:tr>
    </w:tbl>
    <w:p>
      <w:pPr>
        <w:pStyle w:val="7"/>
        <w:spacing w:line="240" w:lineRule="auto"/>
        <w:rPr>
          <w:rFonts w:hint="default" w:ascii="Times New Roman" w:hAnsi="Times New Roman" w:eastAsia="仿宋_GB2312" w:cs="Times New Roman"/>
          <w:color w:val="auto"/>
          <w:sz w:val="24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文鼎报宋简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18</w:t>
    </w:r>
    <w:r>
      <w:fldChar w:fldCharType="end"/>
    </w:r>
  </w:p>
  <w:p>
    <w:pPr>
      <w:pStyle w:val="9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DDBFBE7"/>
    <w:multiLevelType w:val="singleLevel"/>
    <w:tmpl w:val="DDDBFBE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A0F028D"/>
    <w:multiLevelType w:val="multilevel"/>
    <w:tmpl w:val="0A0F028D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43B4F2A"/>
    <w:multiLevelType w:val="multilevel"/>
    <w:tmpl w:val="143B4F2A"/>
    <w:lvl w:ilvl="0" w:tentative="0">
      <w:start w:val="1"/>
      <w:numFmt w:val="bullet"/>
      <w:lvlText w:val=""/>
      <w:lvlJc w:val="left"/>
      <w:pPr>
        <w:tabs>
          <w:tab w:val="left" w:pos="900"/>
        </w:tabs>
        <w:ind w:left="90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1320"/>
        </w:tabs>
        <w:ind w:left="132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740"/>
        </w:tabs>
        <w:ind w:left="174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2160"/>
        </w:tabs>
        <w:ind w:left="216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580"/>
        </w:tabs>
        <w:ind w:left="258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3000"/>
        </w:tabs>
        <w:ind w:left="300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3420"/>
        </w:tabs>
        <w:ind w:left="342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840"/>
        </w:tabs>
        <w:ind w:left="384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4260"/>
        </w:tabs>
        <w:ind w:left="426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E29"/>
    <w:rsid w:val="000169E0"/>
    <w:rsid w:val="00044A2F"/>
    <w:rsid w:val="00060E8E"/>
    <w:rsid w:val="00067107"/>
    <w:rsid w:val="00067F9B"/>
    <w:rsid w:val="00071281"/>
    <w:rsid w:val="00074734"/>
    <w:rsid w:val="000817D8"/>
    <w:rsid w:val="00082E86"/>
    <w:rsid w:val="00084D0C"/>
    <w:rsid w:val="0009597F"/>
    <w:rsid w:val="00096FE5"/>
    <w:rsid w:val="000B2535"/>
    <w:rsid w:val="000B585D"/>
    <w:rsid w:val="000B76B8"/>
    <w:rsid w:val="000C5C75"/>
    <w:rsid w:val="000E05C8"/>
    <w:rsid w:val="000F0DD4"/>
    <w:rsid w:val="00103C68"/>
    <w:rsid w:val="001075E0"/>
    <w:rsid w:val="001331CB"/>
    <w:rsid w:val="00133337"/>
    <w:rsid w:val="001333E8"/>
    <w:rsid w:val="00137089"/>
    <w:rsid w:val="001442A5"/>
    <w:rsid w:val="00194BF4"/>
    <w:rsid w:val="001A1A2A"/>
    <w:rsid w:val="001B6EC6"/>
    <w:rsid w:val="001E6D0C"/>
    <w:rsid w:val="001F25F8"/>
    <w:rsid w:val="001F667D"/>
    <w:rsid w:val="001F7CA1"/>
    <w:rsid w:val="00226B9F"/>
    <w:rsid w:val="00242ED2"/>
    <w:rsid w:val="00253530"/>
    <w:rsid w:val="00253E16"/>
    <w:rsid w:val="0025406E"/>
    <w:rsid w:val="00264041"/>
    <w:rsid w:val="00266E04"/>
    <w:rsid w:val="00270C4C"/>
    <w:rsid w:val="00270C70"/>
    <w:rsid w:val="002717B2"/>
    <w:rsid w:val="00273B88"/>
    <w:rsid w:val="002814E8"/>
    <w:rsid w:val="002A0968"/>
    <w:rsid w:val="002A242F"/>
    <w:rsid w:val="002A5919"/>
    <w:rsid w:val="002A6218"/>
    <w:rsid w:val="002C236D"/>
    <w:rsid w:val="002D42F7"/>
    <w:rsid w:val="002F1820"/>
    <w:rsid w:val="002F45F6"/>
    <w:rsid w:val="00315D2B"/>
    <w:rsid w:val="00321109"/>
    <w:rsid w:val="00322127"/>
    <w:rsid w:val="00323EFA"/>
    <w:rsid w:val="00326041"/>
    <w:rsid w:val="0033103B"/>
    <w:rsid w:val="00340A88"/>
    <w:rsid w:val="003552AA"/>
    <w:rsid w:val="003679BC"/>
    <w:rsid w:val="003709EA"/>
    <w:rsid w:val="0037144D"/>
    <w:rsid w:val="003835B5"/>
    <w:rsid w:val="00397204"/>
    <w:rsid w:val="003A2107"/>
    <w:rsid w:val="003E5995"/>
    <w:rsid w:val="003E6DEE"/>
    <w:rsid w:val="0040080D"/>
    <w:rsid w:val="004024A4"/>
    <w:rsid w:val="00402C87"/>
    <w:rsid w:val="0041255C"/>
    <w:rsid w:val="00412791"/>
    <w:rsid w:val="00412B69"/>
    <w:rsid w:val="00424EEB"/>
    <w:rsid w:val="00437CAC"/>
    <w:rsid w:val="004814B3"/>
    <w:rsid w:val="004A30CA"/>
    <w:rsid w:val="004B057A"/>
    <w:rsid w:val="004B4E29"/>
    <w:rsid w:val="004B5E3E"/>
    <w:rsid w:val="004C4593"/>
    <w:rsid w:val="004C49CB"/>
    <w:rsid w:val="004C4AC4"/>
    <w:rsid w:val="004F1ED8"/>
    <w:rsid w:val="005000A2"/>
    <w:rsid w:val="005041C7"/>
    <w:rsid w:val="005065CC"/>
    <w:rsid w:val="00516F11"/>
    <w:rsid w:val="00521657"/>
    <w:rsid w:val="005301B4"/>
    <w:rsid w:val="005362CF"/>
    <w:rsid w:val="00540824"/>
    <w:rsid w:val="005409F5"/>
    <w:rsid w:val="005428BF"/>
    <w:rsid w:val="00553167"/>
    <w:rsid w:val="00553CAA"/>
    <w:rsid w:val="0056085B"/>
    <w:rsid w:val="00570B51"/>
    <w:rsid w:val="00577EFC"/>
    <w:rsid w:val="0058121A"/>
    <w:rsid w:val="00585BAC"/>
    <w:rsid w:val="00593CD1"/>
    <w:rsid w:val="005A0809"/>
    <w:rsid w:val="005A2FC9"/>
    <w:rsid w:val="005B6846"/>
    <w:rsid w:val="005C7DEC"/>
    <w:rsid w:val="005D7A52"/>
    <w:rsid w:val="005F6F50"/>
    <w:rsid w:val="005F788C"/>
    <w:rsid w:val="0060120D"/>
    <w:rsid w:val="006025EB"/>
    <w:rsid w:val="006058A6"/>
    <w:rsid w:val="00612285"/>
    <w:rsid w:val="00616DC8"/>
    <w:rsid w:val="00617526"/>
    <w:rsid w:val="00624E28"/>
    <w:rsid w:val="00634445"/>
    <w:rsid w:val="00652812"/>
    <w:rsid w:val="0066785F"/>
    <w:rsid w:val="00687085"/>
    <w:rsid w:val="006A180A"/>
    <w:rsid w:val="006A45EF"/>
    <w:rsid w:val="006B3700"/>
    <w:rsid w:val="006B3C19"/>
    <w:rsid w:val="006D6C8E"/>
    <w:rsid w:val="006D70D2"/>
    <w:rsid w:val="006E2083"/>
    <w:rsid w:val="006F67CB"/>
    <w:rsid w:val="00704473"/>
    <w:rsid w:val="0071187B"/>
    <w:rsid w:val="00724C58"/>
    <w:rsid w:val="00724D07"/>
    <w:rsid w:val="00725776"/>
    <w:rsid w:val="00731D06"/>
    <w:rsid w:val="00735905"/>
    <w:rsid w:val="00742713"/>
    <w:rsid w:val="00743DC3"/>
    <w:rsid w:val="0074431B"/>
    <w:rsid w:val="007673A4"/>
    <w:rsid w:val="00793573"/>
    <w:rsid w:val="007A51A0"/>
    <w:rsid w:val="007A782A"/>
    <w:rsid w:val="007B2021"/>
    <w:rsid w:val="007B3424"/>
    <w:rsid w:val="007C0A93"/>
    <w:rsid w:val="007C6D03"/>
    <w:rsid w:val="007C7ADC"/>
    <w:rsid w:val="007D025A"/>
    <w:rsid w:val="007D28E0"/>
    <w:rsid w:val="007D3AE4"/>
    <w:rsid w:val="007E081C"/>
    <w:rsid w:val="007E65C1"/>
    <w:rsid w:val="007F6E9A"/>
    <w:rsid w:val="008232F2"/>
    <w:rsid w:val="00831E96"/>
    <w:rsid w:val="0084680B"/>
    <w:rsid w:val="00875CBB"/>
    <w:rsid w:val="00883730"/>
    <w:rsid w:val="00886076"/>
    <w:rsid w:val="008A6284"/>
    <w:rsid w:val="008A6477"/>
    <w:rsid w:val="008C1AB8"/>
    <w:rsid w:val="008C3896"/>
    <w:rsid w:val="008C3ED9"/>
    <w:rsid w:val="008D00BC"/>
    <w:rsid w:val="008E0784"/>
    <w:rsid w:val="008F1872"/>
    <w:rsid w:val="008F6F76"/>
    <w:rsid w:val="00906E47"/>
    <w:rsid w:val="00913B9B"/>
    <w:rsid w:val="0092046F"/>
    <w:rsid w:val="0094389C"/>
    <w:rsid w:val="00946E29"/>
    <w:rsid w:val="00962583"/>
    <w:rsid w:val="00965AC1"/>
    <w:rsid w:val="009813C1"/>
    <w:rsid w:val="00994300"/>
    <w:rsid w:val="009A189B"/>
    <w:rsid w:val="009A3C9F"/>
    <w:rsid w:val="009B39EC"/>
    <w:rsid w:val="009B4FE2"/>
    <w:rsid w:val="009D37B1"/>
    <w:rsid w:val="009E52A0"/>
    <w:rsid w:val="00A004AC"/>
    <w:rsid w:val="00A045BC"/>
    <w:rsid w:val="00A207EF"/>
    <w:rsid w:val="00A27B64"/>
    <w:rsid w:val="00A3305B"/>
    <w:rsid w:val="00A3763E"/>
    <w:rsid w:val="00A50466"/>
    <w:rsid w:val="00A72EA7"/>
    <w:rsid w:val="00A8406A"/>
    <w:rsid w:val="00A86E76"/>
    <w:rsid w:val="00A872B7"/>
    <w:rsid w:val="00A929A1"/>
    <w:rsid w:val="00A9501B"/>
    <w:rsid w:val="00AA1AC4"/>
    <w:rsid w:val="00AA3D60"/>
    <w:rsid w:val="00AA3F15"/>
    <w:rsid w:val="00AB0ABB"/>
    <w:rsid w:val="00AB591D"/>
    <w:rsid w:val="00AC5777"/>
    <w:rsid w:val="00AC6EF9"/>
    <w:rsid w:val="00AC7226"/>
    <w:rsid w:val="00AC7E65"/>
    <w:rsid w:val="00AD3567"/>
    <w:rsid w:val="00AF02AF"/>
    <w:rsid w:val="00AF1A71"/>
    <w:rsid w:val="00AF2020"/>
    <w:rsid w:val="00AF6468"/>
    <w:rsid w:val="00B2158C"/>
    <w:rsid w:val="00B22795"/>
    <w:rsid w:val="00B3079C"/>
    <w:rsid w:val="00B36882"/>
    <w:rsid w:val="00B37C17"/>
    <w:rsid w:val="00B418D7"/>
    <w:rsid w:val="00B41B75"/>
    <w:rsid w:val="00B53DFE"/>
    <w:rsid w:val="00B558B1"/>
    <w:rsid w:val="00B56538"/>
    <w:rsid w:val="00B81503"/>
    <w:rsid w:val="00B87175"/>
    <w:rsid w:val="00B94368"/>
    <w:rsid w:val="00B960D3"/>
    <w:rsid w:val="00BA0C67"/>
    <w:rsid w:val="00BA526E"/>
    <w:rsid w:val="00BB4E7F"/>
    <w:rsid w:val="00BC4B95"/>
    <w:rsid w:val="00BC6CC2"/>
    <w:rsid w:val="00BD0191"/>
    <w:rsid w:val="00BD6032"/>
    <w:rsid w:val="00BF513F"/>
    <w:rsid w:val="00C1121E"/>
    <w:rsid w:val="00C17136"/>
    <w:rsid w:val="00C325F2"/>
    <w:rsid w:val="00C46AD6"/>
    <w:rsid w:val="00C96ABE"/>
    <w:rsid w:val="00CB1C6C"/>
    <w:rsid w:val="00CD054C"/>
    <w:rsid w:val="00CE2BC6"/>
    <w:rsid w:val="00CE3E5E"/>
    <w:rsid w:val="00CE4D36"/>
    <w:rsid w:val="00CF5C4C"/>
    <w:rsid w:val="00D20873"/>
    <w:rsid w:val="00D269FB"/>
    <w:rsid w:val="00D47DE4"/>
    <w:rsid w:val="00D52B8D"/>
    <w:rsid w:val="00D66722"/>
    <w:rsid w:val="00D67FF6"/>
    <w:rsid w:val="00D81FE3"/>
    <w:rsid w:val="00D8441D"/>
    <w:rsid w:val="00D85335"/>
    <w:rsid w:val="00D9229B"/>
    <w:rsid w:val="00D947CB"/>
    <w:rsid w:val="00D97D8E"/>
    <w:rsid w:val="00DB4E94"/>
    <w:rsid w:val="00DC67B2"/>
    <w:rsid w:val="00DD4FB7"/>
    <w:rsid w:val="00DE44CD"/>
    <w:rsid w:val="00DE49DB"/>
    <w:rsid w:val="00E10A1E"/>
    <w:rsid w:val="00E13C10"/>
    <w:rsid w:val="00E341C4"/>
    <w:rsid w:val="00E369EB"/>
    <w:rsid w:val="00E40FED"/>
    <w:rsid w:val="00E5071F"/>
    <w:rsid w:val="00E51981"/>
    <w:rsid w:val="00E524A3"/>
    <w:rsid w:val="00E543F3"/>
    <w:rsid w:val="00E55508"/>
    <w:rsid w:val="00E7263F"/>
    <w:rsid w:val="00E737AB"/>
    <w:rsid w:val="00E75A2A"/>
    <w:rsid w:val="00E76313"/>
    <w:rsid w:val="00E93FFC"/>
    <w:rsid w:val="00E96731"/>
    <w:rsid w:val="00E96F4B"/>
    <w:rsid w:val="00EA7D21"/>
    <w:rsid w:val="00EB7D96"/>
    <w:rsid w:val="00EC21C7"/>
    <w:rsid w:val="00ED08D1"/>
    <w:rsid w:val="00ED6B6B"/>
    <w:rsid w:val="00EE0DF2"/>
    <w:rsid w:val="00EF3A3B"/>
    <w:rsid w:val="00F044E7"/>
    <w:rsid w:val="00F15F5D"/>
    <w:rsid w:val="00F31A74"/>
    <w:rsid w:val="00F42158"/>
    <w:rsid w:val="00F4460D"/>
    <w:rsid w:val="00F541EC"/>
    <w:rsid w:val="00F61612"/>
    <w:rsid w:val="00F716D5"/>
    <w:rsid w:val="00F8348B"/>
    <w:rsid w:val="00F914DA"/>
    <w:rsid w:val="00F918E1"/>
    <w:rsid w:val="00F952DE"/>
    <w:rsid w:val="00FA3C9C"/>
    <w:rsid w:val="00FB4B48"/>
    <w:rsid w:val="00FB7C16"/>
    <w:rsid w:val="00FC7F09"/>
    <w:rsid w:val="00FE6D1B"/>
    <w:rsid w:val="00FF3515"/>
    <w:rsid w:val="01076E29"/>
    <w:rsid w:val="01433461"/>
    <w:rsid w:val="0AA41E47"/>
    <w:rsid w:val="0B3E5549"/>
    <w:rsid w:val="0D832FC0"/>
    <w:rsid w:val="0F215CE3"/>
    <w:rsid w:val="0F832CD7"/>
    <w:rsid w:val="1161346B"/>
    <w:rsid w:val="15C05DD1"/>
    <w:rsid w:val="170E40CD"/>
    <w:rsid w:val="19DD50DA"/>
    <w:rsid w:val="1A355CC1"/>
    <w:rsid w:val="1EC51586"/>
    <w:rsid w:val="292015F8"/>
    <w:rsid w:val="2A151B52"/>
    <w:rsid w:val="2A557694"/>
    <w:rsid w:val="2B454B1F"/>
    <w:rsid w:val="2D2A258E"/>
    <w:rsid w:val="30633B6C"/>
    <w:rsid w:val="31495EAA"/>
    <w:rsid w:val="32CF6618"/>
    <w:rsid w:val="33952C7E"/>
    <w:rsid w:val="340C37D6"/>
    <w:rsid w:val="35535250"/>
    <w:rsid w:val="36363417"/>
    <w:rsid w:val="36BC266D"/>
    <w:rsid w:val="378F2234"/>
    <w:rsid w:val="38E233E6"/>
    <w:rsid w:val="38FE35E5"/>
    <w:rsid w:val="39230F08"/>
    <w:rsid w:val="39627767"/>
    <w:rsid w:val="3AEF6469"/>
    <w:rsid w:val="3B9B28C6"/>
    <w:rsid w:val="3DEA6E62"/>
    <w:rsid w:val="40492E7F"/>
    <w:rsid w:val="44625DF5"/>
    <w:rsid w:val="446A294F"/>
    <w:rsid w:val="46BA6DAD"/>
    <w:rsid w:val="485E5267"/>
    <w:rsid w:val="49F03307"/>
    <w:rsid w:val="49FA2DFA"/>
    <w:rsid w:val="4DA420C6"/>
    <w:rsid w:val="4ED97D33"/>
    <w:rsid w:val="4F712393"/>
    <w:rsid w:val="50BF5F84"/>
    <w:rsid w:val="52A42508"/>
    <w:rsid w:val="539D2A4C"/>
    <w:rsid w:val="57391459"/>
    <w:rsid w:val="58115B7B"/>
    <w:rsid w:val="5B9A7AEC"/>
    <w:rsid w:val="5D0F5B94"/>
    <w:rsid w:val="5F695E00"/>
    <w:rsid w:val="5FBB3C6B"/>
    <w:rsid w:val="60FE1913"/>
    <w:rsid w:val="63051996"/>
    <w:rsid w:val="69043791"/>
    <w:rsid w:val="6A3B3048"/>
    <w:rsid w:val="6E545038"/>
    <w:rsid w:val="6F8643D7"/>
    <w:rsid w:val="726B718F"/>
    <w:rsid w:val="742F6D2D"/>
    <w:rsid w:val="74DF22A0"/>
    <w:rsid w:val="760E5710"/>
    <w:rsid w:val="76D6700E"/>
    <w:rsid w:val="7CF21922"/>
    <w:rsid w:val="7F6C2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nhideWhenUsed="0" w:uiPriority="0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2"/>
    <w:qFormat/>
    <w:uiPriority w:val="9"/>
    <w:pPr>
      <w:keepNext/>
      <w:keepLines/>
      <w:spacing w:before="50" w:beforeLines="50" w:after="50" w:afterLines="50"/>
      <w:outlineLvl w:val="0"/>
    </w:pPr>
    <w:rPr>
      <w:b/>
      <w:bCs/>
      <w:kern w:val="44"/>
      <w:sz w:val="36"/>
      <w:szCs w:val="44"/>
    </w:rPr>
  </w:style>
  <w:style w:type="paragraph" w:styleId="3">
    <w:name w:val="heading 2"/>
    <w:basedOn w:val="1"/>
    <w:next w:val="1"/>
    <w:link w:val="25"/>
    <w:qFormat/>
    <w:uiPriority w:val="0"/>
    <w:pPr>
      <w:keepNext/>
      <w:keepLines/>
      <w:spacing w:before="260" w:after="260" w:line="416" w:lineRule="auto"/>
      <w:jc w:val="center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link w:val="30"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4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0"/>
    <w:pPr>
      <w:spacing w:line="300" w:lineRule="auto"/>
      <w:ind w:firstLine="420" w:firstLineChars="200"/>
    </w:pPr>
    <w:rPr>
      <w:szCs w:val="20"/>
    </w:rPr>
  </w:style>
  <w:style w:type="paragraph" w:styleId="7">
    <w:name w:val="Plain Text"/>
    <w:basedOn w:val="1"/>
    <w:link w:val="33"/>
    <w:qFormat/>
    <w:uiPriority w:val="0"/>
    <w:rPr>
      <w:rFonts w:ascii="宋体" w:hAnsi="Courier New"/>
      <w:szCs w:val="20"/>
    </w:rPr>
  </w:style>
  <w:style w:type="paragraph" w:styleId="8">
    <w:name w:val="Date"/>
    <w:basedOn w:val="1"/>
    <w:next w:val="1"/>
    <w:qFormat/>
    <w:uiPriority w:val="0"/>
    <w:pPr>
      <w:ind w:left="100" w:leftChars="2500"/>
    </w:pPr>
  </w:style>
  <w:style w:type="paragraph" w:styleId="9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unhideWhenUsed/>
    <w:qFormat/>
    <w:uiPriority w:val="39"/>
    <w:pPr>
      <w:tabs>
        <w:tab w:val="left" w:pos="420"/>
        <w:tab w:val="right" w:leader="dot" w:pos="8296"/>
      </w:tabs>
      <w:jc w:val="center"/>
    </w:pPr>
    <w:rPr>
      <w:sz w:val="24"/>
    </w:rPr>
  </w:style>
  <w:style w:type="paragraph" w:styleId="12">
    <w:name w:val="Body Text Indent 3"/>
    <w:basedOn w:val="1"/>
    <w:link w:val="22"/>
    <w:semiHidden/>
    <w:qFormat/>
    <w:uiPriority w:val="0"/>
    <w:pPr>
      <w:snapToGrid w:val="0"/>
      <w:spacing w:line="360" w:lineRule="auto"/>
      <w:ind w:left="900" w:firstLine="899"/>
    </w:pPr>
    <w:rPr>
      <w:rFonts w:ascii="宋体" w:hAnsi="文鼎报宋简"/>
      <w:sz w:val="28"/>
      <w:szCs w:val="20"/>
    </w:rPr>
  </w:style>
  <w:style w:type="paragraph" w:styleId="13">
    <w:name w:val="Normal (Web)"/>
    <w:basedOn w:val="1"/>
    <w:semiHidden/>
    <w:qFormat/>
    <w:uiPriority w:val="0"/>
    <w:pPr>
      <w:widowControl/>
      <w:spacing w:before="100" w:beforeAutospacing="1" w:after="100" w:afterAutospacing="1"/>
      <w:jc w:val="left"/>
    </w:pPr>
    <w:rPr>
      <w:rFonts w:ascii="宋体"/>
      <w:kern w:val="0"/>
      <w:sz w:val="18"/>
      <w:szCs w:val="18"/>
      <w:lang w:eastAsia="en-US"/>
    </w:rPr>
  </w:style>
  <w:style w:type="paragraph" w:styleId="14">
    <w:name w:val="Title"/>
    <w:basedOn w:val="1"/>
    <w:next w:val="1"/>
    <w:link w:val="29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16">
    <w:name w:val="Table Grid"/>
    <w:basedOn w:val="15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</w:style>
  <w:style w:type="character" w:styleId="18">
    <w:name w:val="page number"/>
    <w:basedOn w:val="17"/>
    <w:unhideWhenUsed/>
    <w:qFormat/>
    <w:uiPriority w:val="99"/>
  </w:style>
  <w:style w:type="character" w:styleId="19">
    <w:name w:val="Hyperlink"/>
    <w:unhideWhenUsed/>
    <w:qFormat/>
    <w:uiPriority w:val="99"/>
    <w:rPr>
      <w:color w:val="0000FF"/>
      <w:u w:val="single"/>
    </w:rPr>
  </w:style>
  <w:style w:type="paragraph" w:customStyle="1" w:styleId="20">
    <w:name w:val="Default Paragraph Font Para Char Char Char Char 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character" w:customStyle="1" w:styleId="21">
    <w:name w:val="msonormal"/>
    <w:basedOn w:val="17"/>
    <w:qFormat/>
    <w:uiPriority w:val="0"/>
  </w:style>
  <w:style w:type="character" w:customStyle="1" w:styleId="22">
    <w:name w:val="正文文本缩进 3 字符"/>
    <w:link w:val="12"/>
    <w:semiHidden/>
    <w:qFormat/>
    <w:uiPriority w:val="0"/>
    <w:rPr>
      <w:rFonts w:ascii="宋体" w:hAnsi="文鼎报宋简"/>
      <w:kern w:val="2"/>
      <w:sz w:val="28"/>
    </w:rPr>
  </w:style>
  <w:style w:type="character" w:customStyle="1" w:styleId="23">
    <w:name w:val="h21"/>
    <w:qFormat/>
    <w:uiPriority w:val="0"/>
    <w:rPr>
      <w:sz w:val="19"/>
      <w:szCs w:val="19"/>
    </w:rPr>
  </w:style>
  <w:style w:type="character" w:customStyle="1" w:styleId="24">
    <w:name w:val="标题 4 字符"/>
    <w:link w:val="5"/>
    <w:qFormat/>
    <w:uiPriority w:val="0"/>
    <w:rPr>
      <w:rFonts w:ascii="Arial" w:hAnsi="Arial" w:eastAsia="黑体"/>
      <w:b/>
      <w:bCs/>
      <w:kern w:val="2"/>
      <w:sz w:val="28"/>
      <w:szCs w:val="28"/>
    </w:rPr>
  </w:style>
  <w:style w:type="character" w:customStyle="1" w:styleId="25">
    <w:name w:val="标题 2 字符"/>
    <w:link w:val="3"/>
    <w:qFormat/>
    <w:uiPriority w:val="0"/>
    <w:rPr>
      <w:rFonts w:ascii="Arial" w:hAnsi="Arial" w:eastAsia="黑体"/>
      <w:b/>
      <w:bCs/>
      <w:kern w:val="2"/>
      <w:sz w:val="32"/>
      <w:szCs w:val="32"/>
    </w:rPr>
  </w:style>
  <w:style w:type="character" w:customStyle="1" w:styleId="26">
    <w:name w:val="section1"/>
    <w:basedOn w:val="17"/>
    <w:qFormat/>
    <w:uiPriority w:val="0"/>
  </w:style>
  <w:style w:type="character" w:customStyle="1" w:styleId="27">
    <w:name w:val="页眉 字符"/>
    <w:link w:val="10"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28">
    <w:name w:val="页脚 字符"/>
    <w:link w:val="9"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29">
    <w:name w:val="标题 字符"/>
    <w:link w:val="14"/>
    <w:qFormat/>
    <w:uiPriority w:val="1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30">
    <w:name w:val="标题 3 字符"/>
    <w:link w:val="4"/>
    <w:semiHidden/>
    <w:qFormat/>
    <w:uiPriority w:val="9"/>
    <w:rPr>
      <w:rFonts w:ascii="Times New Roman" w:hAnsi="Times New Roman"/>
      <w:b/>
      <w:bCs/>
      <w:kern w:val="2"/>
      <w:sz w:val="32"/>
      <w:szCs w:val="32"/>
    </w:rPr>
  </w:style>
  <w:style w:type="character" w:customStyle="1" w:styleId="31">
    <w:name w:val="子系统 Char"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32">
    <w:name w:val="标题 1 字符"/>
    <w:link w:val="2"/>
    <w:qFormat/>
    <w:uiPriority w:val="9"/>
    <w:rPr>
      <w:rFonts w:ascii="Times New Roman" w:hAnsi="Times New Roman"/>
      <w:b/>
      <w:bCs/>
      <w:kern w:val="44"/>
      <w:sz w:val="36"/>
      <w:szCs w:val="44"/>
    </w:rPr>
  </w:style>
  <w:style w:type="character" w:customStyle="1" w:styleId="33">
    <w:name w:val="纯文本 字符"/>
    <w:link w:val="7"/>
    <w:qFormat/>
    <w:uiPriority w:val="0"/>
    <w:rPr>
      <w:rFonts w:ascii="宋体" w:hAnsi="Courier New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246</Words>
  <Characters>1406</Characters>
  <Lines>11</Lines>
  <Paragraphs>3</Paragraphs>
  <TotalTime>17</TotalTime>
  <ScaleCrop>false</ScaleCrop>
  <LinksUpToDate>false</LinksUpToDate>
  <CharactersWithSpaces>1649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2016-01-22T08:15:00Z</dcterms:created>
  <dc:creator>Bendy</dc:creator>
  <cp:lastModifiedBy>zhongfangyuan.bs</cp:lastModifiedBy>
  <dcterms:modified xsi:type="dcterms:W3CDTF">2025-12-08T15:08:55Z</dcterms:modified>
  <dc:title>调度自动化新机房修缮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50FAF5456C164F2CB3139D8413E53022</vt:lpwstr>
  </property>
</Properties>
</file>